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293FC" w14:textId="77777777" w:rsidR="004C250E" w:rsidRDefault="00000000" w:rsidP="00967CE5">
      <w:pPr>
        <w:pStyle w:val="Title"/>
        <w:spacing w:after="160"/>
        <w:jc w:val="center"/>
      </w:pPr>
      <w:r>
        <w:rPr>
          <w:rFonts w:ascii="Times New Roman" w:hAnsi="Times New Roman"/>
          <w:b/>
        </w:rPr>
        <w:t>Patch-Content Fungibility: Geometry, Functional Transmission, and Operator-Aware Token Compression</w:t>
      </w:r>
    </w:p>
    <w:p w14:paraId="29B3FF4B" w14:textId="77777777" w:rsidR="004C250E" w:rsidRPr="00E32168" w:rsidRDefault="00E32168">
      <w:pPr>
        <w:spacing w:after="100" w:line="259" w:lineRule="auto"/>
        <w:rPr>
          <w:i/>
          <w:iCs/>
        </w:rPr>
      </w:pPr>
      <w:r w:rsidRPr="00E32168">
        <w:rPr>
          <w:i/>
          <w:iCs/>
        </w:rPr>
        <w:t>Nghiem Nhat Minh, Dang Tri Dung, Do Tri Cuong</w:t>
      </w:r>
    </w:p>
    <w:p w14:paraId="7955A46D" w14:textId="77777777" w:rsidR="004C250E" w:rsidRDefault="00000000">
      <w:pPr>
        <w:pStyle w:val="Heading1"/>
      </w:pPr>
      <w:r>
        <w:rPr>
          <w:rFonts w:ascii="Times New Roman" w:hAnsi="Times New Roman"/>
        </w:rPr>
        <w:t>Abstract</w:t>
      </w:r>
    </w:p>
    <w:p w14:paraId="6591F50A" w14:textId="1EFC03B4" w:rsidR="004C250E" w:rsidRPr="00967CE5" w:rsidRDefault="00967CE5" w:rsidP="00967CE5">
      <w:pPr>
        <w:spacing w:after="100" w:line="259" w:lineRule="auto"/>
        <w:jc w:val="both"/>
      </w:pPr>
      <w:r w:rsidRPr="00967CE5">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across all four models, while the near-null fraction increases substantially in most models at a fixed relative spectral threshold. As a downstream application, we evaluate operator-aware token compression using an offline, per-image downstream-Jacobian oracle on held-out ImageNet-1k data across four architectures. At the most aggressive tested budgets, operator-aware variants outperform the strongest pruning baseline by 4.2–12.0 percentage points in Top-1 accuracy across the four architectures. However, Full-J does not consistently outperform Group Mean or ToMe, and the offline oracle setting does not establish a general deployment advantage. Together, these findings link the observed functional geometry to a potential strategy for token compression.</w:t>
      </w:r>
    </w:p>
    <w:p w14:paraId="2B725BD2" w14:textId="77777777" w:rsidR="004C250E" w:rsidRDefault="00000000">
      <w:pPr>
        <w:pStyle w:val="Heading1"/>
      </w:pPr>
      <w:r>
        <w:rPr>
          <w:rFonts w:ascii="Times New Roman" w:hAnsi="Times New Roman"/>
        </w:rPr>
        <w:t>1. Introduction</w:t>
      </w:r>
    </w:p>
    <w:p w14:paraId="5D39634D" w14:textId="77777777" w:rsidR="004C250E" w:rsidRDefault="00000000" w:rsidP="00967CE5">
      <w:pPr>
        <w:spacing w:after="100" w:line="259" w:lineRule="auto"/>
        <w:jc w:val="both"/>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7DA35CE8" w14:textId="77777777" w:rsidR="004C250E" w:rsidRDefault="00000000" w:rsidP="00967CE5">
      <w:pPr>
        <w:spacing w:after="100" w:line="259" w:lineRule="auto"/>
        <w:jc w:val="both"/>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7F302B9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7605FF46" w14:textId="77777777" w:rsidR="004C250E" w:rsidRDefault="00000000" w:rsidP="00FC1638">
      <w:pPr>
        <w:keepLines/>
        <w:spacing w:after="80"/>
        <w:jc w:val="both"/>
        <w:rPr>
          <w:iCs/>
          <w:color w:val="auto"/>
          <w:sz w:val="18"/>
          <w:szCs w:val="24"/>
        </w:rPr>
      </w:pPr>
      <w:r w:rsidRPr="00F845DC">
        <w:rPr>
          <w:b/>
          <w:bCs/>
          <w:iCs/>
          <w:color w:val="auto"/>
          <w:sz w:val="18"/>
          <w:szCs w:val="24"/>
        </w:rPr>
        <w:t>Figure 1.</w:t>
      </w:r>
      <w:r w:rsidRPr="00F845DC">
        <w:rPr>
          <w:iCs/>
          <w:color w:val="auto"/>
          <w:sz w:val="18"/>
          <w:szCs w:val="24"/>
        </w:rPr>
        <w:t xml:space="preserve"> Fixed-slot </w:t>
      </w:r>
      <w:r w:rsidRPr="00D003EF">
        <w:rPr>
          <w:iCs/>
          <w:color w:val="auto"/>
          <w:sz w:val="18"/>
          <w:szCs w:val="24"/>
        </w:rPr>
        <w:t>late-layer patch-content substitution (a), geometric and diversity constraints (b), and anisotropic sensitivity with Value-path cancellation (c).</w:t>
      </w:r>
    </w:p>
    <w:p w14:paraId="6AC6F130" w14:textId="77777777" w:rsidR="00FC1638" w:rsidRPr="00F845DC" w:rsidRDefault="00FC1638" w:rsidP="00FC1638">
      <w:pPr>
        <w:keepLines/>
        <w:spacing w:after="80"/>
        <w:jc w:val="both"/>
        <w:rPr>
          <w:iCs/>
        </w:rPr>
      </w:pPr>
    </w:p>
    <w:p w14:paraId="5F1F0728" w14:textId="62F91DE3" w:rsidR="004C250E" w:rsidRDefault="00967CE5" w:rsidP="00967CE5">
      <w:pPr>
        <w:spacing w:after="100" w:line="259" w:lineRule="auto"/>
        <w:jc w:val="both"/>
      </w:pPr>
      <w:r w:rsidRPr="00967CE5">
        <w:t>This leads to three linked questions: whether a late patch slot needs its image-specific activation or can carry a class-agnostic surrogate; how feature geometry, token-position coherence, and downstream transmission shape observed replacement tolerance; and whether downstream functional sensitivity can guide operator-aware token compression, and how its benefits compare with pruning and merging baselines.</w:t>
      </w:r>
      <w:r>
        <w:t xml:space="preserve"> We study these questions as a ViT-specific account of Patch-Content Fungibility (PCF). </w:t>
      </w:r>
      <w:r w:rsidR="00F845DC" w:rsidRPr="00F845DC">
        <w:t>The paper connects fixed-slot replacement experiments with geometric and functional analyses, followed by an evaluation of operator-aware token compression.</w:t>
      </w:r>
    </w:p>
    <w:p w14:paraId="44626492" w14:textId="77777777" w:rsidR="004C250E" w:rsidRDefault="00000000">
      <w:pPr>
        <w:pStyle w:val="Heading1"/>
      </w:pPr>
      <w:r>
        <w:rPr>
          <w:rFonts w:ascii="Times New Roman" w:hAnsi="Times New Roman"/>
        </w:rPr>
        <w:t>2. Related Work</w:t>
      </w:r>
    </w:p>
    <w:p w14:paraId="0DB9031E" w14:textId="5A0D81A3" w:rsidR="004C250E" w:rsidRDefault="00000000" w:rsidP="009B6305">
      <w:pPr>
        <w:spacing w:after="100" w:line="259" w:lineRule="auto"/>
        <w:jc w:val="both"/>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w:t>
      </w:r>
      <w:r w:rsidR="00F845DC">
        <w:t>.</w:t>
      </w:r>
      <w:r>
        <w:t xml:space="preserve"> </w:t>
      </w:r>
      <w:r w:rsidR="00F845DC" w:rsidRPr="00F845DC">
        <w:t>This design isolates how token-position diversity affects content replacement</w:t>
      </w:r>
      <w:r>
        <w:t>. The later compression application is distinct: it optimizes grouped carrier content under a fixed assignment S and shortens the sequence for subsequent computation.</w:t>
      </w:r>
    </w:p>
    <w:p w14:paraId="0DB953B8" w14:textId="77777777" w:rsidR="004368BE" w:rsidRDefault="00000000" w:rsidP="009B6305">
      <w:pPr>
        <w:spacing w:after="100" w:line="259" w:lineRule="auto"/>
        <w:jc w:val="both"/>
      </w:pPr>
      <w:r>
        <w:t>Jacobian-sensitive geometry and task-aware token compression also have direct ViT precedents. Bond et al. define a task-induced pullback metric on ViT feature spaces, analyze its spectral and low-rank structure, and use task-sensitive geometry for token pruning and soft merging [42]. Liu et al. study approximate nullspace perturbations in nonlinear ViT blocks and nullspace-noise augmentation for fine-tuning robustness [43].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19CD67B4" w14:textId="5000630B" w:rsidR="004C250E" w:rsidRDefault="00000000" w:rsidP="009B6305">
      <w:pPr>
        <w:spacing w:after="100" w:line="259" w:lineRule="auto"/>
        <w:jc w:val="both"/>
      </w:pPr>
      <w:r>
        <w:lastRenderedPageBreak/>
        <w:t xml:space="preserve">Surrogate substitution has close methodological precedents. Parodi et al. study mean, noise, and cross-image register-shuffling substitutions for specialized DINO register-token content [44]. Causal Attribution via Activation Patching (CAAP) intervenes on internal ViT spatial-patch activations by inserting source-image patch activations into a blank target context for attribution [45].</w:t>
      </w:r>
      <w:r w:rsidR="00F845DC" w:rsidRPr="00F845DC">
        <w:t xml:space="preserve"> PCF instead tests whether ordinary late-layer patch content can be replaced by class-agnostic calibration-derived surrogates across depths and replacement fractions, while preserving spatial slots, sequence length, model weights, and downstream computation.</w:t>
      </w:r>
      <w:r>
        <w:t xml:space="preserve"> PCF also separates feature geometry from token-position diversity.</w:t>
      </w:r>
    </w:p>
    <w:p w14:paraId="78101E28" w14:textId="47053726" w:rsidR="004C250E" w:rsidRDefault="006452CF" w:rsidP="009B6305">
      <w:pPr>
        <w:spacing w:after="100" w:line="259" w:lineRule="auto"/>
        <w:jc w:val="both"/>
      </w:pPr>
      <w:r w:rsidRPr="006452CF">
        <w:t>Second-order curvature-based pruning criteria have a long history</w:t>
      </w:r>
      <w:r w:rsidR="00000000">
        <w:t xml:space="preserve"> [46], [47]. A recent public preprint, Output-aware Residual Stream Pruning, couples activation statistics with output sensitivity to prune LLM residual-stream dimensions [48]. That work supports the broader precedent for output-aware compression but studies a different model family and dimension-pruning intervention.</w:t>
      </w:r>
      <w:r>
        <w:t xml:space="preserve"> PCF</w:t>
      </w:r>
      <w:r w:rsidR="00000000">
        <w:t xml:space="preserve"> </w:t>
      </w:r>
      <w:r>
        <w:t>combines</w:t>
      </w:r>
      <w:r w:rsidR="00000000">
        <w:t xml:space="preserve">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D61E676" w14:textId="5F387426" w:rsidR="004C250E" w:rsidRDefault="00000000" w:rsidP="009B6305">
      <w:pPr>
        <w:spacing w:after="100" w:line="259" w:lineRule="auto"/>
        <w:jc w:val="both"/>
      </w:pPr>
      <w:r>
        <w:t xml:space="preserve">Interpretability research cautions that attention weights alone need not explain a model's decision. Controlled studies examine whether attention is explanation and how explanation changes under interventions [49]–[51]. Attention flow, Integrated Gradients, saliency-map sanity checks, and transformer-specific relevance propagation provide complementary methods for tracing or attributing model behavior [52]–[55]. Causal abstraction offers a framework for connecting interventions to model-level causal structure [56]. Our evidence uses </w:t>
      </w:r>
      <w:r w:rsidR="0079720F" w:rsidRPr="0079720F">
        <w:t>controlled activation interventions and held-out perturbation-damage prediction to investigate functional dependence in pretrained ViTs.</w:t>
      </w:r>
    </w:p>
    <w:p w14:paraId="4FD2EF25" w14:textId="77777777" w:rsidR="004C250E" w:rsidRDefault="00000000">
      <w:pPr>
        <w:pStyle w:val="Heading1"/>
      </w:pPr>
      <w:r>
        <w:rPr>
          <w:rFonts w:ascii="Times New Roman" w:hAnsi="Times New Roman"/>
        </w:rPr>
        <w:t>3. Experimental Setup and Interventions</w:t>
      </w:r>
    </w:p>
    <w:p w14:paraId="4C7EAD23" w14:textId="77777777" w:rsidR="00094CD6" w:rsidRPr="00094CD6" w:rsidRDefault="00094CD6" w:rsidP="009B6305">
      <w:pPr>
        <w:spacing w:after="100" w:line="259" w:lineRule="auto"/>
        <w:jc w:val="both"/>
      </w:pPr>
      <w:r w:rsidRPr="00094CD6">
        <w:t>All experiments use frozen pretrained vision transformers evaluated on ImageNet-1k validation data. The primary replacement studies and confirmatory compression benchmark use disjoint calibration and evaluation sets, each containing 1,000 images (one per class). Calibration statistics are estimated exclusively from the calibration data, while evaluation results are reported on held-out images.</w:t>
      </w:r>
    </w:p>
    <w:p w14:paraId="6A2D33B5" w14:textId="1FB4661D" w:rsidR="004C250E" w:rsidRDefault="00094CD6" w:rsidP="009B6305">
      <w:pPr>
        <w:spacing w:after="100" w:line="259" w:lineRule="auto"/>
        <w:jc w:val="both"/>
      </w:pPr>
      <w:r w:rsidRPr="00094CD6">
        <w:t xml:space="preserve">Exploratory mechanistic analyses follow study-specific protocols and sample sizes, as summarized in Table </w:t>
      </w:r>
      <w:r w:rsidR="006F053A">
        <w:t>1</w:t>
      </w:r>
      <w:r w:rsidRPr="00094CD6">
        <w:t>. Notably, the joint-stream geometry analysis uses the same 100 images per model for feature-direction estimation and perturbation evaluation; its findings are therefore descriptive rather than independently validated. Image-level and perturbation-level results are treated as distinct evaluation units. Additional protocols for practical-carrier and operator-space evaluations are provided in Supplementary Section S13.</w:t>
      </w:r>
    </w:p>
    <w:p w14:paraId="63259BB7" w14:textId="659E5E06" w:rsidR="004C250E" w:rsidRPr="00FC1638" w:rsidRDefault="00FC1638">
      <w:pPr>
        <w:spacing w:after="100" w:line="259" w:lineRule="auto"/>
        <w:rPr>
          <w:b/>
          <w:bCs/>
        </w:rPr>
      </w:pPr>
      <w:r w:rsidRPr="00FC1638">
        <w:rPr>
          <w:b/>
          <w:bCs/>
        </w:rPr>
        <w:t>Table 1</w:t>
      </w:r>
    </w:p>
    <w:p w14:paraId="373078A3" w14:textId="77777777" w:rsidR="004C250E" w:rsidRPr="00D003EF" w:rsidRDefault="00000000">
      <w:pPr>
        <w:spacing w:after="100" w:line="259" w:lineRule="auto"/>
        <w:rPr>
          <w:sz w:val="18"/>
          <w:szCs w:val="20"/>
        </w:rPr>
      </w:pPr>
      <w:r w:rsidRPr="00D003EF">
        <w:rPr>
          <w:sz w:val="18"/>
          <w:szCs w:val="20"/>
        </w:rP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56DD2809"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990E7F8"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71FFE5F"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16E3DDC"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D47CF01" w14:textId="77777777" w:rsidR="004C250E" w:rsidRPr="005D5368" w:rsidRDefault="00000000">
            <w:pPr>
              <w:jc w:val="center"/>
              <w:rPr>
                <w:szCs w:val="28"/>
              </w:rPr>
            </w:pPr>
            <w:r w:rsidRPr="005D5368">
              <w:rPr>
                <w:b/>
                <w:color w:val="17232D"/>
                <w:szCs w:val="28"/>
              </w:rPr>
              <w:t>Main finding</w:t>
            </w:r>
          </w:p>
        </w:tc>
      </w:tr>
      <w:tr w:rsidR="004C250E" w:rsidRPr="005D5368" w14:paraId="17919B17" w14:textId="77777777" w:rsidTr="005D5368">
        <w:tc>
          <w:tcPr>
            <w:tcW w:w="2498" w:type="dxa"/>
            <w:tcBorders>
              <w:top w:val="single" w:sz="4" w:space="0" w:color="auto"/>
            </w:tcBorders>
            <w:tcMar>
              <w:top w:w="55" w:type="dxa"/>
              <w:left w:w="65" w:type="dxa"/>
              <w:bottom w:w="55" w:type="dxa"/>
              <w:right w:w="65" w:type="dxa"/>
            </w:tcMar>
            <w:vAlign w:val="center"/>
          </w:tcPr>
          <w:p w14:paraId="7D55D6D4"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611F82FE"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10F12D68"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0F67AE2D"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36FA98FE" w14:textId="77777777" w:rsidTr="005D5368">
        <w:tc>
          <w:tcPr>
            <w:tcW w:w="2498" w:type="dxa"/>
            <w:tcMar>
              <w:top w:w="55" w:type="dxa"/>
              <w:left w:w="65" w:type="dxa"/>
              <w:bottom w:w="55" w:type="dxa"/>
              <w:right w:w="65" w:type="dxa"/>
            </w:tcMar>
            <w:vAlign w:val="center"/>
          </w:tcPr>
          <w:p w14:paraId="47F7714F"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AC2C720"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5E1841"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3DD53261"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3206CECC" w14:textId="77777777" w:rsidTr="005D5368">
        <w:tc>
          <w:tcPr>
            <w:tcW w:w="2498" w:type="dxa"/>
            <w:tcMar>
              <w:top w:w="55" w:type="dxa"/>
              <w:left w:w="65" w:type="dxa"/>
              <w:bottom w:w="55" w:type="dxa"/>
              <w:right w:w="65" w:type="dxa"/>
            </w:tcMar>
            <w:vAlign w:val="center"/>
          </w:tcPr>
          <w:p w14:paraId="46CC1560"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1E5CDA32"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6B2B6D3A"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7C0A4BB1" w14:textId="77777777" w:rsidR="004C250E" w:rsidRPr="005D5368" w:rsidRDefault="00000000">
            <w:pPr>
              <w:jc w:val="center"/>
              <w:rPr>
                <w:szCs w:val="28"/>
              </w:rPr>
            </w:pPr>
            <w:r w:rsidRPr="005D5368">
              <w:rPr>
                <w:szCs w:val="28"/>
              </w:rPr>
              <w:t xml:space="preserve">Coherent Value contributions accumulate; sign-varying contributions partially </w:t>
            </w:r>
            <w:r w:rsidRPr="005D5368">
              <w:rPr>
                <w:szCs w:val="28"/>
              </w:rPr>
              <w:lastRenderedPageBreak/>
              <w:t>cancel.</w:t>
            </w:r>
          </w:p>
        </w:tc>
      </w:tr>
      <w:tr w:rsidR="004C250E" w:rsidRPr="005D5368" w14:paraId="3D82C933" w14:textId="77777777" w:rsidTr="005D5368">
        <w:tc>
          <w:tcPr>
            <w:tcW w:w="2498" w:type="dxa"/>
            <w:tcMar>
              <w:top w:w="55" w:type="dxa"/>
              <w:left w:w="65" w:type="dxa"/>
              <w:bottom w:w="55" w:type="dxa"/>
              <w:right w:w="65" w:type="dxa"/>
            </w:tcMar>
            <w:vAlign w:val="center"/>
          </w:tcPr>
          <w:p w14:paraId="4A382793" w14:textId="77777777" w:rsidR="004C250E" w:rsidRPr="005D5368" w:rsidRDefault="00000000">
            <w:pPr>
              <w:rPr>
                <w:szCs w:val="28"/>
              </w:rPr>
            </w:pPr>
            <w:r w:rsidRPr="005D5368">
              <w:rPr>
                <w:szCs w:val="28"/>
              </w:rPr>
              <w:lastRenderedPageBreak/>
              <w:t>Multi-block operator prediction</w:t>
            </w:r>
          </w:p>
        </w:tc>
        <w:tc>
          <w:tcPr>
            <w:tcW w:w="2498" w:type="dxa"/>
            <w:tcMar>
              <w:top w:w="55" w:type="dxa"/>
              <w:left w:w="65" w:type="dxa"/>
              <w:bottom w:w="55" w:type="dxa"/>
              <w:right w:w="65" w:type="dxa"/>
            </w:tcMar>
            <w:vAlign w:val="center"/>
          </w:tcPr>
          <w:p w14:paraId="67530678"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72C2226"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732715F8"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1D7805A" w14:textId="77777777" w:rsidTr="005D5368">
        <w:trPr>
          <w:cantSplit/>
        </w:trPr>
        <w:tc>
          <w:tcPr>
            <w:tcW w:w="2498" w:type="dxa"/>
            <w:tcMar>
              <w:top w:w="55" w:type="dxa"/>
              <w:left w:w="65" w:type="dxa"/>
              <w:bottom w:w="55" w:type="dxa"/>
              <w:right w:w="65" w:type="dxa"/>
            </w:tcMar>
            <w:vAlign w:val="center"/>
          </w:tcPr>
          <w:p w14:paraId="5D6D77FA"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BA0927A"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A20384C"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711C9D9D" w14:textId="77777777" w:rsidR="004C250E" w:rsidRPr="005D5368" w:rsidRDefault="00000000">
            <w:pPr>
              <w:jc w:val="center"/>
              <w:rPr>
                <w:szCs w:val="28"/>
              </w:rPr>
            </w:pPr>
            <w:r w:rsidRPr="005D5368">
              <w:rPr>
                <w:szCs w:val="28"/>
              </w:rPr>
              <w:t>At the most aggressive tested budgets, operator-aware methods beat the strongest pruning baselines by 4.2–12.0 pp; ToMe remains competitive.</w:t>
            </w:r>
          </w:p>
        </w:tc>
      </w:tr>
    </w:tbl>
    <w:p w14:paraId="7363E152" w14:textId="77777777" w:rsidR="004C250E" w:rsidRDefault="004C250E">
      <w:pPr>
        <w:spacing w:after="20"/>
      </w:pPr>
    </w:p>
    <w:p w14:paraId="59C804E4" w14:textId="4690C6CF" w:rsidR="004C250E" w:rsidRDefault="00000000" w:rsidP="009B6305">
      <w:pPr>
        <w:spacing w:after="100" w:line="259" w:lineRule="auto"/>
        <w:jc w:val="both"/>
      </w:pPr>
      <w:r>
        <w:rPr>
          <w:b/>
        </w:rPr>
        <w:t>Statistical reporting.</w:t>
      </w:r>
      <w:r>
        <w:t xml:space="preserve"> </w:t>
      </w:r>
      <w:r w:rsidR="009116F8" w:rsidRPr="009116F8">
        <w:t>We use paired comparisons when interventions are evaluated on the same images, without treating repeated observations across random seeds as independent samples. For the grouped-diversity analysis, outcomes are averaged across five seeds per image before statistical testing. Paired Top-1 outcomes are assessed using McNemar's test, while margin differences are evaluated using paired t-tests or Wilcoxon signed-rank tests, as specified by each protocol. Multiple-comparison corrections are applied within predefined comparison families. Study-specific sampling units, confidence intervals, and testing procedures are detailed in Supplementary Section S10.</w:t>
      </w:r>
    </w:p>
    <w:p w14:paraId="697093A4" w14:textId="3A0577A2" w:rsidR="004C250E" w:rsidRDefault="00000000" w:rsidP="009B6305">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w:t>
      </w:r>
      <w:r w:rsidR="006F053A">
        <w:t>1</w:t>
      </w:r>
      <w:r>
        <w:t xml:space="preserve">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AC27C24" w14:textId="77777777">
        <w:trPr>
          <w:cantSplit/>
          <w:jc w:val="center"/>
        </w:trPr>
        <w:tc>
          <w:tcPr>
            <w:tcW w:w="518" w:type="dxa"/>
            <w:tcMar>
              <w:top w:w="0" w:type="dxa"/>
              <w:left w:w="0" w:type="dxa"/>
              <w:bottom w:w="0" w:type="dxa"/>
              <w:right w:w="0" w:type="dxa"/>
            </w:tcMar>
            <w:vAlign w:val="center"/>
          </w:tcPr>
          <w:p w14:paraId="1EDCDB3D"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D372C7"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5FE6F7EF" w14:textId="77777777" w:rsidR="004C250E" w:rsidRDefault="00000000">
            <w:pPr>
              <w:keepLines/>
              <w:spacing w:before="40" w:after="80" w:line="240" w:lineRule="auto"/>
              <w:jc w:val="right"/>
            </w:pPr>
            <w:r>
              <w:rPr>
                <w:sz w:val="18"/>
              </w:rPr>
              <w:t>(1)</w:t>
            </w:r>
          </w:p>
        </w:tc>
      </w:tr>
    </w:tbl>
    <w:p w14:paraId="522155A2" w14:textId="77777777" w:rsidR="004C250E" w:rsidRDefault="00000000" w:rsidP="009B6305">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63DEF88C" w14:textId="77777777" w:rsidR="004C250E" w:rsidRDefault="00000000" w:rsidP="009B6305">
      <w:pPr>
        <w:spacing w:after="100" w:line="259" w:lineRule="auto"/>
        <w:jc w:val="both"/>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7BF204BF" w14:textId="7AB762B1" w:rsidR="004C250E" w:rsidRDefault="0079720F" w:rsidP="009B6305">
      <w:pPr>
        <w:spacing w:after="100" w:line="259" w:lineRule="auto"/>
        <w:jc w:val="both"/>
      </w:pPr>
      <w:r w:rsidRPr="0079720F">
        <w:t>For compression, we use the end-to-end Jacobian to characterize how patch-matrix perturbations affect the pre-classifier readout defined in Section 6. The Jacobian provides a first-order prediction of readout changes, while classification performance is measured using the actual compressed model outputs. Section 6 introduces the per-image Full-J oracle and the corresponding carrier-optimization objective.</w:t>
      </w:r>
    </w:p>
    <w:p w14:paraId="0EAD1730" w14:textId="77777777" w:rsidR="004C250E" w:rsidRDefault="00000000" w:rsidP="009B6305">
      <w:pPr>
        <w:spacing w:after="100" w:line="259" w:lineRule="auto"/>
        <w:jc w:val="both"/>
      </w:pPr>
      <w:r>
        <w:t>Practical-carrier classifier, operator-space, and throughput procedures are described separately in Supplementary Section S13.</w:t>
      </w:r>
    </w:p>
    <w:p w14:paraId="215F5366" w14:textId="77777777" w:rsidR="004C250E" w:rsidRDefault="00000000">
      <w:pPr>
        <w:pStyle w:val="Heading1"/>
      </w:pPr>
      <w:r>
        <w:rPr>
          <w:rFonts w:ascii="Times New Roman" w:hAnsi="Times New Roman"/>
        </w:rPr>
        <w:t>4. Geometric and Diversity Constraints on Patch-Content Fungibility</w:t>
      </w:r>
    </w:p>
    <w:p w14:paraId="610F240E" w14:textId="77777777" w:rsidR="004C250E" w:rsidRDefault="00000000">
      <w:pPr>
        <w:pStyle w:val="Heading2"/>
      </w:pPr>
      <w:r>
        <w:rPr>
          <w:rFonts w:ascii="Times New Roman" w:hAnsi="Times New Roman"/>
        </w:rPr>
        <w:t>4.1 Depth-Dependent Replacement Tolerance</w:t>
      </w:r>
    </w:p>
    <w:p w14:paraId="1CE7092D" w14:textId="77777777" w:rsidR="004C250E" w:rsidRDefault="00000000" w:rsidP="006F053A">
      <w:pPr>
        <w:spacing w:after="100" w:line="259" w:lineRule="auto"/>
        <w:jc w:val="both"/>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6657BFE3" w14:textId="7F4E7F0E" w:rsidR="004C250E" w:rsidRDefault="00000000" w:rsidP="006F053A">
      <w:pPr>
        <w:spacing w:after="100" w:line="259" w:lineRule="auto"/>
        <w:jc w:val="both"/>
      </w:pPr>
      <w:r>
        <w:t xml:space="preserve">Together, these results distinguish the functional consequences of removing patch activations from those of replacing image-specific content with compatible surrogate representations. The magnitude and depth profile of this distinction vary </w:t>
      </w:r>
      <w:r>
        <w:lastRenderedPageBreak/>
        <w:t xml:space="preserve">across architectures, </w:t>
      </w:r>
      <w:r w:rsidR="0079720F" w:rsidRPr="0079720F">
        <w:t>revealing architecture-specific depth profiles</w:t>
      </w:r>
      <w:r>
        <w:t xml:space="preserve">. </w:t>
      </w:r>
      <w:r w:rsidR="0079720F" w:rsidRPr="0079720F">
        <w:t>This contrast demonstrates that sensitivity to activation removal and dependence on original image-specific content are different properties.</w:t>
      </w:r>
    </w:p>
    <w:p w14:paraId="4F695EAD"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1861EC51" w14:textId="112EAD68" w:rsidR="004C250E" w:rsidRDefault="00000000" w:rsidP="00FC1638">
      <w:pPr>
        <w:keepLines/>
        <w:spacing w:after="80"/>
        <w:jc w:val="both"/>
        <w:rPr>
          <w:iCs/>
          <w:color w:val="4C5963"/>
          <w:sz w:val="18"/>
          <w:szCs w:val="24"/>
        </w:rPr>
      </w:pPr>
      <w:r w:rsidRPr="00F845DC">
        <w:rPr>
          <w:b/>
          <w:bCs/>
          <w:iCs/>
          <w:color w:val="4C5963"/>
          <w:sz w:val="18"/>
          <w:szCs w:val="24"/>
        </w:rPr>
        <w:t>Figure 2.</w:t>
      </w:r>
      <w:r w:rsidRPr="00F845DC">
        <w:rPr>
          <w:iCs/>
          <w:color w:val="4C5963"/>
          <w:sz w:val="18"/>
          <w:szCs w:val="24"/>
        </w:rPr>
        <w:t xml:space="preserve"> Depth-wise Top-1 accuracy under 25% spatial-patch replacement across four architectures. Each model uses 1,000 held-out evaluation images and a disjoint 1,000-image calibration set. </w:t>
      </w:r>
    </w:p>
    <w:p w14:paraId="75A22E2B" w14:textId="77777777" w:rsidR="00FC1638" w:rsidRPr="00F845DC" w:rsidRDefault="00FC1638" w:rsidP="00FC1638">
      <w:pPr>
        <w:keepLines/>
        <w:spacing w:after="80"/>
        <w:jc w:val="both"/>
        <w:rPr>
          <w:iCs/>
        </w:rPr>
      </w:pPr>
    </w:p>
    <w:p w14:paraId="7FB38E41" w14:textId="77777777" w:rsidR="004C250E" w:rsidRDefault="00000000">
      <w:pPr>
        <w:pStyle w:val="Heading2"/>
      </w:pPr>
      <w:r>
        <w:rPr>
          <w:rFonts w:ascii="Times New Roman" w:hAnsi="Times New Roman"/>
        </w:rPr>
        <w:t>4.2 Geometric and Diversity Constraints</w:t>
      </w:r>
    </w:p>
    <w:p w14:paraId="2665419C" w14:textId="77777777" w:rsidR="004C250E" w:rsidRDefault="00000000" w:rsidP="006F053A">
      <w:pPr>
        <w:spacing w:after="100" w:line="259" w:lineRule="auto"/>
        <w:jc w:val="both"/>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592CA07" w14:textId="6A2338C5" w:rsidR="004C250E" w:rsidRDefault="00000000" w:rsidP="006F053A">
      <w:pPr>
        <w:spacing w:after="100" w:line="259" w:lineRule="auto"/>
        <w:jc w:val="both"/>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w:t>
      </w:r>
      <w:r w:rsidR="0079720F" w:rsidRPr="0079720F">
        <w:t>The graded response is evident across these three architectures.</w:t>
      </w:r>
      <w:r>
        <w:t xml:space="preserve"> K counts distinct surrogate vectors across token positions, not feature-space dimensionality.</w:t>
      </w:r>
    </w:p>
    <w:p w14:paraId="6684759D" w14:textId="77777777" w:rsidR="0079720F" w:rsidRPr="0079720F" w:rsidRDefault="00000000" w:rsidP="006F053A">
      <w:pPr>
        <w:spacing w:after="100" w:line="259" w:lineRule="auto"/>
        <w:jc w:val="both"/>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w:t>
      </w:r>
      <w:r w:rsidR="0079720F">
        <w:t xml:space="preserve">. </w:t>
      </w:r>
      <w:r w:rsidR="0079720F" w:rsidRPr="0079720F">
        <w:t>The improvement is evident in the margin despite Top-1 accuracy remaining near its floor.</w:t>
      </w:r>
    </w:p>
    <w:p w14:paraId="3B5D258A" w14:textId="02A10817" w:rsidR="004C250E" w:rsidRDefault="004C250E">
      <w:pPr>
        <w:spacing w:after="100" w:line="259" w:lineRule="auto"/>
      </w:pPr>
    </w:p>
    <w:p w14:paraId="7F760568"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2D56C7F0" w14:textId="77777777" w:rsidR="00D003EF" w:rsidRPr="00D003EF" w:rsidRDefault="00D003EF" w:rsidP="00D003EF">
      <w:pPr>
        <w:keepLines/>
        <w:spacing w:after="80"/>
        <w:jc w:val="both"/>
        <w:rPr>
          <w:b/>
          <w:bCs/>
          <w:iCs/>
          <w:color w:val="auto"/>
          <w:sz w:val="18"/>
          <w:szCs w:val="24"/>
        </w:rPr>
      </w:pPr>
      <w:r w:rsidRPr="00D003EF">
        <w:rPr>
          <w:b/>
          <w:bCs/>
          <w:iCs/>
          <w:color w:val="auto"/>
          <w:sz w:val="18"/>
          <w:szCs w:val="24"/>
        </w:rPr>
        <w:t xml:space="preserve">Figure 3. </w:t>
      </w:r>
      <w:r w:rsidRPr="00D003EF">
        <w:rPr>
          <w:iCs/>
          <w:color w:val="auto"/>
          <w:sz w:val="18"/>
          <w:szCs w:val="24"/>
        </w:rPr>
        <w:t>Geometric and diversity constraints on patch-content replacement. (a) Top-1 accuracy under centroid, coordinate-permuted, and sign-inverted replacement at Block 8 (50% of patches). (b) Top-1 accuracy under complete grouped-Gaussian replacement as the number of distinct surrogate vectors K varies. (c) Top-1 accuracy under complete replacement using calibration-derived PC1 versus an energy-matched random direction. Bars and points show seed means or single-run results, with individual outcomes and sample standard deviations where displayed. Dashed lines indicate clean accuracy. All panels use 1,000 held-out images per architecture.</w:t>
      </w:r>
    </w:p>
    <w:p w14:paraId="6DBA64A9" w14:textId="27561B01" w:rsidR="004C250E" w:rsidRDefault="004C250E" w:rsidP="00FC1638">
      <w:pPr>
        <w:keepLines/>
        <w:spacing w:after="80"/>
        <w:jc w:val="both"/>
        <w:rPr>
          <w:iCs/>
          <w:color w:val="auto"/>
          <w:sz w:val="18"/>
          <w:szCs w:val="24"/>
        </w:rPr>
      </w:pPr>
    </w:p>
    <w:p w14:paraId="72711650" w14:textId="77777777" w:rsidR="00FC1638" w:rsidRPr="00F845DC" w:rsidRDefault="00FC1638" w:rsidP="00FC1638">
      <w:pPr>
        <w:keepLines/>
        <w:spacing w:after="80"/>
        <w:jc w:val="both"/>
        <w:rPr>
          <w:iCs/>
        </w:rPr>
      </w:pPr>
    </w:p>
    <w:p w14:paraId="22B4873B" w14:textId="0793501F" w:rsidR="004C250E" w:rsidRDefault="00000000" w:rsidP="006F053A">
      <w:pPr>
        <w:spacing w:after="100" w:line="259" w:lineRule="auto"/>
        <w:jc w:val="both"/>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w:t>
      </w:r>
      <w:r w:rsidR="0079720F">
        <w:t xml:space="preserve">. </w:t>
      </w:r>
      <w:r w:rsidR="0079720F" w:rsidRPr="0079720F">
        <w:t>The one-dimensional replacements nevertheless yield only partial accuracy recovery in the models with measurable Top-1 performance.</w:t>
      </w:r>
      <w:r>
        <w:t xml:space="preserve"> Together, the controls motivate the directional functional-sensitivity analysis in Section 5.1.</w:t>
      </w:r>
    </w:p>
    <w:p w14:paraId="02B4A234" w14:textId="4C1963C3" w:rsidR="00CA0CE6" w:rsidRDefault="00000000" w:rsidP="006F053A">
      <w:pPr>
        <w:spacing w:after="100" w:line="259" w:lineRule="auto"/>
        <w:jc w:val="both"/>
      </w:pPr>
      <w:r>
        <w:rPr>
          <w:b/>
        </w:rPr>
        <w:t xml:space="preserve">CLS–patch stream asymmetry. </w:t>
      </w:r>
      <w:r>
        <w:t xml:space="preserve">We tested a complementary Block-8 control in DeiT-Tiny and DeiT-Small (1,000 held-out images per model). Replacing the CLS activation with its calibration mean, while leaving all 196 spatial patches unchanged, retained 66.4% and 74.8% Top-1 accuracy, compared with clean baselines of 67.9% and 76.1%. Conversely, retaining the original CLS while replacing every patch with an identical calibration centroid reduced accuracy to 10.2% and 17.0%. Thus, the original image-specific CLS activation is not required for near-baseline classification when the patch stream remains intact, whereas preserving CLS does not prevent degradation under this complete patch intervention. These interventions differ in scale (one versus 196 tokens), and identical-centroid replacement also eliminates patch-token diversity. </w:t>
      </w:r>
      <w:r w:rsidR="0079720F" w:rsidRPr="0079720F">
        <w:t>This exploratory comparison characterizes conditional CLS–patch asymmetry, while the role of information transfer and CLS sufficiency remains unresolved</w:t>
      </w:r>
      <w:r w:rsidR="0079720F" w:rsidRPr="0079720F">
        <w:t xml:space="preserve"> </w:t>
      </w:r>
      <w:r>
        <w:t>(Supplementary Section S4).</w:t>
      </w:r>
    </w:p>
    <w:p w14:paraId="66BF481B" w14:textId="24A2E1F1" w:rsidR="004368BE" w:rsidRDefault="00000000">
      <w:pPr>
        <w:spacing w:after="100" w:line="259" w:lineRule="auto"/>
      </w:pPr>
      <w:r>
        <w:t xml:space="preserve">The controlled endpoint differences are summarized in Table </w:t>
      </w:r>
      <w:r w:rsidR="006F053A">
        <w:t>2</w:t>
      </w:r>
      <w:r>
        <w:t>.</w:t>
      </w:r>
    </w:p>
    <w:p w14:paraId="019B9515" w14:textId="7875B1DF" w:rsidR="00FC1638" w:rsidRPr="006F053A" w:rsidRDefault="00FC1638">
      <w:pPr>
        <w:keepNext/>
        <w:spacing w:after="100" w:line="259" w:lineRule="auto"/>
        <w:rPr>
          <w:b/>
          <w:bCs/>
        </w:rPr>
      </w:pPr>
      <w:r w:rsidRPr="006F053A">
        <w:rPr>
          <w:b/>
          <w:bCs/>
        </w:rPr>
        <w:lastRenderedPageBreak/>
        <w:t>Table 2.</w:t>
      </w:r>
    </w:p>
    <w:p w14:paraId="4A2FE1BC" w14:textId="49775242" w:rsidR="004368BE" w:rsidRPr="00D003EF" w:rsidRDefault="00000000">
      <w:pPr>
        <w:keepNext/>
        <w:spacing w:after="100" w:line="259" w:lineRule="auto"/>
        <w:rPr>
          <w:sz w:val="18"/>
          <w:szCs w:val="20"/>
        </w:rPr>
      </w:pPr>
      <w:r w:rsidRPr="00D003EF">
        <w:rPr>
          <w:sz w:val="18"/>
          <w:szCs w:val="20"/>
        </w:rPr>
        <w:t>Top-1 differences in percentage points; each contrast is first condition minus second condition. Positive values favor the first condition. Columns summarize distinct protocols, not a common treatment effect.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7"/>
        <w:gridCol w:w="1930"/>
        <w:gridCol w:w="1930"/>
        <w:gridCol w:w="2218"/>
        <w:gridCol w:w="1886"/>
      </w:tblGrid>
      <w:tr w:rsidR="004368BE" w:rsidRPr="00B63702" w14:paraId="150A56CE" w14:textId="77777777" w:rsidTr="00B63702">
        <w:trPr>
          <w:cantSplit/>
          <w:tblHeader/>
          <w:jc w:val="center"/>
        </w:trPr>
        <w:tc>
          <w:tcPr>
            <w:tcW w:w="1757" w:type="dxa"/>
            <w:tcBorders>
              <w:top w:val="single" w:sz="4" w:space="0" w:color="auto"/>
              <w:bottom w:val="single" w:sz="4" w:space="0" w:color="auto"/>
            </w:tcBorders>
            <w:tcMar>
              <w:top w:w="55" w:type="dxa"/>
              <w:left w:w="65" w:type="dxa"/>
              <w:bottom w:w="55" w:type="dxa"/>
              <w:right w:w="65" w:type="dxa"/>
            </w:tcMar>
            <w:vAlign w:val="center"/>
          </w:tcPr>
          <w:p w14:paraId="29F3B2CE" w14:textId="77777777" w:rsidR="004368BE" w:rsidRPr="00B63702" w:rsidRDefault="00000000">
            <w:pPr>
              <w:jc w:val="center"/>
              <w:rPr>
                <w:szCs w:val="32"/>
              </w:rPr>
            </w:pPr>
            <w:r w:rsidRPr="00B63702">
              <w:rPr>
                <w:b/>
                <w:color w:val="17232D"/>
                <w:szCs w:val="32"/>
              </w:rPr>
              <w:t>Architecture</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051F4395" w14:textId="77777777" w:rsidR="004368BE" w:rsidRPr="00B63702" w:rsidRDefault="00000000">
            <w:pPr>
              <w:jc w:val="center"/>
              <w:rPr>
                <w:szCs w:val="32"/>
              </w:rPr>
            </w:pPr>
            <w:r w:rsidRPr="00B63702">
              <w:rPr>
                <w:b/>
                <w:color w:val="17232D"/>
                <w:szCs w:val="32"/>
              </w:rPr>
              <w:t>Centroid − coordinate-permuted (50%)</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1B706E31" w14:textId="77777777" w:rsidR="004368BE" w:rsidRPr="00B63702" w:rsidRDefault="00000000">
            <w:pPr>
              <w:jc w:val="center"/>
              <w:rPr>
                <w:szCs w:val="32"/>
              </w:rPr>
            </w:pPr>
            <w:r w:rsidRPr="00B63702">
              <w:rPr>
                <w:b/>
                <w:color w:val="17232D"/>
                <w:szCs w:val="32"/>
              </w:rPr>
              <w:t>Centroid − sign-inverted (50%)</w:t>
            </w:r>
          </w:p>
        </w:tc>
        <w:tc>
          <w:tcPr>
            <w:tcW w:w="2218" w:type="dxa"/>
            <w:tcBorders>
              <w:top w:val="single" w:sz="4" w:space="0" w:color="auto"/>
              <w:bottom w:val="single" w:sz="4" w:space="0" w:color="auto"/>
            </w:tcBorders>
            <w:tcMar>
              <w:top w:w="55" w:type="dxa"/>
              <w:left w:w="65" w:type="dxa"/>
              <w:bottom w:w="55" w:type="dxa"/>
              <w:right w:w="65" w:type="dxa"/>
            </w:tcMar>
            <w:vAlign w:val="center"/>
          </w:tcPr>
          <w:p w14:paraId="43401715" w14:textId="77777777" w:rsidR="004368BE" w:rsidRPr="00B63702" w:rsidRDefault="00000000">
            <w:pPr>
              <w:jc w:val="center"/>
              <w:rPr>
                <w:szCs w:val="32"/>
              </w:rPr>
            </w:pPr>
            <w:r w:rsidRPr="00B63702">
              <w:rPr>
                <w:b/>
                <w:color w:val="17232D"/>
                <w:szCs w:val="32"/>
              </w:rPr>
              <w:t>Grouped Kmax − K1</w:t>
            </w:r>
          </w:p>
        </w:tc>
        <w:tc>
          <w:tcPr>
            <w:tcW w:w="1886" w:type="dxa"/>
            <w:tcBorders>
              <w:top w:val="single" w:sz="4" w:space="0" w:color="auto"/>
              <w:bottom w:val="single" w:sz="4" w:space="0" w:color="auto"/>
            </w:tcBorders>
            <w:tcMar>
              <w:top w:w="55" w:type="dxa"/>
              <w:left w:w="65" w:type="dxa"/>
              <w:bottom w:w="55" w:type="dxa"/>
              <w:right w:w="65" w:type="dxa"/>
            </w:tcMar>
            <w:vAlign w:val="center"/>
          </w:tcPr>
          <w:p w14:paraId="0CC24CD6" w14:textId="77777777" w:rsidR="004368BE" w:rsidRPr="00B63702" w:rsidRDefault="00000000">
            <w:pPr>
              <w:jc w:val="center"/>
              <w:rPr>
                <w:szCs w:val="32"/>
              </w:rPr>
            </w:pPr>
            <w:r w:rsidRPr="00B63702">
              <w:rPr>
                <w:b/>
                <w:color w:val="17232D"/>
                <w:szCs w:val="32"/>
              </w:rPr>
              <w:t>PC1 − random 1D (100%)</w:t>
            </w:r>
          </w:p>
        </w:tc>
      </w:tr>
      <w:tr w:rsidR="004368BE" w:rsidRPr="00B63702" w14:paraId="76A7B13E" w14:textId="77777777" w:rsidTr="00B63702">
        <w:trPr>
          <w:cantSplit/>
          <w:jc w:val="center"/>
        </w:trPr>
        <w:tc>
          <w:tcPr>
            <w:tcW w:w="1757" w:type="dxa"/>
            <w:tcBorders>
              <w:top w:val="single" w:sz="4" w:space="0" w:color="auto"/>
            </w:tcBorders>
            <w:tcMar>
              <w:top w:w="55" w:type="dxa"/>
              <w:left w:w="65" w:type="dxa"/>
              <w:bottom w:w="55" w:type="dxa"/>
              <w:right w:w="65" w:type="dxa"/>
            </w:tcMar>
            <w:vAlign w:val="center"/>
          </w:tcPr>
          <w:p w14:paraId="48B0E4FE" w14:textId="77777777" w:rsidR="004368BE" w:rsidRPr="00B63702" w:rsidRDefault="00000000">
            <w:pPr>
              <w:rPr>
                <w:szCs w:val="32"/>
              </w:rPr>
            </w:pPr>
            <w:r w:rsidRPr="00B63702">
              <w:rPr>
                <w:szCs w:val="32"/>
              </w:rPr>
              <w:t>DeiT-Tiny</w:t>
            </w:r>
          </w:p>
        </w:tc>
        <w:tc>
          <w:tcPr>
            <w:tcW w:w="1930" w:type="dxa"/>
            <w:tcBorders>
              <w:top w:val="single" w:sz="4" w:space="0" w:color="auto"/>
            </w:tcBorders>
            <w:tcMar>
              <w:top w:w="55" w:type="dxa"/>
              <w:left w:w="65" w:type="dxa"/>
              <w:bottom w:w="55" w:type="dxa"/>
              <w:right w:w="65" w:type="dxa"/>
            </w:tcMar>
            <w:vAlign w:val="center"/>
          </w:tcPr>
          <w:p w14:paraId="454DBB0A" w14:textId="77777777" w:rsidR="004368BE" w:rsidRPr="00B63702" w:rsidRDefault="00000000">
            <w:pPr>
              <w:jc w:val="center"/>
              <w:rPr>
                <w:szCs w:val="32"/>
              </w:rPr>
            </w:pPr>
            <w:r w:rsidRPr="00B63702">
              <w:rPr>
                <w:szCs w:val="32"/>
              </w:rPr>
              <w:t>+16.2</w:t>
            </w:r>
          </w:p>
        </w:tc>
        <w:tc>
          <w:tcPr>
            <w:tcW w:w="1930" w:type="dxa"/>
            <w:tcBorders>
              <w:top w:val="single" w:sz="4" w:space="0" w:color="auto"/>
            </w:tcBorders>
            <w:tcMar>
              <w:top w:w="55" w:type="dxa"/>
              <w:left w:w="65" w:type="dxa"/>
              <w:bottom w:w="55" w:type="dxa"/>
              <w:right w:w="65" w:type="dxa"/>
            </w:tcMar>
            <w:vAlign w:val="center"/>
          </w:tcPr>
          <w:p w14:paraId="520D5582" w14:textId="77777777" w:rsidR="004368BE" w:rsidRPr="00B63702" w:rsidRDefault="00000000">
            <w:pPr>
              <w:jc w:val="center"/>
              <w:rPr>
                <w:szCs w:val="32"/>
              </w:rPr>
            </w:pPr>
            <w:r w:rsidRPr="00B63702">
              <w:rPr>
                <w:szCs w:val="32"/>
              </w:rPr>
              <w:t>+65.6</w:t>
            </w:r>
          </w:p>
        </w:tc>
        <w:tc>
          <w:tcPr>
            <w:tcW w:w="2218" w:type="dxa"/>
            <w:tcBorders>
              <w:top w:val="single" w:sz="4" w:space="0" w:color="auto"/>
            </w:tcBorders>
            <w:tcMar>
              <w:top w:w="55" w:type="dxa"/>
              <w:left w:w="65" w:type="dxa"/>
              <w:bottom w:w="55" w:type="dxa"/>
              <w:right w:w="65" w:type="dxa"/>
            </w:tcMar>
            <w:vAlign w:val="center"/>
          </w:tcPr>
          <w:p w14:paraId="64964520" w14:textId="77777777" w:rsidR="004368BE" w:rsidRPr="00B63702" w:rsidRDefault="00000000">
            <w:pPr>
              <w:jc w:val="center"/>
              <w:rPr>
                <w:szCs w:val="32"/>
              </w:rPr>
            </w:pPr>
            <w:r w:rsidRPr="00B63702">
              <w:rPr>
                <w:szCs w:val="32"/>
              </w:rPr>
              <w:t>+25.2</w:t>
            </w:r>
          </w:p>
        </w:tc>
        <w:tc>
          <w:tcPr>
            <w:tcW w:w="1886" w:type="dxa"/>
            <w:tcBorders>
              <w:top w:val="single" w:sz="4" w:space="0" w:color="auto"/>
            </w:tcBorders>
            <w:tcMar>
              <w:top w:w="55" w:type="dxa"/>
              <w:left w:w="65" w:type="dxa"/>
              <w:bottom w:w="55" w:type="dxa"/>
              <w:right w:w="65" w:type="dxa"/>
            </w:tcMar>
            <w:vAlign w:val="center"/>
          </w:tcPr>
          <w:p w14:paraId="73E6C1DA" w14:textId="77777777" w:rsidR="004368BE" w:rsidRPr="00B63702" w:rsidRDefault="00000000">
            <w:pPr>
              <w:jc w:val="center"/>
              <w:rPr>
                <w:szCs w:val="32"/>
              </w:rPr>
            </w:pPr>
            <w:r w:rsidRPr="00B63702">
              <w:rPr>
                <w:szCs w:val="32"/>
              </w:rPr>
              <w:t>+7.84</w:t>
            </w:r>
          </w:p>
        </w:tc>
      </w:tr>
      <w:tr w:rsidR="004368BE" w:rsidRPr="00B63702" w14:paraId="0167E7AA" w14:textId="77777777" w:rsidTr="00B63702">
        <w:trPr>
          <w:cantSplit/>
          <w:jc w:val="center"/>
        </w:trPr>
        <w:tc>
          <w:tcPr>
            <w:tcW w:w="1757" w:type="dxa"/>
            <w:tcMar>
              <w:top w:w="55" w:type="dxa"/>
              <w:left w:w="65" w:type="dxa"/>
              <w:bottom w:w="55" w:type="dxa"/>
              <w:right w:w="65" w:type="dxa"/>
            </w:tcMar>
            <w:vAlign w:val="center"/>
          </w:tcPr>
          <w:p w14:paraId="1A478AD7" w14:textId="77777777" w:rsidR="004368BE" w:rsidRPr="00B63702" w:rsidRDefault="00000000">
            <w:pPr>
              <w:rPr>
                <w:szCs w:val="32"/>
              </w:rPr>
            </w:pPr>
            <w:r w:rsidRPr="00B63702">
              <w:rPr>
                <w:szCs w:val="32"/>
              </w:rPr>
              <w:t>DeiT-Small</w:t>
            </w:r>
          </w:p>
        </w:tc>
        <w:tc>
          <w:tcPr>
            <w:tcW w:w="1930" w:type="dxa"/>
            <w:tcMar>
              <w:top w:w="55" w:type="dxa"/>
              <w:left w:w="65" w:type="dxa"/>
              <w:bottom w:w="55" w:type="dxa"/>
              <w:right w:w="65" w:type="dxa"/>
            </w:tcMar>
            <w:vAlign w:val="center"/>
          </w:tcPr>
          <w:p w14:paraId="45A62290" w14:textId="77777777" w:rsidR="004368BE" w:rsidRPr="00B63702" w:rsidRDefault="00000000">
            <w:pPr>
              <w:jc w:val="center"/>
              <w:rPr>
                <w:szCs w:val="32"/>
              </w:rPr>
            </w:pPr>
            <w:r w:rsidRPr="00B63702">
              <w:rPr>
                <w:szCs w:val="32"/>
              </w:rPr>
              <w:t>+18.0</w:t>
            </w:r>
          </w:p>
        </w:tc>
        <w:tc>
          <w:tcPr>
            <w:tcW w:w="1930" w:type="dxa"/>
            <w:tcMar>
              <w:top w:w="55" w:type="dxa"/>
              <w:left w:w="65" w:type="dxa"/>
              <w:bottom w:w="55" w:type="dxa"/>
              <w:right w:w="65" w:type="dxa"/>
            </w:tcMar>
            <w:vAlign w:val="center"/>
          </w:tcPr>
          <w:p w14:paraId="1188BA98" w14:textId="77777777" w:rsidR="004368BE" w:rsidRPr="00B63702" w:rsidRDefault="00000000">
            <w:pPr>
              <w:jc w:val="center"/>
              <w:rPr>
                <w:szCs w:val="32"/>
              </w:rPr>
            </w:pPr>
            <w:r w:rsidRPr="00B63702">
              <w:rPr>
                <w:szCs w:val="32"/>
              </w:rPr>
              <w:t>+65.1</w:t>
            </w:r>
          </w:p>
        </w:tc>
        <w:tc>
          <w:tcPr>
            <w:tcW w:w="2218" w:type="dxa"/>
            <w:tcMar>
              <w:top w:w="55" w:type="dxa"/>
              <w:left w:w="65" w:type="dxa"/>
              <w:bottom w:w="55" w:type="dxa"/>
              <w:right w:w="65" w:type="dxa"/>
            </w:tcMar>
            <w:vAlign w:val="center"/>
          </w:tcPr>
          <w:p w14:paraId="456B093F" w14:textId="77777777" w:rsidR="004368BE" w:rsidRPr="00B63702" w:rsidRDefault="00000000">
            <w:pPr>
              <w:jc w:val="center"/>
              <w:rPr>
                <w:szCs w:val="32"/>
              </w:rPr>
            </w:pPr>
            <w:r w:rsidRPr="00B63702">
              <w:rPr>
                <w:szCs w:val="32"/>
              </w:rPr>
              <w:t>+36.1</w:t>
            </w:r>
          </w:p>
        </w:tc>
        <w:tc>
          <w:tcPr>
            <w:tcW w:w="1886" w:type="dxa"/>
            <w:tcMar>
              <w:top w:w="55" w:type="dxa"/>
              <w:left w:w="65" w:type="dxa"/>
              <w:bottom w:w="55" w:type="dxa"/>
              <w:right w:w="65" w:type="dxa"/>
            </w:tcMar>
            <w:vAlign w:val="center"/>
          </w:tcPr>
          <w:p w14:paraId="364EA049" w14:textId="77777777" w:rsidR="004368BE" w:rsidRPr="00B63702" w:rsidRDefault="00000000">
            <w:pPr>
              <w:jc w:val="center"/>
              <w:rPr>
                <w:szCs w:val="32"/>
              </w:rPr>
            </w:pPr>
            <w:r w:rsidRPr="00B63702">
              <w:rPr>
                <w:szCs w:val="32"/>
              </w:rPr>
              <w:t>+7.30</w:t>
            </w:r>
          </w:p>
        </w:tc>
      </w:tr>
      <w:tr w:rsidR="004368BE" w:rsidRPr="00B63702" w14:paraId="036387DA" w14:textId="77777777" w:rsidTr="00B63702">
        <w:trPr>
          <w:cantSplit/>
          <w:jc w:val="center"/>
        </w:trPr>
        <w:tc>
          <w:tcPr>
            <w:tcW w:w="1757" w:type="dxa"/>
            <w:tcMar>
              <w:top w:w="55" w:type="dxa"/>
              <w:left w:w="65" w:type="dxa"/>
              <w:bottom w:w="55" w:type="dxa"/>
              <w:right w:w="65" w:type="dxa"/>
            </w:tcMar>
            <w:vAlign w:val="center"/>
          </w:tcPr>
          <w:p w14:paraId="0A2F21C1" w14:textId="77777777" w:rsidR="004368BE" w:rsidRPr="00B63702" w:rsidRDefault="00000000">
            <w:pPr>
              <w:rPr>
                <w:szCs w:val="32"/>
              </w:rPr>
            </w:pPr>
            <w:r w:rsidRPr="00B63702">
              <w:rPr>
                <w:szCs w:val="32"/>
              </w:rPr>
              <w:t>ViT-B/16 AugReg</w:t>
            </w:r>
          </w:p>
        </w:tc>
        <w:tc>
          <w:tcPr>
            <w:tcW w:w="1930" w:type="dxa"/>
            <w:tcMar>
              <w:top w:w="55" w:type="dxa"/>
              <w:left w:w="65" w:type="dxa"/>
              <w:bottom w:w="55" w:type="dxa"/>
              <w:right w:w="65" w:type="dxa"/>
            </w:tcMar>
            <w:vAlign w:val="center"/>
          </w:tcPr>
          <w:p w14:paraId="4D2E970C" w14:textId="77777777" w:rsidR="004368BE" w:rsidRPr="00B63702" w:rsidRDefault="00000000">
            <w:pPr>
              <w:jc w:val="center"/>
              <w:rPr>
                <w:szCs w:val="32"/>
              </w:rPr>
            </w:pPr>
            <w:r w:rsidRPr="00B63702">
              <w:rPr>
                <w:szCs w:val="32"/>
              </w:rPr>
              <w:t>+6.5</w:t>
            </w:r>
          </w:p>
        </w:tc>
        <w:tc>
          <w:tcPr>
            <w:tcW w:w="1930" w:type="dxa"/>
            <w:tcMar>
              <w:top w:w="55" w:type="dxa"/>
              <w:left w:w="65" w:type="dxa"/>
              <w:bottom w:w="55" w:type="dxa"/>
              <w:right w:w="65" w:type="dxa"/>
            </w:tcMar>
            <w:vAlign w:val="center"/>
          </w:tcPr>
          <w:p w14:paraId="0F65739A" w14:textId="77777777" w:rsidR="004368BE" w:rsidRPr="00B63702" w:rsidRDefault="00000000">
            <w:pPr>
              <w:jc w:val="center"/>
              <w:rPr>
                <w:szCs w:val="32"/>
              </w:rPr>
            </w:pPr>
            <w:r w:rsidRPr="00B63702">
              <w:rPr>
                <w:szCs w:val="32"/>
              </w:rPr>
              <w:t>+5.7</w:t>
            </w:r>
          </w:p>
        </w:tc>
        <w:tc>
          <w:tcPr>
            <w:tcW w:w="2218" w:type="dxa"/>
            <w:tcMar>
              <w:top w:w="55" w:type="dxa"/>
              <w:left w:w="65" w:type="dxa"/>
              <w:bottom w:w="55" w:type="dxa"/>
              <w:right w:w="65" w:type="dxa"/>
            </w:tcMar>
            <w:vAlign w:val="center"/>
          </w:tcPr>
          <w:p w14:paraId="42109AA2" w14:textId="77777777" w:rsidR="004368BE" w:rsidRPr="00B63702" w:rsidRDefault="00000000">
            <w:pPr>
              <w:jc w:val="center"/>
              <w:rPr>
                <w:szCs w:val="32"/>
              </w:rPr>
            </w:pPr>
            <w:r w:rsidRPr="00B63702">
              <w:rPr>
                <w:szCs w:val="32"/>
              </w:rPr>
              <w:t>+11.34</w:t>
            </w:r>
          </w:p>
        </w:tc>
        <w:tc>
          <w:tcPr>
            <w:tcW w:w="1886" w:type="dxa"/>
            <w:tcMar>
              <w:top w:w="55" w:type="dxa"/>
              <w:left w:w="65" w:type="dxa"/>
              <w:bottom w:w="55" w:type="dxa"/>
              <w:right w:w="65" w:type="dxa"/>
            </w:tcMar>
            <w:vAlign w:val="center"/>
          </w:tcPr>
          <w:p w14:paraId="120921D4" w14:textId="77777777" w:rsidR="004368BE" w:rsidRPr="00B63702" w:rsidRDefault="00000000">
            <w:pPr>
              <w:jc w:val="center"/>
              <w:rPr>
                <w:szCs w:val="32"/>
              </w:rPr>
            </w:pPr>
            <w:r w:rsidRPr="00B63702">
              <w:rPr>
                <w:szCs w:val="32"/>
              </w:rPr>
              <w:t>+33.40</w:t>
            </w:r>
          </w:p>
        </w:tc>
      </w:tr>
      <w:tr w:rsidR="004368BE" w:rsidRPr="00B63702" w14:paraId="0D51DE66" w14:textId="77777777" w:rsidTr="00B63702">
        <w:trPr>
          <w:cantSplit/>
          <w:jc w:val="center"/>
        </w:trPr>
        <w:tc>
          <w:tcPr>
            <w:tcW w:w="1757" w:type="dxa"/>
            <w:tcBorders>
              <w:bottom w:val="single" w:sz="4" w:space="0" w:color="auto"/>
            </w:tcBorders>
            <w:tcMar>
              <w:top w:w="55" w:type="dxa"/>
              <w:left w:w="65" w:type="dxa"/>
              <w:bottom w:w="55" w:type="dxa"/>
              <w:right w:w="65" w:type="dxa"/>
            </w:tcMar>
            <w:vAlign w:val="center"/>
          </w:tcPr>
          <w:p w14:paraId="1C5F74C3" w14:textId="77777777" w:rsidR="004368BE" w:rsidRPr="00B63702" w:rsidRDefault="00000000">
            <w:pPr>
              <w:rPr>
                <w:szCs w:val="32"/>
              </w:rPr>
            </w:pPr>
            <w:r w:rsidRPr="00B63702">
              <w:rPr>
                <w:szCs w:val="32"/>
              </w:rPr>
              <w:t>DINOv2 ViT-S/14</w:t>
            </w:r>
          </w:p>
        </w:tc>
        <w:tc>
          <w:tcPr>
            <w:tcW w:w="1930" w:type="dxa"/>
            <w:tcBorders>
              <w:bottom w:val="single" w:sz="4" w:space="0" w:color="auto"/>
            </w:tcBorders>
            <w:tcMar>
              <w:top w:w="55" w:type="dxa"/>
              <w:left w:w="65" w:type="dxa"/>
              <w:bottom w:w="55" w:type="dxa"/>
              <w:right w:w="65" w:type="dxa"/>
            </w:tcMar>
            <w:vAlign w:val="center"/>
          </w:tcPr>
          <w:p w14:paraId="150F2A05" w14:textId="77777777" w:rsidR="004368BE" w:rsidRPr="00B63702" w:rsidRDefault="00000000">
            <w:pPr>
              <w:jc w:val="center"/>
              <w:rPr>
                <w:szCs w:val="32"/>
              </w:rPr>
            </w:pPr>
            <w:r w:rsidRPr="00B63702">
              <w:rPr>
                <w:szCs w:val="32"/>
              </w:rPr>
              <w:t>+47.8</w:t>
            </w:r>
          </w:p>
        </w:tc>
        <w:tc>
          <w:tcPr>
            <w:tcW w:w="1930" w:type="dxa"/>
            <w:tcBorders>
              <w:bottom w:val="single" w:sz="4" w:space="0" w:color="auto"/>
            </w:tcBorders>
            <w:tcMar>
              <w:top w:w="55" w:type="dxa"/>
              <w:left w:w="65" w:type="dxa"/>
              <w:bottom w:w="55" w:type="dxa"/>
              <w:right w:w="65" w:type="dxa"/>
            </w:tcMar>
            <w:vAlign w:val="center"/>
          </w:tcPr>
          <w:p w14:paraId="01CBB8BE" w14:textId="77777777" w:rsidR="004368BE" w:rsidRPr="00B63702" w:rsidRDefault="00000000">
            <w:pPr>
              <w:jc w:val="center"/>
              <w:rPr>
                <w:szCs w:val="32"/>
              </w:rPr>
            </w:pPr>
            <w:r w:rsidRPr="00B63702">
              <w:rPr>
                <w:szCs w:val="32"/>
              </w:rPr>
              <w:t>+55.4</w:t>
            </w:r>
          </w:p>
        </w:tc>
        <w:tc>
          <w:tcPr>
            <w:tcW w:w="2218" w:type="dxa"/>
            <w:tcBorders>
              <w:bottom w:val="single" w:sz="4" w:space="0" w:color="auto"/>
            </w:tcBorders>
            <w:tcMar>
              <w:top w:w="55" w:type="dxa"/>
              <w:left w:w="65" w:type="dxa"/>
              <w:bottom w:w="55" w:type="dxa"/>
              <w:right w:w="65" w:type="dxa"/>
            </w:tcMar>
            <w:vAlign w:val="center"/>
          </w:tcPr>
          <w:p w14:paraId="7F7B09F7" w14:textId="77777777" w:rsidR="004368BE" w:rsidRPr="00B63702" w:rsidRDefault="00000000">
            <w:pPr>
              <w:jc w:val="center"/>
              <w:rPr>
                <w:szCs w:val="32"/>
              </w:rPr>
            </w:pPr>
            <w:r w:rsidRPr="00B63702">
              <w:rPr>
                <w:szCs w:val="32"/>
              </w:rPr>
              <w:t>−0.02</w:t>
            </w:r>
          </w:p>
        </w:tc>
        <w:tc>
          <w:tcPr>
            <w:tcW w:w="1886" w:type="dxa"/>
            <w:tcBorders>
              <w:bottom w:val="single" w:sz="4" w:space="0" w:color="auto"/>
            </w:tcBorders>
            <w:tcMar>
              <w:top w:w="55" w:type="dxa"/>
              <w:left w:w="65" w:type="dxa"/>
              <w:bottom w:w="55" w:type="dxa"/>
              <w:right w:w="65" w:type="dxa"/>
            </w:tcMar>
            <w:vAlign w:val="center"/>
          </w:tcPr>
          <w:p w14:paraId="2E3A4ABC" w14:textId="77777777" w:rsidR="004368BE" w:rsidRPr="00B63702" w:rsidRDefault="00000000">
            <w:pPr>
              <w:jc w:val="center"/>
              <w:rPr>
                <w:szCs w:val="32"/>
              </w:rPr>
            </w:pPr>
            <w:r w:rsidRPr="00B63702">
              <w:rPr>
                <w:szCs w:val="32"/>
              </w:rPr>
              <w:t>+0.17</w:t>
            </w:r>
          </w:p>
        </w:tc>
      </w:tr>
    </w:tbl>
    <w:p w14:paraId="24E0E192" w14:textId="4C368820" w:rsidR="004368BE" w:rsidRPr="00D003EF" w:rsidRDefault="00000000" w:rsidP="006F053A">
      <w:pPr>
        <w:spacing w:after="100" w:line="259" w:lineRule="auto"/>
        <w:jc w:val="both"/>
        <w:rPr>
          <w:sz w:val="18"/>
          <w:szCs w:val="20"/>
        </w:rPr>
      </w:pPr>
      <w:r w:rsidRPr="00D003EF">
        <w:rPr>
          <w:sz w:val="18"/>
          <w:szCs w:val="20"/>
        </w:rPr>
        <w:t>Not</w:t>
      </w:r>
      <w:r w:rsidR="006F053A" w:rsidRPr="00D003EF">
        <w:rPr>
          <w:sz w:val="18"/>
          <w:szCs w:val="20"/>
        </w:rPr>
        <w:t>e:</w:t>
      </w:r>
      <w:r w:rsidRPr="00D003EF">
        <w:rPr>
          <w:sz w:val="18"/>
          <w:szCs w:val="20"/>
        </w:rPr>
        <w:t xml:space="preserve">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623A61EC" w14:textId="77777777" w:rsidR="004C250E" w:rsidRDefault="00000000">
      <w:pPr>
        <w:pStyle w:val="Heading1"/>
      </w:pPr>
      <w:r>
        <w:rPr>
          <w:rFonts w:ascii="Times New Roman" w:hAnsi="Times New Roman"/>
        </w:rPr>
        <w:t>5. Functional Geometry and Attention-Mediated Transmission</w:t>
      </w:r>
    </w:p>
    <w:p w14:paraId="74CB8A4D" w14:textId="77777777" w:rsidR="004C250E" w:rsidRDefault="00000000">
      <w:pPr>
        <w:pStyle w:val="Heading2"/>
      </w:pPr>
      <w:r>
        <w:rPr>
          <w:rFonts w:ascii="Times New Roman" w:hAnsi="Times New Roman"/>
        </w:rPr>
        <w:t>5.1 Anisotropy and Functional Geometry</w:t>
      </w:r>
    </w:p>
    <w:p w14:paraId="3F859792" w14:textId="77777777" w:rsidR="004C250E" w:rsidRDefault="00000000" w:rsidP="006F053A">
      <w:pPr>
        <w:spacing w:after="100" w:line="259" w:lineRule="auto"/>
        <w:jc w:val="both"/>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7BBFFC5" w14:textId="77777777">
        <w:trPr>
          <w:cantSplit/>
          <w:jc w:val="center"/>
        </w:trPr>
        <w:tc>
          <w:tcPr>
            <w:tcW w:w="518" w:type="dxa"/>
            <w:tcMar>
              <w:top w:w="0" w:type="dxa"/>
              <w:left w:w="0" w:type="dxa"/>
              <w:bottom w:w="0" w:type="dxa"/>
              <w:right w:w="0" w:type="dxa"/>
            </w:tcMar>
            <w:vAlign w:val="center"/>
          </w:tcPr>
          <w:p w14:paraId="03148F9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6D5354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C6998B8"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7A14B6F6" w14:textId="77777777" w:rsidR="004C250E" w:rsidRDefault="00000000">
            <w:pPr>
              <w:keepLines/>
              <w:spacing w:before="40" w:after="80" w:line="240" w:lineRule="auto"/>
              <w:jc w:val="right"/>
            </w:pPr>
            <w:r>
              <w:rPr>
                <w:sz w:val="18"/>
              </w:rPr>
              <w:t>(2)</w:t>
            </w:r>
          </w:p>
        </w:tc>
      </w:tr>
    </w:tbl>
    <w:p w14:paraId="524FDA8B" w14:textId="77777777" w:rsidR="004C250E" w:rsidRDefault="00000000" w:rsidP="006F053A">
      <w:pPr>
        <w:keepLines/>
        <w:spacing w:after="100" w:line="259" w:lineRule="auto"/>
        <w:jc w:val="both"/>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5C7FE641"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31B12AB3"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F27589D" w14:textId="00B76BF8" w:rsidR="004F4849" w:rsidRPr="004F4849" w:rsidRDefault="00000000" w:rsidP="004F4849">
      <w:pPr>
        <w:keepLines/>
        <w:spacing w:after="80"/>
        <w:jc w:val="both"/>
        <w:rPr>
          <w:iCs/>
          <w:color w:val="auto"/>
          <w:sz w:val="18"/>
          <w:szCs w:val="18"/>
        </w:rPr>
      </w:pPr>
      <w:r w:rsidRPr="00D003EF">
        <w:rPr>
          <w:b/>
          <w:bCs/>
          <w:iCs/>
          <w:color w:val="auto"/>
          <w:sz w:val="18"/>
          <w:szCs w:val="18"/>
        </w:rPr>
        <w:t>Figure 4.</w:t>
      </w:r>
      <w:r w:rsidRPr="00D003EF">
        <w:rPr>
          <w:iCs/>
          <w:color w:val="auto"/>
          <w:sz w:val="18"/>
          <w:szCs w:val="18"/>
        </w:rPr>
        <w:t xml:space="preserve"> </w:t>
      </w:r>
      <w:r w:rsidR="004F4849" w:rsidRPr="004F4849">
        <w:rPr>
          <w:iCs/>
          <w:color w:val="auto"/>
          <w:sz w:val="18"/>
          <w:szCs w:val="18"/>
        </w:rPr>
        <w:t>Depth-dependent functional sensitivity and near-null structure. (a) Ratio of squared-margin sensitivity along the highest- and lowest-variance principal components across depths 5, 7, 8, and 10. Values above 1 indicate greater sensitivity along PC1. (b) Fraction of eigenvalues of Mℓ below the relative threshold 10⁻³λmax across depth. Results use 100 calibration images per architecture.</w:t>
      </w:r>
    </w:p>
    <w:p w14:paraId="74BFDBC2" w14:textId="537F707A" w:rsidR="004C250E" w:rsidRPr="00D003EF" w:rsidRDefault="004C250E" w:rsidP="006F053A">
      <w:pPr>
        <w:keepLines/>
        <w:spacing w:after="80"/>
        <w:jc w:val="both"/>
        <w:rPr>
          <w:iCs/>
          <w:color w:val="auto"/>
          <w:sz w:val="18"/>
          <w:szCs w:val="18"/>
        </w:rPr>
      </w:pPr>
    </w:p>
    <w:p w14:paraId="4CFE1925" w14:textId="77777777" w:rsidR="006F053A" w:rsidRPr="00F845DC" w:rsidRDefault="006F053A" w:rsidP="006F053A">
      <w:pPr>
        <w:keepLines/>
        <w:spacing w:after="80"/>
        <w:jc w:val="both"/>
        <w:rPr>
          <w:iCs/>
          <w:color w:val="auto"/>
          <w:szCs w:val="20"/>
        </w:rPr>
      </w:pPr>
    </w:p>
    <w:p w14:paraId="7F5E8D4B" w14:textId="77777777" w:rsidR="004368BE" w:rsidRDefault="00000000" w:rsidP="00D003EF">
      <w:pPr>
        <w:spacing w:after="100" w:line="259" w:lineRule="auto"/>
        <w:jc w:val="both"/>
      </w:pPr>
      <w:r>
        <w:t xml:space="preserve">At depth 8, the ViT-B PCbottom direction is especially uncertain because its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695F8522" w14:textId="35CCF11E" w:rsidR="004C250E" w:rsidRDefault="00000000" w:rsidP="00D003EF">
      <w:pPr>
        <w:spacing w:after="100" w:line="259" w:lineRule="auto"/>
        <w:jc w:val="both"/>
      </w:pPr>
      <w:r>
        <w:t xml:space="preserve">The entropy-based effective rank [57]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is divided by feature dimension </w:t>
      </w:r>
      <m:oMath>
        <m:r>
          <w:rPr>
            <w:rFonts w:ascii="Cambria Math" w:hAnsi="Cambria Math"/>
          </w:rPr>
          <m:t>D</m:t>
        </m:r>
      </m:oMath>
      <w:r>
        <w:t xml:space="preserve"> as a PCF normalization and compared across depths 5–10 in Table </w:t>
      </w:r>
      <w:r w:rsidR="006F053A">
        <w:t>3</w:t>
      </w:r>
      <w:r>
        <w:t xml:space="preserve">.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14:paraId="1083522E" w14:textId="2F2A0427" w:rsidR="004368BE" w:rsidRDefault="00000000" w:rsidP="00D003EF">
      <w:pPr>
        <w:spacing w:after="100" w:line="259" w:lineRule="auto"/>
        <w:jc w:val="both"/>
      </w:pPr>
      <w:r>
        <w:t xml:space="preserve">Near-null expansion at the primary cutoff is architecture-dependent and small for DINOv2. The ViT-B PCbottom ratio depends on a direction with a small covariance eigengap. </w:t>
      </w:r>
      <w:r w:rsidR="0079720F" w:rsidRPr="0079720F">
        <w:t>These depth-wise associations connect late-layer fungibility with changes in local functional sensitivity, motivating the transmission analyses that follow.</w:t>
      </w:r>
    </w:p>
    <w:p w14:paraId="191FC7F3" w14:textId="77777777" w:rsidR="006F053A" w:rsidRDefault="006F053A">
      <w:pPr>
        <w:spacing w:after="100" w:line="259" w:lineRule="auto"/>
      </w:pPr>
    </w:p>
    <w:p w14:paraId="18F4669C" w14:textId="02024745" w:rsidR="004368BE" w:rsidRPr="006F053A" w:rsidRDefault="00000000">
      <w:pPr>
        <w:spacing w:after="100" w:line="259" w:lineRule="auto"/>
        <w:rPr>
          <w:b/>
          <w:bCs/>
        </w:rPr>
      </w:pPr>
      <w:r w:rsidRPr="006F053A">
        <w:rPr>
          <w:b/>
          <w:bCs/>
        </w:rPr>
        <w:t>T</w:t>
      </w:r>
      <w:r w:rsidR="006F053A" w:rsidRPr="006F053A">
        <w:rPr>
          <w:b/>
          <w:bCs/>
        </w:rPr>
        <w:t>able 3</w:t>
      </w:r>
    </w:p>
    <w:p w14:paraId="763D7C1C" w14:textId="77777777" w:rsidR="004368BE" w:rsidRPr="00D003EF" w:rsidRDefault="00000000">
      <w:pPr>
        <w:keepNext/>
        <w:spacing w:after="100" w:line="259" w:lineRule="auto"/>
        <w:rPr>
          <w:sz w:val="18"/>
          <w:szCs w:val="20"/>
        </w:rPr>
      </w:pPr>
      <w:r w:rsidRPr="00D003EF">
        <w:rPr>
          <w:sz w:val="18"/>
          <w:szCs w:val="20"/>
        </w:rPr>
        <w:t xml:space="preserve">The empirical margin-gradient metric Mℓ and its depth-dependent spectrum. Normalized effective rank is dimensionless; near-null eigenvalues satisfy λk ≤ </w:t>
      </w:r>
      <m:oMath>
        <m:sSup>
          <m:sSupPr>
            <m:ctrlPr>
              <w:rPr>
                <w:rFonts w:ascii="Cambria Math" w:hAnsi="Cambria Math"/>
                <w:sz w:val="18"/>
                <w:szCs w:val="20"/>
              </w:rPr>
            </m:ctrlPr>
          </m:sSupPr>
          <m:e>
            <m:r>
              <w:rPr>
                <w:rFonts w:ascii="Cambria Math" w:hAnsi="Cambria Math"/>
                <w:sz w:val="18"/>
                <w:szCs w:val="20"/>
              </w:rPr>
              <m:t>10</m:t>
            </m:r>
          </m:e>
          <m:sup>
            <m:r>
              <w:rPr>
                <w:rFonts w:ascii="Cambria Math" w:hAnsi="Cambria Math"/>
                <w:sz w:val="18"/>
                <w:szCs w:val="20"/>
              </w:rPr>
              <m:t>-3</m:t>
            </m:r>
          </m:sup>
        </m:sSup>
      </m:oMath>
      <w:r w:rsidRPr="00D003EF">
        <w:rPr>
          <w:sz w:val="18"/>
          <w:szCs w:val="20"/>
        </w:rPr>
        <w:t xml:space="preserve"> λmax, an operational cutoff rather than an exact nonlinear nullspace criterion.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2477"/>
        <w:gridCol w:w="2448"/>
        <w:gridCol w:w="2995"/>
      </w:tblGrid>
      <w:tr w:rsidR="004368BE" w:rsidRPr="00B63702" w14:paraId="68323602" w14:textId="77777777" w:rsidTr="00B63702">
        <w:trPr>
          <w:cantSplit/>
          <w:tblHeader/>
          <w:jc w:val="center"/>
        </w:trPr>
        <w:tc>
          <w:tcPr>
            <w:tcW w:w="1800" w:type="dxa"/>
            <w:tcBorders>
              <w:top w:val="single" w:sz="4" w:space="0" w:color="auto"/>
              <w:bottom w:val="single" w:sz="4" w:space="0" w:color="auto"/>
            </w:tcBorders>
            <w:tcMar>
              <w:top w:w="55" w:type="dxa"/>
              <w:left w:w="65" w:type="dxa"/>
              <w:bottom w:w="55" w:type="dxa"/>
              <w:right w:w="65" w:type="dxa"/>
            </w:tcMar>
            <w:vAlign w:val="center"/>
          </w:tcPr>
          <w:p w14:paraId="2FCF2281" w14:textId="77777777" w:rsidR="004368BE" w:rsidRPr="00B63702" w:rsidRDefault="00000000">
            <w:pPr>
              <w:jc w:val="center"/>
              <w:rPr>
                <w:szCs w:val="32"/>
              </w:rPr>
            </w:pPr>
            <w:r w:rsidRPr="00B63702">
              <w:rPr>
                <w:b/>
                <w:color w:val="17232D"/>
                <w:szCs w:val="32"/>
              </w:rPr>
              <w:t>Architecture</w:t>
            </w:r>
          </w:p>
        </w:tc>
        <w:tc>
          <w:tcPr>
            <w:tcW w:w="2477" w:type="dxa"/>
            <w:tcBorders>
              <w:top w:val="single" w:sz="4" w:space="0" w:color="auto"/>
              <w:bottom w:val="single" w:sz="4" w:space="0" w:color="auto"/>
            </w:tcBorders>
            <w:tcMar>
              <w:top w:w="55" w:type="dxa"/>
              <w:left w:w="65" w:type="dxa"/>
              <w:bottom w:w="55" w:type="dxa"/>
              <w:right w:w="65" w:type="dxa"/>
            </w:tcMar>
            <w:vAlign w:val="center"/>
          </w:tcPr>
          <w:p w14:paraId="386B6ABB" w14:textId="77777777" w:rsidR="004368BE" w:rsidRPr="00B63702" w:rsidRDefault="00000000">
            <w:pPr>
              <w:jc w:val="center"/>
              <w:rPr>
                <w:szCs w:val="32"/>
              </w:rPr>
            </w:pPr>
            <w:r w:rsidRPr="00B63702">
              <w:rPr>
                <w:b/>
                <w:color w:val="17232D"/>
                <w:szCs w:val="32"/>
              </w:rPr>
              <w:t>Normalized effective rank, d5 → d10</w:t>
            </w:r>
          </w:p>
        </w:tc>
        <w:tc>
          <w:tcPr>
            <w:tcW w:w="2448" w:type="dxa"/>
            <w:tcBorders>
              <w:top w:val="single" w:sz="4" w:space="0" w:color="auto"/>
              <w:bottom w:val="single" w:sz="4" w:space="0" w:color="auto"/>
            </w:tcBorders>
            <w:tcMar>
              <w:top w:w="55" w:type="dxa"/>
              <w:left w:w="65" w:type="dxa"/>
              <w:bottom w:w="55" w:type="dxa"/>
              <w:right w:w="65" w:type="dxa"/>
            </w:tcMar>
            <w:vAlign w:val="center"/>
          </w:tcPr>
          <w:p w14:paraId="0BEA66CC" w14:textId="77777777" w:rsidR="004368BE" w:rsidRPr="00B63702" w:rsidRDefault="00000000">
            <w:pPr>
              <w:jc w:val="center"/>
              <w:rPr>
                <w:szCs w:val="32"/>
              </w:rPr>
            </w:pPr>
            <w:r w:rsidRPr="00B63702">
              <w:rPr>
                <w:b/>
                <w:color w:val="17232D"/>
                <w:szCs w:val="32"/>
              </w:rPr>
              <w:t>Near-null fraction, d5 → d10</w:t>
            </w:r>
          </w:p>
        </w:tc>
        <w:tc>
          <w:tcPr>
            <w:tcW w:w="2995" w:type="dxa"/>
            <w:tcBorders>
              <w:top w:val="single" w:sz="4" w:space="0" w:color="auto"/>
              <w:bottom w:val="single" w:sz="4" w:space="0" w:color="auto"/>
            </w:tcBorders>
            <w:tcMar>
              <w:top w:w="55" w:type="dxa"/>
              <w:left w:w="65" w:type="dxa"/>
              <w:bottom w:w="55" w:type="dxa"/>
              <w:right w:w="65" w:type="dxa"/>
            </w:tcMar>
            <w:vAlign w:val="center"/>
          </w:tcPr>
          <w:p w14:paraId="3A7651F0" w14:textId="77777777" w:rsidR="004368BE" w:rsidRPr="00B63702" w:rsidRDefault="00000000">
            <w:pPr>
              <w:jc w:val="center"/>
              <w:rPr>
                <w:szCs w:val="32"/>
              </w:rPr>
            </w:pPr>
            <w:r w:rsidRPr="00B63702">
              <w:rPr>
                <w:b/>
                <w:color w:val="17232D"/>
                <w:szCs w:val="32"/>
              </w:rPr>
              <w:t>PC1 / PCbottom sensitivity ratio, d8</w:t>
            </w:r>
          </w:p>
        </w:tc>
      </w:tr>
      <w:tr w:rsidR="004368BE" w:rsidRPr="00B63702" w14:paraId="66708E7E" w14:textId="77777777" w:rsidTr="00B63702">
        <w:trPr>
          <w:cantSplit/>
          <w:jc w:val="center"/>
        </w:trPr>
        <w:tc>
          <w:tcPr>
            <w:tcW w:w="1800" w:type="dxa"/>
            <w:tcBorders>
              <w:top w:val="single" w:sz="4" w:space="0" w:color="auto"/>
            </w:tcBorders>
            <w:tcMar>
              <w:top w:w="55" w:type="dxa"/>
              <w:left w:w="65" w:type="dxa"/>
              <w:bottom w:w="55" w:type="dxa"/>
              <w:right w:w="65" w:type="dxa"/>
            </w:tcMar>
            <w:vAlign w:val="center"/>
          </w:tcPr>
          <w:p w14:paraId="694ED20D" w14:textId="77777777" w:rsidR="004368BE" w:rsidRPr="00B63702" w:rsidRDefault="00000000">
            <w:pPr>
              <w:rPr>
                <w:szCs w:val="32"/>
              </w:rPr>
            </w:pPr>
            <w:r w:rsidRPr="00B63702">
              <w:rPr>
                <w:szCs w:val="32"/>
              </w:rPr>
              <w:t>DeiT-Tiny</w:t>
            </w:r>
          </w:p>
        </w:tc>
        <w:tc>
          <w:tcPr>
            <w:tcW w:w="2477" w:type="dxa"/>
            <w:tcBorders>
              <w:top w:val="single" w:sz="4" w:space="0" w:color="auto"/>
            </w:tcBorders>
            <w:tcMar>
              <w:top w:w="55" w:type="dxa"/>
              <w:left w:w="65" w:type="dxa"/>
              <w:bottom w:w="55" w:type="dxa"/>
              <w:right w:w="65" w:type="dxa"/>
            </w:tcMar>
            <w:vAlign w:val="center"/>
          </w:tcPr>
          <w:p w14:paraId="0FDD2912" w14:textId="77777777" w:rsidR="004368BE" w:rsidRPr="00B63702" w:rsidRDefault="00000000">
            <w:pPr>
              <w:jc w:val="center"/>
              <w:rPr>
                <w:szCs w:val="32"/>
              </w:rPr>
            </w:pPr>
            <w:r w:rsidRPr="00B63702">
              <w:rPr>
                <w:szCs w:val="32"/>
              </w:rPr>
              <w:t>0.541 → 0.125</w:t>
            </w:r>
          </w:p>
        </w:tc>
        <w:tc>
          <w:tcPr>
            <w:tcW w:w="2448" w:type="dxa"/>
            <w:tcBorders>
              <w:top w:val="single" w:sz="4" w:space="0" w:color="auto"/>
            </w:tcBorders>
            <w:tcMar>
              <w:top w:w="55" w:type="dxa"/>
              <w:left w:w="65" w:type="dxa"/>
              <w:bottom w:w="55" w:type="dxa"/>
              <w:right w:w="65" w:type="dxa"/>
            </w:tcMar>
            <w:vAlign w:val="center"/>
          </w:tcPr>
          <w:p w14:paraId="327D640B" w14:textId="77777777" w:rsidR="004368BE" w:rsidRPr="00B63702" w:rsidRDefault="00000000">
            <w:pPr>
              <w:jc w:val="center"/>
              <w:rPr>
                <w:szCs w:val="32"/>
              </w:rPr>
            </w:pPr>
            <w:r w:rsidRPr="00B63702">
              <w:rPr>
                <w:szCs w:val="32"/>
              </w:rPr>
              <w:t>0.52% → 31.77%</w:t>
            </w:r>
          </w:p>
        </w:tc>
        <w:tc>
          <w:tcPr>
            <w:tcW w:w="2995" w:type="dxa"/>
            <w:tcBorders>
              <w:top w:val="single" w:sz="4" w:space="0" w:color="auto"/>
            </w:tcBorders>
            <w:tcMar>
              <w:top w:w="55" w:type="dxa"/>
              <w:left w:w="65" w:type="dxa"/>
              <w:bottom w:w="55" w:type="dxa"/>
              <w:right w:w="65" w:type="dxa"/>
            </w:tcMar>
            <w:vAlign w:val="center"/>
          </w:tcPr>
          <w:p w14:paraId="0F73BEEF" w14:textId="77777777" w:rsidR="004368BE" w:rsidRPr="00B63702" w:rsidRDefault="00000000">
            <w:pPr>
              <w:jc w:val="center"/>
              <w:rPr>
                <w:szCs w:val="32"/>
              </w:rPr>
            </w:pPr>
            <w:r w:rsidRPr="00B63702">
              <w:rPr>
                <w:szCs w:val="32"/>
              </w:rPr>
              <w:t>0.089</w:t>
            </w:r>
          </w:p>
        </w:tc>
      </w:tr>
      <w:tr w:rsidR="004368BE" w:rsidRPr="00B63702" w14:paraId="3CD12D0D" w14:textId="77777777" w:rsidTr="00B63702">
        <w:trPr>
          <w:cantSplit/>
          <w:jc w:val="center"/>
        </w:trPr>
        <w:tc>
          <w:tcPr>
            <w:tcW w:w="1800" w:type="dxa"/>
            <w:tcMar>
              <w:top w:w="55" w:type="dxa"/>
              <w:left w:w="65" w:type="dxa"/>
              <w:bottom w:w="55" w:type="dxa"/>
              <w:right w:w="65" w:type="dxa"/>
            </w:tcMar>
            <w:vAlign w:val="center"/>
          </w:tcPr>
          <w:p w14:paraId="07177668" w14:textId="77777777" w:rsidR="004368BE" w:rsidRPr="00B63702" w:rsidRDefault="00000000">
            <w:pPr>
              <w:rPr>
                <w:szCs w:val="32"/>
              </w:rPr>
            </w:pPr>
            <w:r w:rsidRPr="00B63702">
              <w:rPr>
                <w:szCs w:val="32"/>
              </w:rPr>
              <w:t>DeiT-Small</w:t>
            </w:r>
          </w:p>
        </w:tc>
        <w:tc>
          <w:tcPr>
            <w:tcW w:w="2477" w:type="dxa"/>
            <w:tcMar>
              <w:top w:w="55" w:type="dxa"/>
              <w:left w:w="65" w:type="dxa"/>
              <w:bottom w:w="55" w:type="dxa"/>
              <w:right w:w="65" w:type="dxa"/>
            </w:tcMar>
            <w:vAlign w:val="center"/>
          </w:tcPr>
          <w:p w14:paraId="2A262636" w14:textId="77777777" w:rsidR="004368BE" w:rsidRPr="00B63702" w:rsidRDefault="00000000">
            <w:pPr>
              <w:jc w:val="center"/>
              <w:rPr>
                <w:szCs w:val="32"/>
              </w:rPr>
            </w:pPr>
            <w:r w:rsidRPr="00B63702">
              <w:rPr>
                <w:szCs w:val="32"/>
              </w:rPr>
              <w:t>0.467 → 0.114</w:t>
            </w:r>
          </w:p>
        </w:tc>
        <w:tc>
          <w:tcPr>
            <w:tcW w:w="2448" w:type="dxa"/>
            <w:tcMar>
              <w:top w:w="55" w:type="dxa"/>
              <w:left w:w="65" w:type="dxa"/>
              <w:bottom w:w="55" w:type="dxa"/>
              <w:right w:w="65" w:type="dxa"/>
            </w:tcMar>
            <w:vAlign w:val="center"/>
          </w:tcPr>
          <w:p w14:paraId="1494A276" w14:textId="77777777" w:rsidR="004368BE" w:rsidRPr="00B63702" w:rsidRDefault="00000000">
            <w:pPr>
              <w:jc w:val="center"/>
              <w:rPr>
                <w:szCs w:val="32"/>
              </w:rPr>
            </w:pPr>
            <w:r w:rsidRPr="00B63702">
              <w:rPr>
                <w:szCs w:val="32"/>
              </w:rPr>
              <w:t>0.26% → 57.03%</w:t>
            </w:r>
          </w:p>
        </w:tc>
        <w:tc>
          <w:tcPr>
            <w:tcW w:w="2995" w:type="dxa"/>
            <w:tcMar>
              <w:top w:w="55" w:type="dxa"/>
              <w:left w:w="65" w:type="dxa"/>
              <w:bottom w:w="55" w:type="dxa"/>
              <w:right w:w="65" w:type="dxa"/>
            </w:tcMar>
            <w:vAlign w:val="center"/>
          </w:tcPr>
          <w:p w14:paraId="25294F3A" w14:textId="77777777" w:rsidR="004368BE" w:rsidRPr="00B63702" w:rsidRDefault="00000000">
            <w:pPr>
              <w:jc w:val="center"/>
              <w:rPr>
                <w:szCs w:val="32"/>
              </w:rPr>
            </w:pPr>
            <w:r w:rsidRPr="00B63702">
              <w:rPr>
                <w:szCs w:val="32"/>
              </w:rPr>
              <w:t>0.041</w:t>
            </w:r>
          </w:p>
        </w:tc>
      </w:tr>
      <w:tr w:rsidR="004368BE" w:rsidRPr="00B63702" w14:paraId="700693C3" w14:textId="77777777" w:rsidTr="00B63702">
        <w:trPr>
          <w:cantSplit/>
          <w:jc w:val="center"/>
        </w:trPr>
        <w:tc>
          <w:tcPr>
            <w:tcW w:w="1800" w:type="dxa"/>
            <w:tcMar>
              <w:top w:w="55" w:type="dxa"/>
              <w:left w:w="65" w:type="dxa"/>
              <w:bottom w:w="55" w:type="dxa"/>
              <w:right w:w="65" w:type="dxa"/>
            </w:tcMar>
            <w:vAlign w:val="center"/>
          </w:tcPr>
          <w:p w14:paraId="3FBA226A" w14:textId="77777777" w:rsidR="004368BE" w:rsidRPr="00B63702" w:rsidRDefault="00000000">
            <w:pPr>
              <w:rPr>
                <w:szCs w:val="32"/>
              </w:rPr>
            </w:pPr>
            <w:r w:rsidRPr="00B63702">
              <w:rPr>
                <w:szCs w:val="32"/>
              </w:rPr>
              <w:t>ViT-B/16 AugReg</w:t>
            </w:r>
          </w:p>
        </w:tc>
        <w:tc>
          <w:tcPr>
            <w:tcW w:w="2477" w:type="dxa"/>
            <w:tcMar>
              <w:top w:w="55" w:type="dxa"/>
              <w:left w:w="65" w:type="dxa"/>
              <w:bottom w:w="55" w:type="dxa"/>
              <w:right w:w="65" w:type="dxa"/>
            </w:tcMar>
            <w:vAlign w:val="center"/>
          </w:tcPr>
          <w:p w14:paraId="62C71C6A" w14:textId="77777777" w:rsidR="004368BE" w:rsidRPr="00B63702" w:rsidRDefault="00000000">
            <w:pPr>
              <w:jc w:val="center"/>
              <w:rPr>
                <w:szCs w:val="32"/>
              </w:rPr>
            </w:pPr>
            <w:r w:rsidRPr="00B63702">
              <w:rPr>
                <w:szCs w:val="32"/>
              </w:rPr>
              <w:t>0.383 → 0.140</w:t>
            </w:r>
          </w:p>
        </w:tc>
        <w:tc>
          <w:tcPr>
            <w:tcW w:w="2448" w:type="dxa"/>
            <w:tcMar>
              <w:top w:w="55" w:type="dxa"/>
              <w:left w:w="65" w:type="dxa"/>
              <w:bottom w:w="55" w:type="dxa"/>
              <w:right w:w="65" w:type="dxa"/>
            </w:tcMar>
            <w:vAlign w:val="center"/>
          </w:tcPr>
          <w:p w14:paraId="0B99FB88" w14:textId="77777777" w:rsidR="004368BE" w:rsidRPr="00B63702" w:rsidRDefault="00000000">
            <w:pPr>
              <w:jc w:val="center"/>
              <w:rPr>
                <w:szCs w:val="32"/>
              </w:rPr>
            </w:pPr>
            <w:r w:rsidRPr="00B63702">
              <w:rPr>
                <w:szCs w:val="32"/>
              </w:rPr>
              <w:t>0.26% → 49.61%</w:t>
            </w:r>
          </w:p>
        </w:tc>
        <w:tc>
          <w:tcPr>
            <w:tcW w:w="2995" w:type="dxa"/>
            <w:tcMar>
              <w:top w:w="55" w:type="dxa"/>
              <w:left w:w="65" w:type="dxa"/>
              <w:bottom w:w="55" w:type="dxa"/>
              <w:right w:w="65" w:type="dxa"/>
            </w:tcMar>
            <w:vAlign w:val="center"/>
          </w:tcPr>
          <w:p w14:paraId="2D534EE6" w14:textId="77777777" w:rsidR="004368BE" w:rsidRPr="00B63702" w:rsidRDefault="00000000">
            <w:pPr>
              <w:jc w:val="center"/>
              <w:rPr>
                <w:szCs w:val="32"/>
              </w:rPr>
            </w:pPr>
            <w:r w:rsidRPr="00B63702">
              <w:rPr>
                <w:szCs w:val="32"/>
              </w:rPr>
              <w:t>65.2†</w:t>
            </w:r>
          </w:p>
        </w:tc>
      </w:tr>
      <w:tr w:rsidR="004368BE" w:rsidRPr="00B63702" w14:paraId="4970A005" w14:textId="77777777" w:rsidTr="00B63702">
        <w:trPr>
          <w:cantSplit/>
          <w:jc w:val="center"/>
        </w:trPr>
        <w:tc>
          <w:tcPr>
            <w:tcW w:w="1800" w:type="dxa"/>
            <w:tcBorders>
              <w:bottom w:val="single" w:sz="4" w:space="0" w:color="auto"/>
            </w:tcBorders>
            <w:tcMar>
              <w:top w:w="55" w:type="dxa"/>
              <w:left w:w="65" w:type="dxa"/>
              <w:bottom w:w="55" w:type="dxa"/>
              <w:right w:w="65" w:type="dxa"/>
            </w:tcMar>
            <w:vAlign w:val="center"/>
          </w:tcPr>
          <w:p w14:paraId="475F813F" w14:textId="77777777" w:rsidR="004368BE" w:rsidRPr="00B63702" w:rsidRDefault="00000000">
            <w:pPr>
              <w:rPr>
                <w:szCs w:val="32"/>
              </w:rPr>
            </w:pPr>
            <w:r w:rsidRPr="00B63702">
              <w:rPr>
                <w:szCs w:val="32"/>
              </w:rPr>
              <w:t>DINOv2 ViT-S/14</w:t>
            </w:r>
          </w:p>
        </w:tc>
        <w:tc>
          <w:tcPr>
            <w:tcW w:w="2477" w:type="dxa"/>
            <w:tcBorders>
              <w:bottom w:val="single" w:sz="4" w:space="0" w:color="auto"/>
            </w:tcBorders>
            <w:tcMar>
              <w:top w:w="55" w:type="dxa"/>
              <w:left w:w="65" w:type="dxa"/>
              <w:bottom w:w="55" w:type="dxa"/>
              <w:right w:w="65" w:type="dxa"/>
            </w:tcMar>
            <w:vAlign w:val="center"/>
          </w:tcPr>
          <w:p w14:paraId="35EE2CD2" w14:textId="77777777" w:rsidR="004368BE" w:rsidRPr="00B63702" w:rsidRDefault="00000000">
            <w:pPr>
              <w:jc w:val="center"/>
              <w:rPr>
                <w:szCs w:val="32"/>
              </w:rPr>
            </w:pPr>
            <w:r w:rsidRPr="00B63702">
              <w:rPr>
                <w:szCs w:val="32"/>
              </w:rPr>
              <w:t>0.453 → 0.323</w:t>
            </w:r>
          </w:p>
        </w:tc>
        <w:tc>
          <w:tcPr>
            <w:tcW w:w="2448" w:type="dxa"/>
            <w:tcBorders>
              <w:bottom w:val="single" w:sz="4" w:space="0" w:color="auto"/>
            </w:tcBorders>
            <w:tcMar>
              <w:top w:w="55" w:type="dxa"/>
              <w:left w:w="65" w:type="dxa"/>
              <w:bottom w:w="55" w:type="dxa"/>
              <w:right w:w="65" w:type="dxa"/>
            </w:tcMar>
            <w:vAlign w:val="center"/>
          </w:tcPr>
          <w:p w14:paraId="0D3A5374" w14:textId="77777777" w:rsidR="004368BE" w:rsidRPr="00B63702" w:rsidRDefault="00000000">
            <w:pPr>
              <w:jc w:val="center"/>
              <w:rPr>
                <w:szCs w:val="32"/>
              </w:rPr>
            </w:pPr>
            <w:r w:rsidRPr="00B63702">
              <w:rPr>
                <w:szCs w:val="32"/>
              </w:rPr>
              <w:t>0.26% → 1.56%</w:t>
            </w:r>
          </w:p>
        </w:tc>
        <w:tc>
          <w:tcPr>
            <w:tcW w:w="2995" w:type="dxa"/>
            <w:tcBorders>
              <w:bottom w:val="single" w:sz="4" w:space="0" w:color="auto"/>
            </w:tcBorders>
            <w:tcMar>
              <w:top w:w="55" w:type="dxa"/>
              <w:left w:w="65" w:type="dxa"/>
              <w:bottom w:w="55" w:type="dxa"/>
              <w:right w:w="65" w:type="dxa"/>
            </w:tcMar>
            <w:vAlign w:val="center"/>
          </w:tcPr>
          <w:p w14:paraId="11A0307B" w14:textId="77777777" w:rsidR="004368BE" w:rsidRPr="00B63702" w:rsidRDefault="00000000">
            <w:pPr>
              <w:jc w:val="center"/>
              <w:rPr>
                <w:szCs w:val="32"/>
              </w:rPr>
            </w:pPr>
            <w:r w:rsidRPr="00B63702">
              <w:rPr>
                <w:szCs w:val="32"/>
              </w:rPr>
              <w:t>0.199</w:t>
            </w:r>
          </w:p>
        </w:tc>
      </w:tr>
    </w:tbl>
    <w:p w14:paraId="00B7C8A5" w14:textId="77777777" w:rsidR="004368BE" w:rsidRDefault="004368BE">
      <w:pPr>
        <w:spacing w:after="20"/>
      </w:pPr>
    </w:p>
    <w:p w14:paraId="70839665" w14:textId="77777777" w:rsidR="006F053A" w:rsidRDefault="006F053A">
      <w:pPr>
        <w:spacing w:after="100" w:line="259" w:lineRule="auto"/>
      </w:pPr>
    </w:p>
    <w:p w14:paraId="259919D7" w14:textId="1D2816C2" w:rsidR="004368BE" w:rsidRDefault="00000000" w:rsidP="00D003EF">
      <w:pPr>
        <w:spacing w:after="100" w:line="259" w:lineRule="auto"/>
        <w:jc w:val="both"/>
      </w:pPr>
      <w: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7D8113E9" w14:textId="77777777" w:rsidR="004C250E" w:rsidRDefault="00000000" w:rsidP="00D003EF">
      <w:pPr>
        <w:spacing w:after="100" w:line="259" w:lineRule="auto"/>
        <w:jc w:val="both"/>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5BE5CFEF" w14:textId="77777777" w:rsidR="004C250E" w:rsidRDefault="00000000">
      <w:pPr>
        <w:pStyle w:val="Heading2"/>
      </w:pPr>
      <w:r>
        <w:rPr>
          <w:rFonts w:ascii="Times New Roman" w:hAnsi="Times New Roman"/>
        </w:rPr>
        <w:t>5.2 Value-Path Coherence and Cancellation</w:t>
      </w:r>
    </w:p>
    <w:p w14:paraId="1A66F6D7" w14:textId="22B11F36" w:rsidR="004C250E" w:rsidRDefault="00000000" w:rsidP="00D003EF">
      <w:pPr>
        <w:spacing w:after="100" w:line="259" w:lineRule="auto"/>
        <w:jc w:val="both"/>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w:t>
      </w:r>
      <w:r w:rsidR="0079720F" w:rsidRPr="0079720F">
        <w:t>making the contrast a measure of joint Value-and-residual transmission under frozen attention.</w:t>
      </w:r>
    </w:p>
    <w:p w14:paraId="7B1868F9" w14:textId="5AC983CE" w:rsidR="004C250E" w:rsidRDefault="00000000" w:rsidP="00D003EF">
      <w:pPr>
        <w:spacing w:after="100" w:line="259" w:lineRule="auto"/>
        <w:jc w:val="both"/>
      </w:pPr>
      <w:r>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w:t>
      </w:r>
      <w:r w:rsidR="0079720F" w:rsidRPr="0079720F">
        <w:t>These ratios quantify contrasts between separately defined interventions and are interpreted as comparative transmission measurements.</w:t>
      </w:r>
      <w:r>
        <w:t xml:space="preserve"> Signed-logit outcomes for </w:t>
      </w:r>
      <w:r>
        <w:lastRenderedPageBreak/>
        <w:t>the reduced DeiT-Tiny and DINOv2 replications are reported separately in Supplementary Figure S11; Figure 5 uses the immediate-readout norm for every architecture.</w:t>
      </w:r>
    </w:p>
    <w:p w14:paraId="7280149C"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009B7C51" w14:textId="77777777" w:rsidR="004F4849" w:rsidRPr="004F4849" w:rsidRDefault="00000000" w:rsidP="004F4849">
      <w:pPr>
        <w:keepLines/>
        <w:spacing w:after="80"/>
        <w:jc w:val="both"/>
        <w:rPr>
          <w:iCs/>
          <w:color w:val="auto"/>
          <w:sz w:val="18"/>
          <w:szCs w:val="18"/>
        </w:rPr>
      </w:pPr>
      <w:r w:rsidRPr="004F4849">
        <w:rPr>
          <w:b/>
          <w:bCs/>
          <w:iCs/>
          <w:color w:val="auto"/>
          <w:sz w:val="18"/>
          <w:szCs w:val="18"/>
        </w:rPr>
        <w:t xml:space="preserve">Figure 5. </w:t>
      </w:r>
      <w:r w:rsidR="004F4849" w:rsidRPr="004F4849">
        <w:rPr>
          <w:iCs/>
          <w:color w:val="auto"/>
          <w:sz w:val="18"/>
          <w:szCs w:val="18"/>
        </w:rPr>
        <w:t>Coherent accumulation and sign-dependent cancellation under attention perturbations. Mean immediate-readout L₂ change for coherent, random-sign, and checkerboard perturbations under full perturbation versus frozen attention with perturbed Value projections and residual stream. (a) DeiT-Small, Block 8; (b) ViT-B/16 AugReg, Block 7; (c) DeiT-Tiny, Block 8; (d) DINOv2 ViT-S/14, Block 8. Each panel uses 100 images and its own vertical scale. Panels (c,d) are reduced replications.</w:t>
      </w:r>
    </w:p>
    <w:p w14:paraId="36A3A420" w14:textId="67FCF209" w:rsidR="004C250E" w:rsidRDefault="004C250E" w:rsidP="00D003EF">
      <w:pPr>
        <w:keepLines/>
        <w:spacing w:after="80"/>
        <w:jc w:val="both"/>
        <w:rPr>
          <w:iCs/>
          <w:color w:val="auto"/>
          <w:sz w:val="18"/>
          <w:szCs w:val="18"/>
        </w:rPr>
      </w:pPr>
    </w:p>
    <w:p w14:paraId="48737A7B" w14:textId="77777777" w:rsidR="00D003EF" w:rsidRPr="00D003EF" w:rsidRDefault="00D003EF" w:rsidP="00D003EF">
      <w:pPr>
        <w:keepLines/>
        <w:spacing w:after="80"/>
        <w:jc w:val="both"/>
        <w:rPr>
          <w:iCs/>
          <w:color w:val="auto"/>
          <w:sz w:val="18"/>
          <w:szCs w:val="18"/>
        </w:rPr>
      </w:pPr>
    </w:p>
    <w:p w14:paraId="3EDC386A" w14:textId="77777777" w:rsidR="004C250E" w:rsidRDefault="00000000" w:rsidP="00D003EF">
      <w:pPr>
        <w:spacing w:after="100" w:line="259" w:lineRule="auto"/>
        <w:jc w:val="both"/>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9C0A33A" w14:textId="77777777">
        <w:trPr>
          <w:cantSplit/>
          <w:jc w:val="center"/>
        </w:trPr>
        <w:tc>
          <w:tcPr>
            <w:tcW w:w="518" w:type="dxa"/>
            <w:tcMar>
              <w:top w:w="0" w:type="dxa"/>
              <w:left w:w="0" w:type="dxa"/>
              <w:bottom w:w="0" w:type="dxa"/>
              <w:right w:w="0" w:type="dxa"/>
            </w:tcMar>
            <w:vAlign w:val="center"/>
          </w:tcPr>
          <w:p w14:paraId="216D1DB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219BBD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6047F016"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42D252D6" w14:textId="77777777" w:rsidR="004C250E" w:rsidRDefault="00000000">
            <w:pPr>
              <w:keepLines/>
              <w:spacing w:before="40" w:after="80" w:line="240" w:lineRule="auto"/>
              <w:jc w:val="right"/>
            </w:pPr>
            <w:r>
              <w:rPr>
                <w:sz w:val="18"/>
              </w:rPr>
              <w:t>(3)</w:t>
            </w:r>
          </w:p>
        </w:tc>
      </w:tr>
    </w:tbl>
    <w:p w14:paraId="0E42A67D" w14:textId="77777777" w:rsidR="004C250E" w:rsidRDefault="00000000" w:rsidP="00D003EF">
      <w:pPr>
        <w:spacing w:after="100" w:line="259" w:lineRule="auto"/>
        <w:jc w:val="both"/>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2DF9C8A7" w14:textId="77777777" w:rsidR="004C250E" w:rsidRDefault="00000000">
      <w:pPr>
        <w:pStyle w:val="Heading2"/>
      </w:pPr>
      <w:r>
        <w:rPr>
          <w:rFonts w:ascii="Times New Roman" w:hAnsi="Times New Roman"/>
        </w:rPr>
        <w:t>5.3 End-to-End Functional Transmission</w:t>
      </w:r>
    </w:p>
    <w:p w14:paraId="62936DD5" w14:textId="77777777" w:rsidR="004C250E" w:rsidRDefault="00000000" w:rsidP="00D003EF">
      <w:pPr>
        <w:spacing w:after="100" w:line="259" w:lineRule="auto"/>
        <w:jc w:val="both"/>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457C2AB" w14:textId="77777777">
        <w:trPr>
          <w:cantSplit/>
          <w:jc w:val="center"/>
        </w:trPr>
        <w:tc>
          <w:tcPr>
            <w:tcW w:w="518" w:type="dxa"/>
            <w:tcMar>
              <w:top w:w="0" w:type="dxa"/>
              <w:left w:w="0" w:type="dxa"/>
              <w:bottom w:w="0" w:type="dxa"/>
              <w:right w:w="0" w:type="dxa"/>
            </w:tcMar>
            <w:vAlign w:val="center"/>
          </w:tcPr>
          <w:p w14:paraId="4CE962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08573D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0ABAEDF5"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0478F78" w14:textId="77777777" w:rsidR="004C250E" w:rsidRDefault="00000000">
            <w:pPr>
              <w:keepLines/>
              <w:spacing w:before="40" w:after="80" w:line="240" w:lineRule="auto"/>
              <w:jc w:val="right"/>
            </w:pPr>
            <w:r>
              <w:rPr>
                <w:sz w:val="18"/>
              </w:rPr>
              <w:t>(4)</w:t>
            </w:r>
          </w:p>
        </w:tc>
      </w:tr>
    </w:tbl>
    <w:p w14:paraId="05D3C5F5" w14:textId="77777777" w:rsidR="004C250E" w:rsidRDefault="00000000" w:rsidP="00D003EF">
      <w:pPr>
        <w:spacing w:after="100" w:line="259" w:lineRule="auto"/>
        <w:jc w:val="both"/>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285E0572" w14:textId="77777777" w:rsidR="004C250E" w:rsidRDefault="00000000" w:rsidP="00D003EF">
      <w:pPr>
        <w:spacing w:after="100" w:line="259" w:lineRule="auto"/>
        <w:jc w:val="both"/>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3A03BE28" w14:textId="2DF3A277" w:rsidR="004C250E" w:rsidRDefault="00000000" w:rsidP="00D003EF">
      <w:pPr>
        <w:spacing w:after="100" w:line="259" w:lineRule="auto"/>
        <w:jc w:val="both"/>
      </w:pPr>
      <w:r>
        <w:t xml:space="preserve">The </w:t>
      </w:r>
      <w:r>
        <w:t>jac_top</w:t>
      </w:r>
      <w:r>
        <w:t xml:space="preserve"> and </w:t>
      </w:r>
      <w:r>
        <w:t>jac_null</w:t>
      </w:r>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w:t>
      </w:r>
      <w:r w:rsidR="0079720F" w:rsidRPr="0079720F">
        <w:t>yielding descriptive within-cohort estimates of the pattern–direction response.</w:t>
      </w:r>
      <w:r>
        <w:t xml:space="preserve"> Responses vary across both pattern and direction, but the full direction-by-pattern regression is saturated and has no residual degrees of freedom; it therefore supports no inferential significance claim.</w:t>
      </w:r>
    </w:p>
    <w:p w14:paraId="3CA2D2E8"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6526461B"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6.</w:t>
      </w:r>
      <w:r w:rsidRPr="00D003EF">
        <w:rPr>
          <w:iCs/>
          <w:color w:val="auto"/>
          <w:sz w:val="18"/>
          <w:szCs w:val="18"/>
        </w:rPr>
        <w:t xml:space="preserve"> </w:t>
      </w:r>
      <w:r w:rsidR="004F4849" w:rsidRPr="004F4849">
        <w:rPr>
          <w:iCs/>
          <w:color w:val="auto"/>
          <w:sz w:val="18"/>
          <w:szCs w:val="18"/>
        </w:rPr>
        <w:t>Joint token–feature sensitivity to patch perturbations. Mean final-logit L₂ change across token perturbation patterns (rows) and feature-space directions (columns) at perturbation scale s = 1.0. (a) DeiT-Small, Block 8; (b) ViT-B/16 AugReg, Block 7. Both heatmaps share a logarithmic color scale. Directions and responses are evaluated using the same 100-image calibration cohort per model, yielding descriptive within-cohort results.</w:t>
      </w:r>
    </w:p>
    <w:p w14:paraId="022A9BA9" w14:textId="77777777" w:rsidR="00D003EF" w:rsidRPr="00D003EF" w:rsidRDefault="00D003EF" w:rsidP="00D003EF">
      <w:pPr>
        <w:keepLines/>
        <w:spacing w:after="80"/>
        <w:jc w:val="both"/>
        <w:rPr>
          <w:iCs/>
          <w:color w:val="auto"/>
          <w:sz w:val="22"/>
          <w:szCs w:val="24"/>
        </w:rPr>
      </w:pPr>
    </w:p>
    <w:p w14:paraId="0BACFF32" w14:textId="77777777" w:rsidR="004C250E" w:rsidRDefault="00000000" w:rsidP="00D003EF">
      <w:pPr>
        <w:spacing w:after="100" w:line="259" w:lineRule="auto"/>
        <w:jc w:val="both"/>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00D62F7" w14:textId="77777777">
        <w:trPr>
          <w:cantSplit/>
          <w:jc w:val="center"/>
        </w:trPr>
        <w:tc>
          <w:tcPr>
            <w:tcW w:w="518" w:type="dxa"/>
            <w:tcMar>
              <w:top w:w="0" w:type="dxa"/>
              <w:left w:w="0" w:type="dxa"/>
              <w:bottom w:w="0" w:type="dxa"/>
              <w:right w:w="0" w:type="dxa"/>
            </w:tcMar>
            <w:vAlign w:val="center"/>
          </w:tcPr>
          <w:p w14:paraId="06C6DC7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6035BC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19E59A45"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185C17E5" w14:textId="77777777" w:rsidR="004C250E" w:rsidRDefault="00000000">
            <w:pPr>
              <w:keepLines/>
              <w:spacing w:before="40" w:after="80" w:line="240" w:lineRule="auto"/>
              <w:jc w:val="right"/>
            </w:pPr>
            <w:r>
              <w:rPr>
                <w:sz w:val="18"/>
              </w:rPr>
              <w:t>(5)</w:t>
            </w:r>
          </w:p>
        </w:tc>
      </w:tr>
    </w:tbl>
    <w:p w14:paraId="3C9A6F1A" w14:textId="77777777" w:rsidR="004C250E" w:rsidRDefault="00000000" w:rsidP="00D003EF">
      <w:pPr>
        <w:spacing w:after="100" w:line="259" w:lineRule="auto"/>
        <w:jc w:val="both"/>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[5], [58],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0BA51C54" w14:textId="2C153404" w:rsidR="004C250E" w:rsidRDefault="00000000" w:rsidP="00D003EF">
      <w:pPr>
        <w:spacing w:after="100" w:line="259" w:lineRule="auto"/>
        <w:jc w:val="both"/>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w:t>
      </w:r>
      <w:r w:rsidR="0079720F" w:rsidRPr="0079720F">
        <w:t>For this prescribed perturbation mixture, the end-to-end Jacobian provides a stronger aggregate association with measured damage; broader generalization remains to be evaluated.</w:t>
      </w:r>
    </w:p>
    <w:p w14:paraId="583C7ADC" w14:textId="77777777" w:rsidR="004C250E" w:rsidRDefault="00000000" w:rsidP="00D003EF">
      <w:pPr>
        <w:spacing w:after="100" w:line="259" w:lineRule="auto"/>
        <w:jc w:val="both"/>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3423A8B"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38709B22"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7.</w:t>
      </w:r>
      <w:r w:rsidRPr="00D003EF">
        <w:rPr>
          <w:iCs/>
          <w:color w:val="auto"/>
          <w:sz w:val="18"/>
          <w:szCs w:val="18"/>
        </w:rPr>
        <w:t xml:space="preserve"> </w:t>
      </w:r>
      <w:r w:rsidR="004F4849" w:rsidRPr="004F4849">
        <w:rPr>
          <w:iCs/>
          <w:color w:val="auto"/>
          <w:sz w:val="18"/>
          <w:szCs w:val="18"/>
        </w:rPr>
        <w:t>Local versus end-to-end functional transmission. (a,b) Pearson and Spearman correlations between predicted and measured final-logit L₂ damage for the single-block operator A₈ and end-to-end Jacobian J₈→L. Each model uses 100 designed perturbation vectors evaluated on a fixed 20-image reference batch; error bars indicate stratified-bootstrap 95% confidence intervals. (c) Ratio of final-logit damage along the multi-block top versus near-null mode at perturbation scale s = 0.4.</w:t>
      </w:r>
    </w:p>
    <w:p w14:paraId="3ECC9A32" w14:textId="52FC4144" w:rsidR="004C250E" w:rsidRDefault="004C250E" w:rsidP="00D003EF">
      <w:pPr>
        <w:keepLines/>
        <w:spacing w:after="80"/>
        <w:jc w:val="both"/>
        <w:rPr>
          <w:iCs/>
          <w:color w:val="auto"/>
          <w:sz w:val="18"/>
          <w:szCs w:val="18"/>
        </w:rPr>
      </w:pPr>
    </w:p>
    <w:p w14:paraId="0D86FE15" w14:textId="77777777" w:rsidR="00D003EF" w:rsidRPr="00D003EF" w:rsidRDefault="00D003EF" w:rsidP="00D003EF">
      <w:pPr>
        <w:keepLines/>
        <w:spacing w:after="80"/>
        <w:jc w:val="both"/>
        <w:rPr>
          <w:iCs/>
          <w:color w:val="auto"/>
          <w:sz w:val="18"/>
          <w:szCs w:val="18"/>
        </w:rPr>
      </w:pPr>
    </w:p>
    <w:p w14:paraId="4A4456BE" w14:textId="77777777" w:rsidR="004C250E" w:rsidRDefault="00000000" w:rsidP="00D003EF">
      <w:pPr>
        <w:spacing w:after="100" w:line="259" w:lineRule="auto"/>
        <w:jc w:val="both"/>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3AC0840D" w14:textId="77777777" w:rsidR="004C250E" w:rsidRDefault="00000000">
      <w:pPr>
        <w:pStyle w:val="Heading1"/>
      </w:pPr>
      <w:r>
        <w:rPr>
          <w:rFonts w:ascii="Times New Roman" w:hAnsi="Times New Roman"/>
        </w:rPr>
        <w:lastRenderedPageBreak/>
        <w:t>6. Operator-Aware Token Compression</w:t>
      </w:r>
    </w:p>
    <w:p w14:paraId="0696B613" w14:textId="77777777" w:rsidR="004C250E" w:rsidRDefault="00000000">
      <w:pPr>
        <w:pStyle w:val="Heading2"/>
      </w:pPr>
      <w:r>
        <w:rPr>
          <w:rFonts w:ascii="Times New Roman" w:hAnsi="Times New Roman"/>
        </w:rPr>
        <w:t>6.1 Carrier Grouping and Optimization</w:t>
      </w:r>
    </w:p>
    <w:p w14:paraId="5ED3B817" w14:textId="77777777" w:rsidR="004C250E" w:rsidRDefault="00000000" w:rsidP="00D003E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49636B" w14:textId="77777777" w:rsidTr="00A3332A">
        <w:trPr>
          <w:cantSplit/>
          <w:jc w:val="center"/>
        </w:trPr>
        <w:tc>
          <w:tcPr>
            <w:tcW w:w="518" w:type="dxa"/>
            <w:tcMar>
              <w:top w:w="0" w:type="dxa"/>
              <w:left w:w="0" w:type="dxa"/>
              <w:bottom w:w="0" w:type="dxa"/>
              <w:right w:w="0" w:type="dxa"/>
            </w:tcMar>
            <w:vAlign w:val="center"/>
          </w:tcPr>
          <w:p w14:paraId="7B4A253D"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6683A206"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62EBAC99" w14:textId="77777777" w:rsidR="004C250E" w:rsidRDefault="00000000">
            <w:pPr>
              <w:keepLines/>
              <w:spacing w:before="40" w:after="80" w:line="240" w:lineRule="auto"/>
              <w:jc w:val="right"/>
            </w:pPr>
            <w:r>
              <w:rPr>
                <w:sz w:val="18"/>
              </w:rPr>
              <w:t>(6)</w:t>
            </w:r>
          </w:p>
        </w:tc>
      </w:tr>
    </w:tbl>
    <w:p w14:paraId="4877C0AF" w14:textId="77777777" w:rsidR="00A3332A" w:rsidRPr="00A3332A" w:rsidRDefault="00A3332A" w:rsidP="00D003EF">
      <w:pPr>
        <w:spacing w:after="100" w:line="259" w:lineRule="auto"/>
        <w:jc w:val="both"/>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3527D7FC" w14:textId="77777777" w:rsidR="004C250E" w:rsidRDefault="00000000" w:rsidP="00D003EF">
      <w:pPr>
        <w:spacing w:after="100" w:line="259" w:lineRule="auto"/>
        <w:jc w:val="both"/>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7ADFBF" w14:textId="77777777">
        <w:trPr>
          <w:cantSplit/>
          <w:jc w:val="center"/>
        </w:trPr>
        <w:tc>
          <w:tcPr>
            <w:tcW w:w="518" w:type="dxa"/>
            <w:tcMar>
              <w:top w:w="0" w:type="dxa"/>
              <w:left w:w="0" w:type="dxa"/>
              <w:bottom w:w="0" w:type="dxa"/>
              <w:right w:w="0" w:type="dxa"/>
            </w:tcMar>
            <w:vAlign w:val="center"/>
          </w:tcPr>
          <w:p w14:paraId="5495B34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E0C086F"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7EAC4909" w14:textId="77777777" w:rsidR="004C250E" w:rsidRDefault="00000000">
            <w:pPr>
              <w:keepLines/>
              <w:spacing w:before="40" w:after="80" w:line="240" w:lineRule="auto"/>
              <w:jc w:val="right"/>
            </w:pPr>
            <w:r>
              <w:rPr>
                <w:sz w:val="18"/>
              </w:rPr>
              <w:t>(7)</w:t>
            </w:r>
          </w:p>
        </w:tc>
      </w:tr>
    </w:tbl>
    <w:p w14:paraId="2EE6776F" w14:textId="77777777" w:rsidR="004C250E" w:rsidRDefault="00000000" w:rsidP="00D003EF">
      <w:pPr>
        <w:spacing w:after="100" w:line="259" w:lineRule="auto"/>
        <w:jc w:val="both"/>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2853870" w14:textId="77777777">
        <w:trPr>
          <w:cantSplit/>
          <w:jc w:val="center"/>
        </w:trPr>
        <w:tc>
          <w:tcPr>
            <w:tcW w:w="518" w:type="dxa"/>
            <w:tcMar>
              <w:top w:w="0" w:type="dxa"/>
              <w:left w:w="0" w:type="dxa"/>
              <w:bottom w:w="0" w:type="dxa"/>
              <w:right w:w="0" w:type="dxa"/>
            </w:tcMar>
            <w:vAlign w:val="center"/>
          </w:tcPr>
          <w:p w14:paraId="5A80970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22E6F6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1A74EBC2" w14:textId="77777777" w:rsidR="004C250E" w:rsidRDefault="00000000">
            <w:pPr>
              <w:keepLines/>
              <w:spacing w:before="40" w:after="80" w:line="240" w:lineRule="auto"/>
              <w:jc w:val="right"/>
            </w:pPr>
            <w:r>
              <w:rPr>
                <w:sz w:val="18"/>
              </w:rPr>
              <w:t>(8)</w:t>
            </w:r>
          </w:p>
        </w:tc>
      </w:tr>
    </w:tbl>
    <w:p w14:paraId="1BD2D4B1" w14:textId="77777777" w:rsidR="004C250E" w:rsidRDefault="00000000" w:rsidP="00D003E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02364007" w14:textId="77777777" w:rsidR="005B4464" w:rsidRDefault="00000000" w:rsidP="00D003EF">
      <w:pPr>
        <w:spacing w:after="100" w:line="259" w:lineRule="auto"/>
        <w:jc w:val="both"/>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A67391" w14:textId="77777777">
        <w:trPr>
          <w:cantSplit/>
          <w:jc w:val="center"/>
        </w:trPr>
        <w:tc>
          <w:tcPr>
            <w:tcW w:w="518" w:type="dxa"/>
            <w:tcMar>
              <w:top w:w="0" w:type="dxa"/>
              <w:left w:w="0" w:type="dxa"/>
              <w:bottom w:w="0" w:type="dxa"/>
              <w:right w:w="0" w:type="dxa"/>
            </w:tcMar>
            <w:vAlign w:val="center"/>
          </w:tcPr>
          <w:p w14:paraId="7643091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4C061D9"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63766592" w14:textId="77777777" w:rsidR="00BA0128" w:rsidRDefault="00BA0128">
            <w:pPr>
              <w:keepLines/>
              <w:spacing w:after="0" w:line="240" w:lineRule="auto"/>
              <w:jc w:val="center"/>
            </w:pPr>
          </w:p>
          <w:p w14:paraId="50238487"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7DA01DDC" w14:textId="77777777" w:rsidR="004C250E" w:rsidRDefault="00000000">
            <w:pPr>
              <w:keepLines/>
              <w:spacing w:before="40" w:after="80" w:line="240" w:lineRule="auto"/>
              <w:jc w:val="right"/>
            </w:pPr>
            <w:r>
              <w:rPr>
                <w:sz w:val="18"/>
              </w:rPr>
              <w:t>(9)</w:t>
            </w:r>
          </w:p>
        </w:tc>
      </w:tr>
    </w:tbl>
    <w:p w14:paraId="46AC31DB" w14:textId="77777777" w:rsidR="004C250E" w:rsidRDefault="00000000" w:rsidP="00D003E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57017088" w14:textId="77777777" w:rsidR="004C250E" w:rsidRDefault="00000000" w:rsidP="00D003E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C475C59" w14:textId="77777777">
        <w:trPr>
          <w:cantSplit/>
          <w:jc w:val="center"/>
        </w:trPr>
        <w:tc>
          <w:tcPr>
            <w:tcW w:w="518" w:type="dxa"/>
            <w:tcMar>
              <w:top w:w="0" w:type="dxa"/>
              <w:left w:w="0" w:type="dxa"/>
              <w:bottom w:w="0" w:type="dxa"/>
              <w:right w:w="0" w:type="dxa"/>
            </w:tcMar>
            <w:vAlign w:val="center"/>
          </w:tcPr>
          <w:p w14:paraId="6D46F74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68A6CBC"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177A5CD0" w14:textId="77777777" w:rsidR="004C250E" w:rsidRDefault="00000000">
            <w:pPr>
              <w:keepLines/>
              <w:spacing w:before="40" w:after="80" w:line="240" w:lineRule="auto"/>
              <w:jc w:val="right"/>
            </w:pPr>
            <w:r>
              <w:rPr>
                <w:sz w:val="18"/>
              </w:rPr>
              <w:t>(10)</w:t>
            </w:r>
          </w:p>
        </w:tc>
      </w:tr>
    </w:tbl>
    <w:p w14:paraId="68AE926E" w14:textId="77777777" w:rsidR="004C250E" w:rsidRDefault="00000000" w:rsidP="00D003EF">
      <w:pPr>
        <w:spacing w:after="100" w:line="259" w:lineRule="auto"/>
        <w:jc w:val="both"/>
      </w:pPr>
      <w:r>
        <w:lastRenderedPageBreak/>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C346679" w14:textId="77777777" w:rsidR="004C250E" w:rsidRDefault="00000000">
      <w:pPr>
        <w:pStyle w:val="Heading2"/>
      </w:pPr>
      <w:r>
        <w:rPr>
          <w:rFonts w:ascii="Times New Roman" w:hAnsi="Times New Roman"/>
        </w:rPr>
        <w:t>6.2 Confirmatory Compression Results</w:t>
      </w:r>
    </w:p>
    <w:p w14:paraId="514BE1A2" w14:textId="03B82594" w:rsidR="004C250E" w:rsidRDefault="00000000" w:rsidP="00D003EF">
      <w:pPr>
        <w:spacing w:after="100" w:line="259" w:lineRule="auto"/>
        <w:jc w:val="both"/>
      </w:pPr>
      <w:r>
        <w:t>At each architecture’s most aggressive tested token budget, Table</w:t>
      </w:r>
      <w:r w:rsidR="006F053A">
        <w:t xml:space="preserve"> 4</w:t>
      </w:r>
      <w:r>
        <w:t xml:space="preserve">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w:t>
      </w:r>
      <w:r w:rsidR="0079720F" w:rsidRPr="0079720F">
        <w:t>Performance relative to the stronger merging baselines varies by architecture and token budget.</w:t>
      </w:r>
      <w:r>
        <w:t xml:space="preserve">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671BEE19" w14:textId="4059A7F4" w:rsidR="004C250E" w:rsidRPr="006F053A" w:rsidRDefault="00000000" w:rsidP="00D003EF">
      <w:pPr>
        <w:spacing w:after="100" w:line="259" w:lineRule="auto"/>
        <w:jc w:val="both"/>
        <w:rPr>
          <w:b/>
          <w:bCs/>
        </w:rPr>
      </w:pPr>
      <w:r w:rsidRPr="006F053A">
        <w:rPr>
          <w:b/>
          <w:bCs/>
        </w:rPr>
        <w:t>T</w:t>
      </w:r>
      <w:r w:rsidR="006F053A" w:rsidRPr="006F053A">
        <w:rPr>
          <w:b/>
          <w:bCs/>
        </w:rPr>
        <w:t>able 4</w:t>
      </w:r>
    </w:p>
    <w:p w14:paraId="0FACDFE8" w14:textId="77777777" w:rsidR="004C250E" w:rsidRPr="00D003EF" w:rsidRDefault="00000000" w:rsidP="00D003EF">
      <w:pPr>
        <w:spacing w:after="100" w:line="259" w:lineRule="auto"/>
        <w:jc w:val="both"/>
        <w:rPr>
          <w:sz w:val="18"/>
          <w:szCs w:val="20"/>
        </w:rPr>
      </w:pPr>
      <w:r w:rsidRPr="00D003EF">
        <w:rPr>
          <w:sz w:val="18"/>
          <w:szCs w:val="20"/>
        </w:rP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4CE1C1B9"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7616747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67EC103"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BF6A87"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566A019"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D18BDDE"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938BEDF"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0FF46F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C51E597" w14:textId="77777777" w:rsidR="004C250E" w:rsidRPr="005D5368" w:rsidRDefault="00000000">
            <w:pPr>
              <w:jc w:val="center"/>
              <w:rPr>
                <w:szCs w:val="32"/>
              </w:rPr>
            </w:pPr>
            <w:r w:rsidRPr="005D5368">
              <w:rPr>
                <w:b/>
                <w:color w:val="17232D"/>
                <w:szCs w:val="32"/>
              </w:rPr>
              <w:t>Rank-32</w:t>
            </w:r>
          </w:p>
        </w:tc>
      </w:tr>
      <w:tr w:rsidR="004C250E" w14:paraId="3C590594" w14:textId="77777777" w:rsidTr="005D5368">
        <w:tc>
          <w:tcPr>
            <w:tcW w:w="1249" w:type="dxa"/>
            <w:tcBorders>
              <w:top w:val="single" w:sz="4" w:space="0" w:color="auto"/>
            </w:tcBorders>
            <w:tcMar>
              <w:top w:w="55" w:type="dxa"/>
              <w:left w:w="65" w:type="dxa"/>
              <w:bottom w:w="55" w:type="dxa"/>
              <w:right w:w="65" w:type="dxa"/>
            </w:tcMar>
            <w:vAlign w:val="center"/>
          </w:tcPr>
          <w:p w14:paraId="0BD1C2C8"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092A2DB4"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32280AF6"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45395E87"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44EC2EBE"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33CA16BA"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AD6A008"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46C6312A" w14:textId="77777777" w:rsidR="004C250E" w:rsidRPr="005D5368" w:rsidRDefault="00000000">
            <w:pPr>
              <w:jc w:val="center"/>
              <w:rPr>
                <w:szCs w:val="32"/>
              </w:rPr>
            </w:pPr>
            <w:r w:rsidRPr="005D5368">
              <w:rPr>
                <w:szCs w:val="32"/>
              </w:rPr>
              <w:t>67.9%</w:t>
            </w:r>
          </w:p>
        </w:tc>
      </w:tr>
      <w:tr w:rsidR="004C250E" w14:paraId="59A07861" w14:textId="77777777" w:rsidTr="005D5368">
        <w:tc>
          <w:tcPr>
            <w:tcW w:w="1249" w:type="dxa"/>
            <w:tcMar>
              <w:top w:w="55" w:type="dxa"/>
              <w:left w:w="65" w:type="dxa"/>
              <w:bottom w:w="55" w:type="dxa"/>
              <w:right w:w="65" w:type="dxa"/>
            </w:tcMar>
            <w:vAlign w:val="center"/>
          </w:tcPr>
          <w:p w14:paraId="3E37D921"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7F91A31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1129F2D0"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1154C00D"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7B5865D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094724D9"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095D608B"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5E4D6174" w14:textId="77777777" w:rsidR="004C250E" w:rsidRPr="005D5368" w:rsidRDefault="00000000">
            <w:pPr>
              <w:jc w:val="center"/>
              <w:rPr>
                <w:szCs w:val="32"/>
              </w:rPr>
            </w:pPr>
            <w:r w:rsidRPr="005D5368">
              <w:rPr>
                <w:szCs w:val="32"/>
              </w:rPr>
              <w:t>76.5%</w:t>
            </w:r>
          </w:p>
        </w:tc>
      </w:tr>
      <w:tr w:rsidR="004C250E" w14:paraId="678DCB95" w14:textId="77777777" w:rsidTr="005D5368">
        <w:tc>
          <w:tcPr>
            <w:tcW w:w="1249" w:type="dxa"/>
            <w:tcMar>
              <w:top w:w="55" w:type="dxa"/>
              <w:left w:w="65" w:type="dxa"/>
              <w:bottom w:w="55" w:type="dxa"/>
              <w:right w:w="65" w:type="dxa"/>
            </w:tcMar>
            <w:vAlign w:val="center"/>
          </w:tcPr>
          <w:p w14:paraId="7C3707E3"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663689D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5522EF4"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4CE03589"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50729C04"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57D817B9"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1812FEFC"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2BCCB6CE" w14:textId="77777777" w:rsidR="004C250E" w:rsidRPr="005D5368" w:rsidRDefault="00000000">
            <w:pPr>
              <w:jc w:val="center"/>
              <w:rPr>
                <w:szCs w:val="32"/>
              </w:rPr>
            </w:pPr>
            <w:r w:rsidRPr="005D5368">
              <w:rPr>
                <w:szCs w:val="32"/>
              </w:rPr>
              <w:t>74.2%</w:t>
            </w:r>
          </w:p>
        </w:tc>
      </w:tr>
      <w:tr w:rsidR="004C250E" w14:paraId="7AF3A8C9" w14:textId="77777777" w:rsidTr="005D5368">
        <w:tc>
          <w:tcPr>
            <w:tcW w:w="1249" w:type="dxa"/>
            <w:tcBorders>
              <w:bottom w:val="single" w:sz="4" w:space="0" w:color="auto"/>
            </w:tcBorders>
            <w:tcMar>
              <w:top w:w="55" w:type="dxa"/>
              <w:left w:w="65" w:type="dxa"/>
              <w:bottom w:w="55" w:type="dxa"/>
              <w:right w:w="65" w:type="dxa"/>
            </w:tcMar>
            <w:vAlign w:val="center"/>
          </w:tcPr>
          <w:p w14:paraId="45C80FA9"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270D9BE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502236F8"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4BA3AA53"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0CA1103"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42FB7848"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44233FA"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3AD0E526" w14:textId="77777777" w:rsidR="004C250E" w:rsidRPr="005D5368" w:rsidRDefault="00000000">
            <w:pPr>
              <w:jc w:val="center"/>
              <w:rPr>
                <w:szCs w:val="32"/>
              </w:rPr>
            </w:pPr>
            <w:r w:rsidRPr="005D5368">
              <w:rPr>
                <w:szCs w:val="32"/>
              </w:rPr>
              <w:t>73.0%</w:t>
            </w:r>
          </w:p>
        </w:tc>
      </w:tr>
    </w:tbl>
    <w:p w14:paraId="709F19E2" w14:textId="77777777" w:rsidR="004C250E" w:rsidRDefault="004C250E">
      <w:pPr>
        <w:spacing w:after="20"/>
      </w:pPr>
    </w:p>
    <w:p w14:paraId="22B0DE7A" w14:textId="59ED5D60" w:rsidR="004C250E" w:rsidRDefault="00000000" w:rsidP="00D003EF">
      <w:pPr>
        <w:spacing w:after="100" w:line="259" w:lineRule="auto"/>
        <w:jc w:val="both"/>
      </w:pPr>
      <w:r>
        <w:t xml:space="preserve">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w:t>
      </w:r>
      <w:r w:rsidR="0079720F" w:rsidRPr="0079720F">
        <w:t>These contrasts characterize reductions in the linearized operator residual; corresponding classification and nonlinear distortion outcomes are evaluated separately.</w:t>
      </w:r>
      <w:r>
        <w:t xml:space="preserve"> The accuracy comparisons in Table </w:t>
      </w:r>
      <w:r w:rsidR="006F053A">
        <w:t>4</w:t>
      </w:r>
      <w:r>
        <w:t xml:space="preserve">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w:t>
      </w:r>
      <w:r w:rsidR="0079720F" w:rsidRPr="0079720F">
        <w:t>the retained benefit depends on architecture and token budget</w:t>
      </w:r>
      <w:r>
        <w:t xml:space="preserve">. Figure 8 reports the measured accuracy-token curves, while Table </w:t>
      </w:r>
      <w:r w:rsidR="006F053A">
        <w:t>4</w:t>
      </w:r>
      <w:r>
        <w:t xml:space="preserve"> lists rank-16 and rank-32 Top-1 at each architecture's most aggressive tested budget.</w:t>
      </w:r>
    </w:p>
    <w:p w14:paraId="7653AD08"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03220D63" w14:textId="724D9CA7" w:rsidR="004C250E" w:rsidRDefault="00000000" w:rsidP="00D003EF">
      <w:pPr>
        <w:keepLines/>
        <w:spacing w:after="80"/>
        <w:jc w:val="both"/>
        <w:rPr>
          <w:iCs/>
          <w:color w:val="auto"/>
          <w:sz w:val="18"/>
          <w:szCs w:val="18"/>
        </w:rPr>
      </w:pPr>
      <w:r w:rsidRPr="00D003EF">
        <w:rPr>
          <w:b/>
          <w:bCs/>
          <w:iCs/>
          <w:color w:val="auto"/>
          <w:sz w:val="18"/>
          <w:szCs w:val="18"/>
        </w:rPr>
        <w:t>Figure 8.</w:t>
      </w:r>
      <w:r w:rsidRPr="00D003EF">
        <w:rPr>
          <w:iCs/>
          <w:color w:val="auto"/>
          <w:sz w:val="18"/>
          <w:szCs w:val="18"/>
        </w:rPr>
        <w:t xml:space="preserve"> </w:t>
      </w:r>
      <w:r w:rsidR="004F4849" w:rsidRPr="004F4849">
        <w:rPr>
          <w:iCs/>
          <w:color w:val="auto"/>
          <w:sz w:val="18"/>
          <w:szCs w:val="18"/>
        </w:rPr>
        <w:t>Accuracy–token tradeoffs of operator-aware compression. Top-1 accuracy versus retained patch-token fraction across four ViT architectures, comparing conventional pruning, Group Mean, ToMe, Full-J oracle, and rank-32 operator-aware compression. Each architecture is evaluated on 1,000 held-out images. Rank-16 results at the most aggressive budget are reported in Table IV.</w:t>
      </w:r>
    </w:p>
    <w:p w14:paraId="152D193E" w14:textId="77777777" w:rsidR="00D003EF" w:rsidRPr="00D003EF" w:rsidRDefault="00D003EF" w:rsidP="00D003EF">
      <w:pPr>
        <w:keepLines/>
        <w:spacing w:after="80"/>
        <w:jc w:val="both"/>
        <w:rPr>
          <w:iCs/>
          <w:sz w:val="18"/>
          <w:szCs w:val="18"/>
        </w:rPr>
      </w:pPr>
    </w:p>
    <w:p w14:paraId="4C683DA5" w14:textId="3E46BD44" w:rsidR="004C250E" w:rsidRDefault="0079720F" w:rsidP="00D003EF">
      <w:pPr>
        <w:spacing w:after="100" w:line="259" w:lineRule="auto"/>
        <w:jc w:val="both"/>
      </w:pPr>
      <w:r w:rsidRPr="0079720F">
        <w:t>Full-J provides an offline, image-conditioned reference for evaluating operator-aware compression.</w:t>
      </w:r>
      <w:r>
        <w:t xml:space="preserve"> </w:t>
      </w:r>
      <w:r w:rsidR="00000000">
        <w:t>Calibration-frozen carrier approximations and measured accuracy–throughput tradeoffs are evaluated separately in Supplementary Section S13; these experiments do not establish a general deployment advantage.</w:t>
      </w:r>
    </w:p>
    <w:p w14:paraId="5611C300" w14:textId="77777777" w:rsidR="004C250E" w:rsidRDefault="00000000">
      <w:pPr>
        <w:pStyle w:val="Heading1"/>
      </w:pPr>
      <w:r>
        <w:rPr>
          <w:rFonts w:ascii="Times New Roman" w:hAnsi="Times New Roman"/>
        </w:rPr>
        <w:t>7. Limitations</w:t>
      </w:r>
    </w:p>
    <w:p w14:paraId="0272C29A" w14:textId="4BCD8F68" w:rsidR="004C250E" w:rsidRDefault="0079720F" w:rsidP="00D003EF">
      <w:pPr>
        <w:spacing w:after="100" w:line="259" w:lineRule="auto"/>
        <w:jc w:val="both"/>
      </w:pPr>
      <w:r w:rsidRPr="0079720F">
        <w:t>This study focuses on four pretrained ViT families and ImageNet-1k classification, with broader architectures and tasks remaining open for investigation. The joint-stream geometry analysis uses the same 100-image cohorts for direction estimation and response measurement, providing descriptive within-cohort evidence. Margin-gradient and readout-Jacobian analyses characterize local, first-order functional structure, while spectral thresholds define approximate near-null directions. The Full-J compression method requires an image-specific Jacobian and serves as an offline oracle. Practical-carrier evaluations use separate protocols and endpoints, with throughput measurements specific to the tested hardware, batch sizes, and implementations. Developing computationally efficient approximations that translate these functional insights into consistent deployment benefits remains an important direction for future work.</w:t>
      </w:r>
    </w:p>
    <w:p w14:paraId="07A03B21" w14:textId="77777777" w:rsidR="004C250E" w:rsidRDefault="00000000">
      <w:pPr>
        <w:pStyle w:val="Heading1"/>
      </w:pPr>
      <w:r>
        <w:rPr>
          <w:rFonts w:ascii="Times New Roman" w:hAnsi="Times New Roman"/>
        </w:rPr>
        <w:t>8. Conclusion</w:t>
      </w:r>
    </w:p>
    <w:p w14:paraId="03C8CEFD" w14:textId="77777777" w:rsidR="0079720F" w:rsidRPr="0079720F" w:rsidRDefault="00000000" w:rsidP="00D003EF">
      <w:pPr>
        <w:spacing w:after="100" w:line="259" w:lineRule="auto"/>
        <w:jc w:val="both"/>
      </w:pPr>
      <w:r>
        <w:t xml:space="preserve">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w:t>
      </w:r>
      <w:r w:rsidR="0079720F" w:rsidRPr="0079720F">
        <w:t>These findings connect the observed geometry of patch-content fungibility with an operator-aware compression objective, demonstrating improvements over conventional pruning while revealing architecture-dependent tradeoffs against stronger merging baselines. The offline Full-J formulation provides a reference for future development of computationally efficient compression methods, with practical-carrier evaluations reported in Supplementary Section S13.</w:t>
      </w:r>
    </w:p>
    <w:p w14:paraId="290928C6" w14:textId="49B961B4" w:rsidR="004C250E" w:rsidRDefault="004C250E">
      <w:pPr>
        <w:spacing w:after="100" w:line="259" w:lineRule="auto"/>
      </w:pPr>
    </w:p>
    <w:p w14:paraId="5F6DFED9" w14:textId="77777777" w:rsidR="004C250E" w:rsidRDefault="00000000">
      <w:pPr>
        <w:pStyle w:val="Heading1"/>
      </w:pPr>
      <w:r>
        <w:rPr>
          <w:rFonts w:ascii="Times New Roman" w:hAnsi="Times New Roman"/>
        </w:rPr>
        <w:t>Reproducibility and Evidence</w:t>
      </w:r>
    </w:p>
    <w:p w14:paraId="19D6AE01"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5BDE0C04" w14:textId="77777777" w:rsidR="004C250E" w:rsidRDefault="00000000">
      <w:pPr>
        <w:pStyle w:val="Heading1"/>
      </w:pPr>
      <w:r>
        <w:t>References</w:t>
      </w:r>
    </w:p>
    <w:p w14:paraId="707FE35F"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75429F41"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17E4889C" w14:textId="77777777" w:rsidR="004C250E"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35599639"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48E4E279"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0FD106AA"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60F95EE7"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59BAB821"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B36BFA0"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2E623DB5"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9E627D7"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D9329D6"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1B8E290"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5CD896C3"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7C1C98C5"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01DA6EA"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3C9947D5"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5F6594B6"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5706FE41"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4254F248"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FDF98DC"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4FF80E8E" w14:textId="77777777" w:rsidR="004C250E" w:rsidRDefault="00000000">
      <w:pPr>
        <w:spacing w:after="80" w:line="240" w:lineRule="auto"/>
        <w:ind w:left="403" w:hanging="403"/>
      </w:pPr>
      <w:r>
        <w:rPr>
          <w:color w:val="26343D"/>
          <w:sz w:val="17"/>
        </w:rPr>
        <w:lastRenderedPageBreak/>
        <w:t>[22] L. Yu, W. Xiang, “X-Pruner: eXplainable Pruning for Vision Transformers,” in Proc. IEEE/CVF Conf. Comput. Vis. Pattern Recognit., pp. 24355–24363, 2023. DOI: 10.1109/CVPR52729.2023.02333.</w:t>
      </w:r>
    </w:p>
    <w:p w14:paraId="7A53473B"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7E0A6F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3072D17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FDA7362"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3A89566F"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41C5C660"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5B5839D9" w14:textId="77777777" w:rsidR="004C250E" w:rsidRDefault="00000000">
      <w:pPr>
        <w:spacing w:after="80" w:line="240" w:lineRule="auto"/>
        <w:ind w:left="403" w:hanging="403"/>
      </w:pPr>
      <w:r>
        <w:rPr>
          <w:color w:val="26343D"/>
          <w:sz w:val="17"/>
        </w:rPr>
        <w:t>[29] Y. Tang, K. Han, Y. Wang, C. Xu, J. Guo, C. Xu, et al., “Patch Slimming for Efficient Vision Transformers,” in Proc. IEEE/CVF Conf. Comput. Vis. Pattern Recognit., pp. 12165–12174, 2022. DOI: 10.1109/CVPR52688.2022.01185.</w:t>
      </w:r>
    </w:p>
    <w:p w14:paraId="62B02607"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AAFBF79"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3515222"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41C8BFA3"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4D6CAF86"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D968351"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723899E2"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0745CAE"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0B143025"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2087A003"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0E124449"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6DD24E4A"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3812640F" w14:textId="77777777" w:rsidR="004368BE" w:rsidRDefault="00000000">
      <w:pPr>
        <w:spacing w:after="80" w:line="240" w:lineRule="auto"/>
        <w:ind w:left="403" w:hanging="403"/>
      </w:pPr>
      <w:r>
        <w:rPr>
          <w:color w:val="26343D"/>
          <w:sz w:val="17"/>
        </w:rPr>
        <w:t>[42] A. Bond, E. E. Özlü, T. Çimen, I. U. Melanlioglu, T. Birdal, E. Erdem, et al., “Task-Induced Riemannian Metrics for Vision Transformer Feature Spaces,” arXiv preprint arXiv:2609.27988 [cs.CV], 2026. Available: https://arxiv.org/abs/2609.27988.</w:t>
      </w:r>
    </w:p>
    <w:p w14:paraId="3495565C" w14:textId="77777777" w:rsidR="004368BE" w:rsidRDefault="00000000">
      <w:pPr>
        <w:spacing w:after="80" w:line="240" w:lineRule="auto"/>
        <w:ind w:left="403" w:hanging="403"/>
      </w:pPr>
      <w:r>
        <w:rPr>
          <w:color w:val="26343D"/>
          <w:sz w:val="17"/>
        </w:rPr>
        <w:t>[43] H. Liu, A. Singh, Y. Li, H. Wang, “Approximate Nullspace Augmented Finetuning for Robust Vision Transformers,” in Conference on Parsimony and Learning, vol. 280, pp. 1–23, 2025. Available: https://proceedings.mlr.press/v280/liu25a.html.</w:t>
      </w:r>
    </w:p>
    <w:p w14:paraId="601EE920"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601EE920" w14:textId="77777777" w:rsidR="004C250E" w:rsidRDefault="00000000">
      <w:pPr>
        <w:spacing w:after="80" w:line="240" w:lineRule="auto"/>
        <w:ind w:left="403" w:hanging="403"/>
      </w:pPr>
      <w:r>
        <w:rPr>
          <w:color w:val="26343D"/>
          <w:sz w:val="17"/>
        </w:rPr>
        <w:t>[45] A. Izadi, M. Banayeeanzade, A. Mirrokni, H. Hasani, M. Bagherian, F. Mehri, and M. S. Baghshah, “Causal Attribution via Activation Patching,” arXiv preprint arXiv:2603.13652v2 [cs.CV], 2026. DOI: 10.48550/arXiv.2603.13652. Available: https://arxiv.org/abs/2603.13652.</w:t>
      </w:r>
    </w:p>
    <w:p w14:paraId="1CE26B6F" w14:textId="77777777" w:rsidR="004C250E" w:rsidRDefault="00000000">
      <w:pPr>
        <w:spacing w:after="80" w:line="240" w:lineRule="auto"/>
        <w:ind w:left="403" w:hanging="403"/>
      </w:pPr>
      <w:r>
        <w:rPr>
          <w:color w:val="26343D"/>
          <w:sz w:val="17"/>
        </w:rPr>
        <w:t>[46] Y. LeCun, J. S. Denker, S. A. Solla, “Optimal Brain Damage,” in Advances in Neural Information Processing Systems, vol. 2, pp. 598–605, 1989. Available: https://proceedings.neurips.cc/paper/1989/hash/6c9882bbac1c7093bd25041881277658-Abstract.html.</w:t>
      </w:r>
    </w:p>
    <w:p w14:paraId="35405000" w14:textId="77777777" w:rsidR="004C250E" w:rsidRDefault="00000000">
      <w:pPr>
        <w:spacing w:after="80" w:line="240" w:lineRule="auto"/>
        <w:ind w:left="403" w:hanging="403"/>
      </w:pPr>
      <w:r>
        <w:rPr>
          <w:color w:val="26343D"/>
          <w:sz w:val="17"/>
        </w:rPr>
        <w:t>[47] B. Hassibi, D. G. Stork, and G. J. Wolff, “Optimal Brain Surgeon and general network pruning,” in Proceedings of the 1993 IEEE International Conference on Neural Networks, vol. 1, pp. 293–299, 1993. DOI: 10.1109/ICNN.1993.298572.</w:t>
      </w:r>
    </w:p>
    <w:p w14:paraId="7F49DF32" w14:textId="77777777" w:rsidR="004C250E" w:rsidRDefault="00000000">
      <w:pPr>
        <w:spacing w:after="80" w:line="240" w:lineRule="auto"/>
        <w:ind w:left="403" w:hanging="403"/>
      </w:pPr>
      <w:r>
        <w:rPr>
          <w:color w:val="26343D"/>
          <w:sz w:val="17"/>
        </w:rPr>
        <w:t>[48] C. Thrash, K. Chen, S. Kolouri, “Output-aware Residual Stream Pruning for Large Language Models,” in arXiv preprint arXiv:2609.35579, 2026. DOI: 10.48550/arXiv.2609.35579.</w:t>
      </w:r>
    </w:p>
    <w:p w14:paraId="50048124" w14:textId="77777777" w:rsidR="004C250E" w:rsidRDefault="00000000">
      <w:pPr>
        <w:spacing w:after="80" w:line="240" w:lineRule="auto"/>
        <w:ind w:left="403" w:hanging="403"/>
      </w:pPr>
      <w:r>
        <w:rPr>
          <w:color w:val="26343D"/>
          <w:sz w:val="17"/>
        </w:rPr>
        <w:lastRenderedPageBreak/>
        <w:t>[49] S. Jain, B. C. Wallace, “Attention Is Not Explanation,” in Proceedings of the 2019 Conference of the North American Chapter of the Association for Computational Linguistics: Human Language Technologies, pp. 3543–3556, 2019. DOI: 10.18653/v1/N19-1357.</w:t>
      </w:r>
    </w:p>
    <w:p w14:paraId="57DB2535" w14:textId="77777777" w:rsidR="004C250E" w:rsidRDefault="00000000">
      <w:pPr>
        <w:spacing w:after="80" w:line="240" w:lineRule="auto"/>
        <w:ind w:left="403" w:hanging="403"/>
      </w:pPr>
      <w:r>
        <w:rPr>
          <w:color w:val="26343D"/>
          <w:sz w:val="17"/>
        </w:rPr>
        <w:t>[50] S. Serrano, N. A. Smith, “Is Attention Interpretable?,” in Proceedings of the 57th Annual Meeting of the Association for Computational Linguistics, pp. 2931–2951, 2019. DOI: 10.18653/v1/P19-1282.</w:t>
      </w:r>
    </w:p>
    <w:p w14:paraId="0D2F4803" w14:textId="77777777" w:rsidR="004C250E" w:rsidRDefault="00000000">
      <w:pPr>
        <w:spacing w:after="80" w:line="240" w:lineRule="auto"/>
        <w:ind w:left="403" w:hanging="403"/>
      </w:pPr>
      <w:r>
        <w:rPr>
          <w:color w:val="26343D"/>
          <w:sz w:val="17"/>
        </w:rPr>
        <w:t>[51] S. Wiegreffe, Y. Pinter, “Attention Is Not Not Explanation,” in Proceedings of the 2019 Conference on Empirical Methods in Natural Language Processing and the 9th International Joint Conference on Natural Language Processing, pp. 11–20, 2019. DOI: 10.18653/v1/D19-1002.</w:t>
      </w:r>
    </w:p>
    <w:p w14:paraId="69EA41D3" w14:textId="77777777" w:rsidR="004C250E" w:rsidRDefault="00000000">
      <w:pPr>
        <w:spacing w:after="80" w:line="240" w:lineRule="auto"/>
        <w:ind w:left="403" w:hanging="403"/>
      </w:pPr>
      <w:r>
        <w:rPr>
          <w:color w:val="26343D"/>
          <w:sz w:val="17"/>
        </w:rPr>
        <w:t>[52] S. Abnar, W. Zuidema, “Quantifying Attention Flow in Transformers,” in Proceedings of the 58th Annual Meeting of the Association for Computational Linguistics, pp. 4190–4197, 2020. DOI: 10.18653/v1/2020.acl-main.385.</w:t>
      </w:r>
    </w:p>
    <w:p w14:paraId="5AEC3855" w14:textId="77777777" w:rsidR="004C250E" w:rsidRDefault="00000000">
      <w:pPr>
        <w:spacing w:after="80" w:line="240" w:lineRule="auto"/>
        <w:ind w:left="403" w:hanging="403"/>
      </w:pPr>
      <w:r>
        <w:rPr>
          <w:color w:val="26343D"/>
          <w:sz w:val="17"/>
        </w:rPr>
        <w:t>[53] M. Sundararajan, A. Taly, Q. Yan, “Axiomatic Attribution for Deep Networks,” in Proc. 34th Int. Conf. Mach. Learn., vol. 70, pp. 3319–3328, 2017. Available: https://proceedings.mlr.press/v70/sundararajan17a.html.</w:t>
      </w:r>
    </w:p>
    <w:p w14:paraId="3339F84F" w14:textId="77777777" w:rsidR="004C250E" w:rsidRDefault="00000000">
      <w:pPr>
        <w:spacing w:after="80" w:line="240" w:lineRule="auto"/>
        <w:ind w:left="403" w:hanging="403"/>
      </w:pPr>
      <w:r>
        <w:rPr>
          <w:color w:val="26343D"/>
          <w:sz w:val="17"/>
        </w:rPr>
        <w:t>[54] J. Adebayo, J. Gilmer, M. Muelly, I. Goodfellow, M. Hardt, B. Kim, “Sanity Checks for Saliency Maps,” in Advances in Neural Information Processing Systems, vol. 31, pp. 9505–9515, 2018. Available: https://proceedings.neurips.cc/paper/2018/hash/294a8ed24b1ad22ec2e7efea049b8737-Abstract.html.</w:t>
      </w:r>
    </w:p>
    <w:p w14:paraId="51F7C9F6" w14:textId="77777777" w:rsidR="004C250E" w:rsidRDefault="00000000">
      <w:pPr>
        <w:spacing w:after="80" w:line="240" w:lineRule="auto"/>
        <w:ind w:left="403" w:hanging="403"/>
      </w:pPr>
      <w:r>
        <w:rPr>
          <w:color w:val="26343D"/>
          <w:sz w:val="17"/>
        </w:rPr>
        <w:t>[55] H. Chefer, S. Gur, L. Wolf, “Transformer Interpretability Beyond Attention Visualization,” in Proc. IEEE/CVF Conf. Comput. Vis. Pattern Recognit., pp. 782–791, 2021. DOI: 10.1109/CVPR46437.2021.00084.</w:t>
      </w:r>
    </w:p>
    <w:p w14:paraId="2A0BC559" w14:textId="77777777" w:rsidR="004C250E" w:rsidRDefault="00000000">
      <w:pPr>
        <w:spacing w:after="80" w:line="240" w:lineRule="auto"/>
        <w:ind w:left="403" w:hanging="403"/>
      </w:pPr>
      <w:r>
        <w:rPr>
          <w:color w:val="26343D"/>
          <w:sz w:val="17"/>
        </w:rPr>
        <w:t>[56] A. Geiger, Z. Wu, C. Potts, T. Icard, N. Goodman, “Inducing Causal Structure for Interpretable Neural Networks,” in Proc. 39th Int. Conf. Mach. Learn., vol. 162, pp. 7324–7338, 2022. Available: https://proceedings.mlr.press/v162/geiger22a.html.</w:t>
      </w:r>
    </w:p>
    <w:p w14:paraId="601EE920" w14:textId="77777777" w:rsidR="004C250E" w:rsidRDefault="00000000">
      <w:pPr>
        <w:spacing w:after="80" w:line="240" w:lineRule="auto"/>
        <w:ind w:left="403" w:hanging="403"/>
      </w:pPr>
      <w:r>
        <w:rPr>
          <w:color w:val="26343D"/>
          <w:sz w:val="17"/>
        </w:rPr>
        <w:t>[57] O. Roy and M. Vetterli, “The Effective Rank: A Measure of Effective Dimensionality,” in Proc. 15th European Signal Processing Conference (EUSIPCO), pp. 606–610, 2007. Available: https://www.eurasip.org/Proceedings/Eusipco/Eusipco2007/Papers/a5p-h05.pdf. Archive DOI: 10.5281/zenodo.40328.</w:t>
      </w:r>
    </w:p>
    <w:p w14:paraId="601EE920" w14:textId="77777777" w:rsidR="004C250E" w:rsidRDefault="00000000">
      <w:pPr>
        <w:spacing w:after="80" w:line="240" w:lineRule="auto"/>
        <w:ind w:left="403" w:hanging="403"/>
      </w:pPr>
      <w:r>
        <w:rPr>
          <w:color w:val="26343D"/>
          <w:sz w:val="17"/>
        </w:rPr>
        <w:t>[58] Meta AI, “DINOv2 Model Card” and “Linear Classifier Implementation,” DINOv2 GitHub repository, n.d. Available: https://github.com/facebookresearch/dinov2/blob/main/MODEL_CARD.md; https://github.com/facebookresearch/dinov2/blob/main/dinov2/hub/classifiers.py. Accessed 11 Oct. 2026. Software documentation; no DOI.</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6B"/>
    <w:rsid w:val="00094CD6"/>
    <w:rsid w:val="0015074B"/>
    <w:rsid w:val="0029639D"/>
    <w:rsid w:val="00326F90"/>
    <w:rsid w:val="00341F03"/>
    <w:rsid w:val="003E1B6A"/>
    <w:rsid w:val="004368BE"/>
    <w:rsid w:val="004C250E"/>
    <w:rsid w:val="004D5588"/>
    <w:rsid w:val="004E1E68"/>
    <w:rsid w:val="004F4849"/>
    <w:rsid w:val="005B4464"/>
    <w:rsid w:val="005D5368"/>
    <w:rsid w:val="006452CF"/>
    <w:rsid w:val="006F053A"/>
    <w:rsid w:val="0071308D"/>
    <w:rsid w:val="00713869"/>
    <w:rsid w:val="007336CA"/>
    <w:rsid w:val="0079720F"/>
    <w:rsid w:val="007E599C"/>
    <w:rsid w:val="00854860"/>
    <w:rsid w:val="008900CC"/>
    <w:rsid w:val="009116F8"/>
    <w:rsid w:val="00967CE5"/>
    <w:rsid w:val="009B6305"/>
    <w:rsid w:val="00A3332A"/>
    <w:rsid w:val="00A439D2"/>
    <w:rsid w:val="00A55DA2"/>
    <w:rsid w:val="00AA1D8D"/>
    <w:rsid w:val="00B47730"/>
    <w:rsid w:val="00B63702"/>
    <w:rsid w:val="00BA0128"/>
    <w:rsid w:val="00CA0CE6"/>
    <w:rsid w:val="00CB0664"/>
    <w:rsid w:val="00D003EF"/>
    <w:rsid w:val="00D412D2"/>
    <w:rsid w:val="00DC16A4"/>
    <w:rsid w:val="00E32168"/>
    <w:rsid w:val="00ED7B1F"/>
    <w:rsid w:val="00F845DC"/>
    <w:rsid w:val="00FC1638"/>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017CD"/>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67CE5"/>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17</Pages>
  <Words>9105</Words>
  <Characters>51904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22</cp:revision>
  <dcterms:created xsi:type="dcterms:W3CDTF">2013-12-23T23:15:00Z</dcterms:created>
  <dcterms:modified xsi:type="dcterms:W3CDTF">2026-10-11T04:14:00Z</dcterms:modified>
  <cp:category/>
</cp:coreProperties>
</file>