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67EC" w14:textId="0F36B188" w:rsidR="00BF264C" w:rsidRPr="00BF264C" w:rsidRDefault="00BF264C" w:rsidP="00BF264C">
      <w:pPr>
        <w:spacing w:after="100" w:line="259" w:lineRule="auto"/>
        <w:rPr>
          <w:rFonts w:eastAsiaTheme="majorEastAsia" w:cstheme="majorBidi"/>
          <w:b/>
          <w:color w:val="000000"/>
          <w:spacing w:val="5"/>
          <w:kern w:val="28"/>
          <w:sz w:val="36"/>
          <w:szCs w:val="52"/>
        </w:rPr>
      </w:pPr>
      <w:r w:rsidRPr="00BF264C">
        <w:rPr>
          <w:rFonts w:eastAsiaTheme="majorEastAsia" w:cstheme="majorBidi"/>
          <w:b/>
          <w:color w:val="000000"/>
          <w:spacing w:val="5"/>
          <w:kern w:val="28"/>
          <w:sz w:val="36"/>
          <w:szCs w:val="52"/>
        </w:rPr>
        <w:t>Patch</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Content Fungibility in Vision Transformers: Functional Geometry and Operator</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Aware Compression</w:t>
      </w:r>
    </w:p>
    <w:p w14:paraId="192C6319" w14:textId="3E006380" w:rsidR="00C01008" w:rsidRPr="00A6778D" w:rsidRDefault="00A632FF">
      <w:pPr>
        <w:spacing w:after="100" w:line="259" w:lineRule="auto"/>
        <w:rPr>
          <w:i/>
          <w:iCs/>
        </w:rPr>
      </w:pPr>
      <w:r w:rsidRPr="00A6778D">
        <w:rPr>
          <w:i/>
          <w:iCs/>
        </w:rPr>
        <w:t>Nghiem Nhat Minh, Dang Tri Dung, Do Tri Cuong</w:t>
      </w:r>
    </w:p>
    <w:p w14:paraId="4A9BBAB8" w14:textId="77777777" w:rsidR="00C01008" w:rsidRDefault="00000000">
      <w:pPr>
        <w:pStyle w:val="Heading1"/>
      </w:pPr>
      <w:r>
        <w:rPr>
          <w:rFonts w:ascii="Times New Roman" w:hAnsi="Times New Roman"/>
        </w:rPr>
        <w:t>Abstract</w:t>
      </w:r>
    </w:p>
    <w:p w14:paraId="535705BA" w14:textId="3735961D" w:rsidR="00C01008" w:rsidRDefault="00000000" w:rsidP="00F3275F">
      <w:pPr>
        <w:spacing w:after="100" w:line="259" w:lineRule="auto"/>
        <w:jc w:val="both"/>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4C838517" w14:textId="77777777" w:rsidR="00C01008" w:rsidRDefault="00000000">
      <w:pPr>
        <w:pStyle w:val="Heading1"/>
      </w:pPr>
      <w:r>
        <w:rPr>
          <w:rFonts w:ascii="Times New Roman" w:hAnsi="Times New Roman"/>
        </w:rPr>
        <w:t>1. Introduction</w:t>
      </w:r>
    </w:p>
    <w:p w14:paraId="6C9598FF" w14:textId="7577AA51" w:rsidR="00C01008" w:rsidRDefault="00000000" w:rsidP="00F3275F">
      <w:pPr>
        <w:spacing w:after="100" w:line="259" w:lineRule="auto"/>
        <w:jc w:val="both"/>
      </w:pPr>
      <w:r>
        <w:t>Transformers use self</w:t>
      </w:r>
      <w:r w:rsidR="00F3275F">
        <w:t>-</w:t>
      </w:r>
      <w:r>
        <w:t>attention to mix token representations [1], while vision transformers (ViTs) represent an image as a sequence of patch embeddings [2]. Published ViT families include data</w:t>
      </w:r>
      <w:r w:rsidR="00F3275F">
        <w:t>-</w:t>
      </w:r>
      <w:r>
        <w:t>efficient supervised training [3], self</w:t>
      </w:r>
      <w:r w:rsidR="00F3275F">
        <w:t>-</w:t>
      </w:r>
      <w:r>
        <w:t>supervised representations [4], [5], hierarchical attention [6], masked pretraining [7], scaling [8], training regularization [9], and register tokens [10]. Token</w:t>
      </w:r>
      <w:r w:rsidR="00F3275F">
        <w:t>-</w:t>
      </w:r>
      <w:r>
        <w:t>reduction methods lower computation by changing which tokens are processed or how they are combined. We ask a different question: when does the remaining network require the image</w:t>
      </w:r>
      <w:r w:rsidR="00F3275F">
        <w:t>-</w:t>
      </w:r>
      <w:r>
        <w:t>specific content carried by a late patch slot?</w:t>
      </w:r>
    </w:p>
    <w:p w14:paraId="421B6014" w14:textId="7B364580" w:rsidR="00C01008" w:rsidRDefault="00000000" w:rsidP="00F3275F">
      <w:pPr>
        <w:spacing w:after="100" w:line="259" w:lineRule="auto"/>
        <w:jc w:val="both"/>
      </w:pPr>
      <w:r>
        <w:t>We answer with a controlled content intervention. At a selected late layer, image</w:t>
      </w:r>
      <w:r w:rsidR="00F3275F">
        <w:t>-</w:t>
      </w:r>
      <w:r>
        <w:t>specific patch activations are causally removed and replaced with class</w:t>
      </w:r>
      <w:r w:rsidR="00F3275F">
        <w:t>-</w:t>
      </w:r>
      <w:r>
        <w:t>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 1 summarizes the fixed</w:t>
      </w:r>
      <w:r w:rsidR="00F3275F">
        <w:t>-</w:t>
      </w:r>
      <w:r>
        <w:t>slot intervention, geometric and diversity constraints, and selective transmission through anisotropic sensitivity and Value</w:t>
      </w:r>
      <w:r w:rsidR="00F3275F">
        <w:t>-</w:t>
      </w:r>
      <w:r>
        <w:t>path cancellation.</w:t>
      </w:r>
    </w:p>
    <w:p w14:paraId="2F41B968" w14:textId="77777777" w:rsidR="00C01008" w:rsidRDefault="00000000">
      <w:pPr>
        <w:keepNext/>
        <w:keepLines/>
        <w:spacing w:after="20"/>
        <w:jc w:val="center"/>
      </w:pPr>
      <w:r>
        <w:rPr>
          <w:noProof/>
        </w:rPr>
        <w:lastRenderedPageBreak/>
        <w:drawing>
          <wp:inline distT="0" distB="0" distL="0" distR="0" wp14:anchorId="32228B4E" wp14:editId="566AC504">
            <wp:extent cx="6026150" cy="35369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rotWithShape="1">
                    <a:blip r:embed="rId6"/>
                    <a:srcRect r="2361"/>
                    <a:stretch>
                      <a:fillRect/>
                    </a:stretch>
                  </pic:blipFill>
                  <pic:spPr bwMode="auto">
                    <a:xfrm>
                      <a:off x="0" y="0"/>
                      <a:ext cx="6026499" cy="3537155"/>
                    </a:xfrm>
                    <a:prstGeom prst="rect">
                      <a:avLst/>
                    </a:prstGeom>
                    <a:ln>
                      <a:noFill/>
                    </a:ln>
                    <a:extLst>
                      <a:ext uri="{53640926-AAD7-44D8-BBD7-CCE9431645EC}">
                        <a14:shadowObscured xmlns:a14="http://schemas.microsoft.com/office/drawing/2010/main"/>
                      </a:ext>
                    </a:extLst>
                  </pic:spPr>
                </pic:pic>
              </a:graphicData>
            </a:graphic>
          </wp:inline>
        </w:drawing>
      </w:r>
    </w:p>
    <w:p w14:paraId="077291F8" w14:textId="3EDBD5C4" w:rsidR="00C01008" w:rsidRDefault="00000000">
      <w:pPr>
        <w:keepLines/>
        <w:spacing w:after="80"/>
        <w:jc w:val="center"/>
      </w:pPr>
      <w:r>
        <w:rPr>
          <w:i/>
          <w:color w:val="4C5963"/>
          <w:sz w:val="17"/>
        </w:rPr>
        <w:t>Fig. 1. Fixed</w:t>
      </w:r>
      <w:r w:rsidR="00F3275F">
        <w:rPr>
          <w:i/>
          <w:color w:val="4C5963"/>
          <w:sz w:val="17"/>
        </w:rPr>
        <w:t>-</w:t>
      </w:r>
      <w:r>
        <w:rPr>
          <w:i/>
          <w:color w:val="4C5963"/>
          <w:sz w:val="17"/>
        </w:rPr>
        <w:t>slot late</w:t>
      </w:r>
      <w:r w:rsidR="00F3275F">
        <w:rPr>
          <w:i/>
          <w:color w:val="4C5963"/>
          <w:sz w:val="17"/>
        </w:rPr>
        <w:t>-</w:t>
      </w:r>
      <w:r>
        <w:rPr>
          <w:i/>
          <w:color w:val="4C5963"/>
          <w:sz w:val="17"/>
        </w:rPr>
        <w:t>layer patch</w:t>
      </w:r>
      <w:r w:rsidR="00F3275F">
        <w:rPr>
          <w:i/>
          <w:color w:val="4C5963"/>
          <w:sz w:val="17"/>
        </w:rPr>
        <w:t>-</w:t>
      </w:r>
      <w:r>
        <w:rPr>
          <w:i/>
          <w:color w:val="4C5963"/>
          <w:sz w:val="17"/>
        </w:rPr>
        <w:t>content substitution (a), geometric and diversity constraints (b), and anisotropic sensitivity with Value</w:t>
      </w:r>
      <w:r w:rsidR="00F3275F">
        <w:rPr>
          <w:i/>
          <w:color w:val="4C5963"/>
          <w:sz w:val="17"/>
        </w:rPr>
        <w:t>-</w:t>
      </w:r>
      <w:r>
        <w:rPr>
          <w:i/>
          <w:color w:val="4C5963"/>
          <w:sz w:val="17"/>
        </w:rPr>
        <w:t>path cancellation (c).</w:t>
      </w:r>
    </w:p>
    <w:p w14:paraId="515679A3" w14:textId="08FCB43D" w:rsidR="00C01008" w:rsidRDefault="00000000" w:rsidP="00F3275F">
      <w:pPr>
        <w:spacing w:after="100" w:line="259" w:lineRule="auto"/>
        <w:jc w:val="both"/>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7D8531EF" w14:textId="77777777" w:rsidR="00C01008" w:rsidRDefault="00000000">
      <w:pPr>
        <w:pStyle w:val="Heading1"/>
      </w:pPr>
      <w:r>
        <w:rPr>
          <w:rFonts w:ascii="Times New Roman" w:hAnsi="Times New Roman"/>
        </w:rPr>
        <w:t>2. Related Work</w:t>
      </w:r>
    </w:p>
    <w:p w14:paraId="79D9A837" w14:textId="4C8BF87E" w:rsidR="00C01008" w:rsidRDefault="00000000" w:rsidP="00F3275F">
      <w:pPr>
        <w:spacing w:after="100" w:line="259" w:lineRule="auto"/>
        <w:jc w:val="both"/>
      </w:pPr>
      <w:r>
        <w:t>Token</w:t>
      </w:r>
      <w:r w:rsidR="00F3275F">
        <w:t>-</w:t>
      </w:r>
      <w:r>
        <w:t>reduction methods change the sequence or the computation applied to it. DynamicViT and Expediting Vision Transformers via Token Reorganizations (EViT) score or reorganize tokens [11], [12]; Token Merging (ToMe) combines similar tokens [13]; A</w:t>
      </w:r>
      <w:r w:rsidR="00F3275F">
        <w:t>-</w:t>
      </w:r>
      <w:r>
        <w:t>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w:t>
      </w:r>
      <w:r w:rsidR="00F3275F">
        <w:t>-</w:t>
      </w:r>
      <w:r>
        <w:t>Aware Redundancy Reduction (IA</w:t>
      </w:r>
      <w:r w:rsidR="00F3275F">
        <w:t>-</w:t>
      </w:r>
      <w:r>
        <w:t>RED</w:t>
      </w:r>
      <w:r>
        <w:rPr>
          <w:vertAlign w:val="superscript"/>
        </w:rPr>
        <w:t>2</w:t>
      </w:r>
      <w:r>
        <w:t>) select tokens using sampling or redundancy criteria [18], [19]. Other approaches include PatchDropout, X</w:t>
      </w:r>
      <w:r w:rsidR="00F3275F">
        <w:t>-</w:t>
      </w:r>
      <w:r>
        <w:t>Pruner, and global structural pruning [20]–[22]; joint pruning and squeezing [23]; and early</w:t>
      </w:r>
      <w:r w:rsidR="00F3275F">
        <w:t>-</w:t>
      </w:r>
      <w:r>
        <w:t>exit pruning for dense prediction [24]. Evo</w:t>
      </w:r>
      <w:r w:rsidR="00F3275F">
        <w:t>-</w:t>
      </w:r>
      <w:r>
        <w:t>ViT, Dynamic Grained Encoder, and SPViT adapt token computation or selection [25]–[27], while Patch Slimming, Dynamic Transformers, end</w:t>
      </w:r>
      <w:r w:rsidR="00F3275F">
        <w:t>-</w:t>
      </w:r>
      <w:r>
        <w:t>to</w:t>
      </w:r>
      <w:r w:rsidR="00F3275F">
        <w:t>-</w:t>
      </w:r>
      <w:r>
        <w:t>end sparsity, activation sparsity, and structure</w:t>
      </w:r>
      <w:r w:rsidR="00F3275F">
        <w:t>-</w:t>
      </w:r>
      <w:r>
        <w:t>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2E1732B4" w14:textId="53E7C7E1" w:rsidR="00C01008" w:rsidRDefault="00000000" w:rsidP="00F3275F">
      <w:pPr>
        <w:spacing w:after="100" w:line="259" w:lineRule="auto"/>
        <w:jc w:val="both"/>
      </w:pPr>
      <w:r>
        <w:t>Compression by weight or structure pruning has a longer history. Optimal Brain Damage and Optimal Brain Surgeon use sensitivity</w:t>
      </w:r>
      <w:r w:rsidR="00F3275F">
        <w:t>-</w:t>
      </w:r>
      <w:r>
        <w:t>based approximations to remove parameters [33], [34]. Later work studies connection pruning, resource</w:t>
      </w:r>
      <w:r w:rsidR="00F3275F">
        <w:t>-</w:t>
      </w:r>
      <w:r>
        <w:t>aware pruning, sparse trainable subnetworks, and movement</w:t>
      </w:r>
      <w:r w:rsidR="00F3275F">
        <w:t>-</w:t>
      </w:r>
      <w:r>
        <w:t>based pruning [35]–[38]. SparseGPT and Wanda study one</w:t>
      </w:r>
      <w:r w:rsidR="00F3275F">
        <w:t>-</w:t>
      </w:r>
      <w:r>
        <w:t>shot pruning of large language models (LLMs), while SliceGPT removes dimensions. Singular value decomposition (SVD) is also used for large</w:t>
      </w:r>
      <w:r w:rsidR="00F3275F">
        <w:t>-</w:t>
      </w:r>
      <w:r>
        <w:t>language</w:t>
      </w:r>
      <w:r w:rsidR="00F3275F">
        <w:t>-</w:t>
      </w:r>
      <w:r>
        <w:t>model compression in the published SVD</w:t>
      </w:r>
      <w:r w:rsidR="00F3275F">
        <w:t>-</w:t>
      </w:r>
      <w:r>
        <w:t>LLM method, which applies a truncation</w:t>
      </w:r>
      <w:r w:rsidR="00F3275F">
        <w:t>-</w:t>
      </w:r>
      <w:r>
        <w:t>aware variant [39]–[42]. PCF complements these methods by using the downstream pre-classifier readout Jacobian to evaluate and optimize fixed-slot patch carriers while preserving the token sequence structure.</w:t>
      </w:r>
    </w:p>
    <w:p w14:paraId="4B00EC72" w14:textId="74A8A694" w:rsidR="00C01008" w:rsidRDefault="00000000" w:rsidP="00F3275F">
      <w:pPr>
        <w:spacing w:after="100" w:line="259" w:lineRule="auto"/>
        <w:jc w:val="both"/>
      </w:pPr>
      <w:r>
        <w:t>Interpretability research cautions that attention weights alone need not explain a model’s decision. Controlled studies examine whether attention is explanation and how explanation changes under interventions [43]–[45]. Attention flow, Integrated Gradients, saliency</w:t>
      </w:r>
      <w:r w:rsidR="00F3275F">
        <w:t>-</w:t>
      </w:r>
      <w:r>
        <w:t>map sanity checks, and transformer</w:t>
      </w:r>
      <w:r w:rsidR="00F3275F">
        <w:t>-</w:t>
      </w:r>
      <w:r>
        <w:t xml:space="preserve">specific relevance propagation provide complementary </w:t>
      </w:r>
      <w:r>
        <w:lastRenderedPageBreak/>
        <w:t>methods for tracing or attributing model behavior [46]–[49]. Causal abstraction offers a framework for connecting interventions to model</w:t>
      </w:r>
      <w:r w:rsidR="00F3275F">
        <w:t>-</w:t>
      </w:r>
      <w:r>
        <w:t>level causal structure [50]. Our evidence uses direct activation interventions and held</w:t>
      </w:r>
      <w:r w:rsidR="00F3275F">
        <w:t>-</w:t>
      </w:r>
      <w:r>
        <w:t>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7D7BAF12" w14:textId="77777777" w:rsidR="00C01008" w:rsidRDefault="00000000">
      <w:pPr>
        <w:pStyle w:val="Heading1"/>
      </w:pPr>
      <w:r>
        <w:rPr>
          <w:rFonts w:ascii="Times New Roman" w:hAnsi="Times New Roman"/>
        </w:rPr>
        <w:t>3. Experimental Setup and Interventions</w:t>
      </w:r>
    </w:p>
    <w:p w14:paraId="0CF847B1" w14:textId="22837A7E" w:rsidR="00C01008" w:rsidRDefault="00000000" w:rsidP="00F3275F">
      <w:pPr>
        <w:spacing w:after="100" w:line="259" w:lineRule="auto"/>
        <w:jc w:val="both"/>
      </w:pPr>
      <w:r>
        <w:t>The paper draws on distinct evidence cohorts; Table I summarizes each primary finding and its sampling unit without pooling. N denotes the count of the stated unit, which differs across image-based and perturbation-based studies. Top-1 accuracy is the fraction of evaluated images whose highest-scoring predicted class matches the ground-truth label; margin, feature-geometry, and operator-space measures are separate endpoints. Image-based studies use frozen pretrained models and ImageNet-1k validation images with protocol-specific preprocessing and splits.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 The remaining audits retain their own cohorts and sampling units as shown in Table I.</w:t>
      </w:r>
    </w:p>
    <w:p w14:paraId="2BE31869" w14:textId="77777777" w:rsidR="00C01008" w:rsidRDefault="00000000">
      <w:pPr>
        <w:spacing w:after="100" w:line="259" w:lineRule="auto"/>
      </w:pPr>
      <w:r>
        <w:t>TABLE I</w:t>
      </w:r>
    </w:p>
    <w:p w14:paraId="422C3615" w14:textId="77777777" w:rsidR="00C01008" w:rsidRDefault="00000000">
      <w:pPr>
        <w:spacing w:after="100" w:line="259" w:lineRule="auto"/>
      </w:pPr>
      <w:r>
        <w:t>PRIMARY RESULTS AND EVIDENCE SCOPE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C01008" w14:paraId="6F7FD825" w14:textId="77777777" w:rsidTr="00F3275F">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3523977A" w14:textId="77777777" w:rsidR="00C01008" w:rsidRDefault="00000000">
            <w:pPr>
              <w:jc w:val="center"/>
            </w:pPr>
            <w:r>
              <w:rPr>
                <w:b/>
                <w:color w:val="17232D"/>
                <w:sz w:val="16"/>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176E09D" w14:textId="77777777" w:rsidR="00C01008" w:rsidRDefault="00000000">
            <w:pPr>
              <w:jc w:val="center"/>
            </w:pPr>
            <w:r>
              <w:rPr>
                <w:b/>
                <w:color w:val="17232D"/>
                <w:sz w:val="16"/>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893B0D7" w14:textId="77777777" w:rsidR="00C01008" w:rsidRDefault="00000000">
            <w:pPr>
              <w:jc w:val="center"/>
            </w:pPr>
            <w:r>
              <w:rPr>
                <w:b/>
                <w:color w:val="17232D"/>
                <w:sz w:val="16"/>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4F3FEBA" w14:textId="77777777" w:rsidR="00C01008" w:rsidRDefault="00000000">
            <w:pPr>
              <w:jc w:val="center"/>
            </w:pPr>
            <w:r>
              <w:rPr>
                <w:b/>
                <w:color w:val="17232D"/>
                <w:sz w:val="16"/>
              </w:rPr>
              <w:t>Main finding</w:t>
            </w:r>
          </w:p>
        </w:tc>
      </w:tr>
      <w:tr w:rsidR="00C01008" w14:paraId="4A065BE5" w14:textId="77777777" w:rsidTr="00677D65">
        <w:tc>
          <w:tcPr>
            <w:tcW w:w="2498" w:type="dxa"/>
            <w:tcMar>
              <w:top w:w="55" w:type="dxa"/>
              <w:left w:w="65" w:type="dxa"/>
              <w:bottom w:w="55" w:type="dxa"/>
              <w:right w:w="65" w:type="dxa"/>
            </w:tcMar>
            <w:vAlign w:val="center"/>
          </w:tcPr>
          <w:p w14:paraId="6E862D81" w14:textId="77777777" w:rsidR="00C01008" w:rsidRDefault="00000000">
            <w:r>
              <w:rPr>
                <w:sz w:val="16"/>
              </w:rPr>
              <w:t>Fixed-slot patch replacement</w:t>
            </w:r>
          </w:p>
        </w:tc>
        <w:tc>
          <w:tcPr>
            <w:tcW w:w="2498" w:type="dxa"/>
            <w:tcMar>
              <w:top w:w="55" w:type="dxa"/>
              <w:left w:w="65" w:type="dxa"/>
              <w:bottom w:w="55" w:type="dxa"/>
              <w:right w:w="65" w:type="dxa"/>
            </w:tcMar>
            <w:vAlign w:val="center"/>
          </w:tcPr>
          <w:p w14:paraId="2C8CA53A" w14:textId="77777777" w:rsidR="00C01008"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2AAB632F" w14:textId="77777777" w:rsidR="00C01008"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0C08D5FF" w14:textId="77777777" w:rsidR="00C01008" w:rsidRDefault="00000000">
            <w:pPr>
              <w:jc w:val="center"/>
            </w:pPr>
            <w:r>
              <w:rPr>
                <w:sz w:val="16"/>
              </w:rPr>
              <w:t>Tolerance varies with depth, surrogate geometry, diversity, and feature direction; learned directions outperform energy-matched random directions in tested DeiT settings.</w:t>
            </w:r>
          </w:p>
        </w:tc>
      </w:tr>
      <w:tr w:rsidR="00C01008" w14:paraId="408E3427" w14:textId="77777777" w:rsidTr="00677D65">
        <w:tc>
          <w:tcPr>
            <w:tcW w:w="2498" w:type="dxa"/>
            <w:tcMar>
              <w:top w:w="55" w:type="dxa"/>
              <w:left w:w="65" w:type="dxa"/>
              <w:bottom w:w="55" w:type="dxa"/>
              <w:right w:w="65" w:type="dxa"/>
            </w:tcMar>
            <w:vAlign w:val="center"/>
          </w:tcPr>
          <w:p w14:paraId="0B2DA74E" w14:textId="77777777" w:rsidR="00C01008" w:rsidRDefault="00000000">
            <w:r>
              <w:rPr>
                <w:sz w:val="16"/>
              </w:rPr>
              <w:t>Functional and joint-stream geometry</w:t>
            </w:r>
          </w:p>
        </w:tc>
        <w:tc>
          <w:tcPr>
            <w:tcW w:w="2498" w:type="dxa"/>
            <w:tcMar>
              <w:top w:w="55" w:type="dxa"/>
              <w:left w:w="65" w:type="dxa"/>
              <w:bottom w:w="55" w:type="dxa"/>
              <w:right w:w="65" w:type="dxa"/>
            </w:tcMar>
            <w:vAlign w:val="center"/>
          </w:tcPr>
          <w:p w14:paraId="71781A20" w14:textId="77777777" w:rsidR="00C01008" w:rsidRDefault="00000000">
            <w:pPr>
              <w:jc w:val="center"/>
            </w:pPr>
            <w:r>
              <w:rPr>
                <w:sz w:val="16"/>
              </w:rPr>
              <w:t>Functional pilot: N=100 images; joint-stream audit: N=100 images/model (separate cohort)</w:t>
            </w:r>
          </w:p>
        </w:tc>
        <w:tc>
          <w:tcPr>
            <w:tcW w:w="2498" w:type="dxa"/>
            <w:tcMar>
              <w:top w:w="55" w:type="dxa"/>
              <w:left w:w="65" w:type="dxa"/>
              <w:bottom w:w="55" w:type="dxa"/>
              <w:right w:w="65" w:type="dxa"/>
            </w:tcMar>
            <w:vAlign w:val="center"/>
          </w:tcPr>
          <w:p w14:paraId="278F1FB5" w14:textId="1B58825C" w:rsidR="00C01008"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38C033C1" w14:textId="77777777" w:rsidR="00C01008" w:rsidRDefault="00000000">
            <w:pPr>
              <w:jc w:val="center"/>
            </w:pPr>
            <w:r>
              <w:rPr>
                <w:sz w:val="16"/>
              </w:rPr>
              <w:t>The threshold-defined near-null subspace expands with depth in the pilot; damage depends jointly on feature direction and token coherence.</w:t>
            </w:r>
          </w:p>
        </w:tc>
      </w:tr>
      <w:tr w:rsidR="00C01008" w14:paraId="2E1232A5" w14:textId="77777777" w:rsidTr="00677D65">
        <w:tc>
          <w:tcPr>
            <w:tcW w:w="2498" w:type="dxa"/>
            <w:tcMar>
              <w:top w:w="55" w:type="dxa"/>
              <w:left w:w="65" w:type="dxa"/>
              <w:bottom w:w="55" w:type="dxa"/>
              <w:right w:w="65" w:type="dxa"/>
            </w:tcMar>
            <w:vAlign w:val="center"/>
          </w:tcPr>
          <w:p w14:paraId="1693F496" w14:textId="77777777" w:rsidR="00C01008" w:rsidRDefault="00000000">
            <w:r>
              <w:rPr>
                <w:sz w:val="16"/>
              </w:rPr>
              <w:t>Attention Value-path audit</w:t>
            </w:r>
          </w:p>
        </w:tc>
        <w:tc>
          <w:tcPr>
            <w:tcW w:w="2498" w:type="dxa"/>
            <w:tcMar>
              <w:top w:w="55" w:type="dxa"/>
              <w:left w:w="65" w:type="dxa"/>
              <w:bottom w:w="55" w:type="dxa"/>
              <w:right w:w="65" w:type="dxa"/>
            </w:tcMar>
            <w:vAlign w:val="center"/>
          </w:tcPr>
          <w:p w14:paraId="451ADCC2" w14:textId="77777777" w:rsidR="00C01008" w:rsidRDefault="00000000">
            <w:pPr>
              <w:jc w:val="center"/>
            </w:pPr>
            <w:r>
              <w:rPr>
                <w:sz w:val="16"/>
              </w:rPr>
              <w:t>N=100 images</w:t>
            </w:r>
          </w:p>
        </w:tc>
        <w:tc>
          <w:tcPr>
            <w:tcW w:w="2498" w:type="dxa"/>
            <w:tcMar>
              <w:top w:w="55" w:type="dxa"/>
              <w:left w:w="65" w:type="dxa"/>
              <w:bottom w:w="55" w:type="dxa"/>
              <w:right w:w="65" w:type="dxa"/>
            </w:tcMar>
            <w:vAlign w:val="center"/>
          </w:tcPr>
          <w:p w14:paraId="3293D625" w14:textId="59A92980" w:rsidR="00C01008"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6C8B10D8" w14:textId="77777777" w:rsidR="00C01008" w:rsidRDefault="00000000">
            <w:pPr>
              <w:jc w:val="center"/>
            </w:pPr>
            <w:r>
              <w:rPr>
                <w:sz w:val="16"/>
              </w:rPr>
              <w:t>Coherent Value contributions accumulate; sign-varying contributions partially cancel.</w:t>
            </w:r>
          </w:p>
        </w:tc>
      </w:tr>
      <w:tr w:rsidR="00C01008" w14:paraId="5E293940" w14:textId="77777777" w:rsidTr="00F3275F">
        <w:tc>
          <w:tcPr>
            <w:tcW w:w="2498" w:type="dxa"/>
            <w:tcMar>
              <w:top w:w="55" w:type="dxa"/>
              <w:left w:w="65" w:type="dxa"/>
              <w:bottom w:w="55" w:type="dxa"/>
              <w:right w:w="65" w:type="dxa"/>
            </w:tcMar>
            <w:vAlign w:val="center"/>
          </w:tcPr>
          <w:p w14:paraId="5F2E5906" w14:textId="1D413AF0" w:rsidR="00C01008" w:rsidRDefault="00000000">
            <w:r>
              <w:rPr>
                <w:sz w:val="16"/>
              </w:rPr>
              <w:t>Multi-block operator prediction</w:t>
            </w:r>
          </w:p>
        </w:tc>
        <w:tc>
          <w:tcPr>
            <w:tcW w:w="2498" w:type="dxa"/>
            <w:tcMar>
              <w:top w:w="55" w:type="dxa"/>
              <w:left w:w="65" w:type="dxa"/>
              <w:bottom w:w="55" w:type="dxa"/>
              <w:right w:w="65" w:type="dxa"/>
            </w:tcMar>
            <w:vAlign w:val="center"/>
          </w:tcPr>
          <w:p w14:paraId="101A13C0" w14:textId="1DB0998F" w:rsidR="00C01008" w:rsidRDefault="00000000">
            <w:pPr>
              <w:jc w:val="center"/>
            </w:pPr>
            <w:r>
              <w:rPr>
                <w:sz w:val="16"/>
              </w:rPr>
              <w:t>N=100 held-out perturbations</w:t>
            </w:r>
          </w:p>
        </w:tc>
        <w:tc>
          <w:tcPr>
            <w:tcW w:w="2498" w:type="dxa"/>
            <w:tcMar>
              <w:top w:w="55" w:type="dxa"/>
              <w:left w:w="65" w:type="dxa"/>
              <w:bottom w:w="55" w:type="dxa"/>
              <w:right w:w="65" w:type="dxa"/>
            </w:tcMar>
            <w:vAlign w:val="center"/>
          </w:tcPr>
          <w:p w14:paraId="537454B0" w14:textId="410FD5C7" w:rsidR="00C01008" w:rsidRDefault="00000000">
            <w:pPr>
              <w:jc w:val="center"/>
            </w:pPr>
            <w:r>
              <w:rPr>
                <w:sz w:val="16"/>
              </w:rPr>
              <w:t>Held-out single-block vs. multi-block prediction</w:t>
            </w:r>
          </w:p>
        </w:tc>
        <w:tc>
          <w:tcPr>
            <w:tcW w:w="2498" w:type="dxa"/>
            <w:tcMar>
              <w:top w:w="55" w:type="dxa"/>
              <w:left w:w="65" w:type="dxa"/>
              <w:bottom w:w="55" w:type="dxa"/>
              <w:right w:w="65" w:type="dxa"/>
            </w:tcMar>
            <w:vAlign w:val="center"/>
          </w:tcPr>
          <w:p w14:paraId="30E1B6A9" w14:textId="7CB32696" w:rsidR="00C01008" w:rsidRDefault="00000000">
            <w:pPr>
              <w:jc w:val="center"/>
            </w:pPr>
            <w:r>
              <w:rPr>
                <w:sz w:val="16"/>
              </w:rPr>
              <w:t>The multi-block operator predicts downstream damage more closely than the single-block operator.</w:t>
            </w:r>
          </w:p>
        </w:tc>
      </w:tr>
      <w:tr w:rsidR="00C01008" w14:paraId="4D9B01B0" w14:textId="77777777" w:rsidTr="00677D65">
        <w:tc>
          <w:tcPr>
            <w:tcW w:w="2498" w:type="dxa"/>
            <w:tcMar>
              <w:top w:w="55" w:type="dxa"/>
              <w:left w:w="65" w:type="dxa"/>
              <w:bottom w:w="55" w:type="dxa"/>
              <w:right w:w="65" w:type="dxa"/>
            </w:tcMar>
            <w:vAlign w:val="center"/>
          </w:tcPr>
          <w:p w14:paraId="67AB128E" w14:textId="77777777" w:rsidR="00C01008" w:rsidRDefault="00000000">
            <w:r>
              <w:rPr>
                <w:sz w:val="16"/>
              </w:rPr>
              <w:t>Strict confirmatory compression</w:t>
            </w:r>
          </w:p>
        </w:tc>
        <w:tc>
          <w:tcPr>
            <w:tcW w:w="2498" w:type="dxa"/>
            <w:tcMar>
              <w:top w:w="55" w:type="dxa"/>
              <w:left w:w="65" w:type="dxa"/>
              <w:bottom w:w="55" w:type="dxa"/>
              <w:right w:w="65" w:type="dxa"/>
            </w:tcMar>
            <w:vAlign w:val="center"/>
          </w:tcPr>
          <w:p w14:paraId="28F3CAD2" w14:textId="23A3932F" w:rsidR="00C01008" w:rsidRDefault="00000000">
            <w:pPr>
              <w:jc w:val="center"/>
            </w:pPr>
            <w:r>
              <w:rPr>
                <w:sz w:val="16"/>
              </w:rPr>
              <w:t>N=1,000 held-out images/architecture</w:t>
            </w:r>
          </w:p>
        </w:tc>
        <w:tc>
          <w:tcPr>
            <w:tcW w:w="2498" w:type="dxa"/>
            <w:tcMar>
              <w:top w:w="55" w:type="dxa"/>
              <w:left w:w="65" w:type="dxa"/>
              <w:bottom w:w="55" w:type="dxa"/>
              <w:right w:w="65" w:type="dxa"/>
            </w:tcMar>
            <w:vAlign w:val="center"/>
          </w:tcPr>
          <w:p w14:paraId="2BB8B015" w14:textId="4D406F55" w:rsidR="00C01008"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6747EEA4" w14:textId="77777777" w:rsidR="00C01008" w:rsidRDefault="00000000">
            <w:pPr>
              <w:jc w:val="center"/>
            </w:pPr>
            <w:r>
              <w:rPr>
                <w:sz w:val="16"/>
              </w:rPr>
              <w:t>At the most aggressive tested budgets, operator-aware methods beat the strongest pruning baselines by 4.2–12.0 pp; ToMe remains competitive.</w:t>
            </w:r>
          </w:p>
        </w:tc>
      </w:tr>
      <w:tr w:rsidR="00C01008" w14:paraId="73DEA943" w14:textId="77777777" w:rsidTr="00677D65">
        <w:tc>
          <w:tcPr>
            <w:tcW w:w="2498" w:type="dxa"/>
            <w:tcBorders>
              <w:bottom w:val="single" w:sz="4" w:space="0" w:color="auto"/>
            </w:tcBorders>
            <w:tcMar>
              <w:top w:w="55" w:type="dxa"/>
              <w:left w:w="65" w:type="dxa"/>
              <w:bottom w:w="55" w:type="dxa"/>
              <w:right w:w="65" w:type="dxa"/>
            </w:tcMar>
            <w:vAlign w:val="center"/>
          </w:tcPr>
          <w:p w14:paraId="4E9C9D4B" w14:textId="49BAEF98" w:rsidR="00C01008" w:rsidRDefault="00000000">
            <w:r>
              <w:rPr>
                <w:sz w:val="16"/>
              </w:rPr>
              <w:t>Practical carrier evaluation</w:t>
            </w:r>
          </w:p>
        </w:tc>
        <w:tc>
          <w:tcPr>
            <w:tcW w:w="2498" w:type="dxa"/>
            <w:tcBorders>
              <w:bottom w:val="single" w:sz="4" w:space="0" w:color="auto"/>
            </w:tcBorders>
            <w:tcMar>
              <w:top w:w="55" w:type="dxa"/>
              <w:left w:w="65" w:type="dxa"/>
              <w:bottom w:w="55" w:type="dxa"/>
              <w:right w:w="65" w:type="dxa"/>
            </w:tcMar>
            <w:vAlign w:val="center"/>
          </w:tcPr>
          <w:p w14:paraId="694B36B6" w14:textId="7855D2A9" w:rsidR="00C01008" w:rsidRDefault="00000000">
            <w:pPr>
              <w:jc w:val="center"/>
            </w:pPr>
            <w:r>
              <w:rPr>
                <w:sz w:val="16"/>
              </w:rPr>
              <w:t>Classifier: N=1,000 held-out images/architecture; operator-space: N=100 held-out operator-space images (separate)</w:t>
            </w:r>
          </w:p>
        </w:tc>
        <w:tc>
          <w:tcPr>
            <w:tcW w:w="2498" w:type="dxa"/>
            <w:tcBorders>
              <w:bottom w:val="single" w:sz="4" w:space="0" w:color="auto"/>
            </w:tcBorders>
            <w:tcMar>
              <w:top w:w="55" w:type="dxa"/>
              <w:left w:w="65" w:type="dxa"/>
              <w:bottom w:w="55" w:type="dxa"/>
              <w:right w:w="65" w:type="dxa"/>
            </w:tcMar>
            <w:vAlign w:val="center"/>
          </w:tcPr>
          <w:p w14:paraId="057ED69D" w14:textId="2D802BBF" w:rsidR="00C01008" w:rsidRDefault="00000000">
            <w:pPr>
              <w:jc w:val="center"/>
            </w:pPr>
            <w:r>
              <w:rPr>
                <w:sz w:val="16"/>
              </w:rP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6DFBE720" w14:textId="77777777" w:rsidR="00C01008" w:rsidRDefault="00000000">
            <w:pPr>
              <w:jc w:val="center"/>
            </w:pPr>
            <w:r>
              <w:rPr>
                <w:sz w:val="16"/>
              </w:rPr>
              <w:t>Classifier and throughput gains are mixed; operator-space gains do not establish reliable classification or general deployment improvement.</w:t>
            </w:r>
          </w:p>
        </w:tc>
      </w:tr>
    </w:tbl>
    <w:p w14:paraId="6F04A42C" w14:textId="77777777" w:rsidR="00C01008" w:rsidRDefault="00C01008">
      <w:pPr>
        <w:spacing w:after="20"/>
      </w:pPr>
    </w:p>
    <w:p w14:paraId="201B18EF" w14:textId="08ACA6A7" w:rsidR="00C01008"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4A98407F" w14:textId="12165066" w:rsidR="00C01008" w:rsidRDefault="00000000" w:rsidP="00F3275F">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w:t>
      </w:r>
      <w:r w:rsidR="00F3275F">
        <w:t>-</w:t>
      </w:r>
      <w:r>
        <w:t xml:space="preserve">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w:t>
      </w:r>
      <w:r w:rsidR="00F3275F">
        <w:t>-</w:t>
      </w:r>
      <w:r>
        <w:t xml:space="preserve">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22FA13A" w14:textId="77777777">
        <w:trPr>
          <w:cantSplit/>
          <w:jc w:val="center"/>
        </w:trPr>
        <w:tc>
          <w:tcPr>
            <w:tcW w:w="518" w:type="dxa"/>
            <w:tcMar>
              <w:top w:w="0" w:type="dxa"/>
              <w:left w:w="0" w:type="dxa"/>
              <w:bottom w:w="0" w:type="dxa"/>
              <w:right w:w="0" w:type="dxa"/>
            </w:tcMar>
            <w:vAlign w:val="center"/>
          </w:tcPr>
          <w:p w14:paraId="4DEF2067"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9BAE835" w14:textId="77777777" w:rsidR="00C01008"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426B1C76" w14:textId="77777777" w:rsidR="00C01008" w:rsidRDefault="00000000">
            <w:pPr>
              <w:keepLines/>
              <w:spacing w:before="40" w:after="80" w:line="240" w:lineRule="auto"/>
              <w:jc w:val="right"/>
            </w:pPr>
            <w:r>
              <w:rPr>
                <w:sz w:val="18"/>
              </w:rPr>
              <w:t>(1)</w:t>
            </w:r>
          </w:p>
        </w:tc>
      </w:tr>
    </w:tbl>
    <w:p w14:paraId="1848F70E" w14:textId="7B6A8AFE" w:rsidR="00C01008" w:rsidRDefault="00000000" w:rsidP="00F3275F">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w:t>
      </w:r>
      <w:r w:rsidR="00F3275F">
        <w:t>-</w:t>
      </w:r>
      <w:r>
        <w:t>specific content while keeping token slots fixed.</w:t>
      </w:r>
    </w:p>
    <w:p>
      <w:pPr>
        <w:spacing w:after="100" w:line="259" w:lineRule="auto"/>
        <w:jc w:val="both"/>
      </w:pPr>
      <w:r>
        <w:t>Surrogate values and replacement masks are protocol-specific: audited controls include calibration centroids, diagonal-Gaussian samples, and geometry or learned-direction variants. The mask identifies the selected patch positions and replacement fraction; calibration-derived quantities are estimated only from calibration data. Section 4 reports the layer, fraction, and control used in each replacement study.</w:t>
      </w:r>
    </w:p>
    <w:p w14:paraId="423A846A" w14:textId="3E78FB89" w:rsidR="00C01008" w:rsidRDefault="00000000" w:rsidP="00F3275F">
      <w:pPr>
        <w:spacing w:after="100" w:line="259" w:lineRule="auto"/>
        <w:jc w:val="both"/>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59F6B66A" w14:textId="0F411379" w:rsidR="00C01008" w:rsidRDefault="00000000">
      <w:pPr>
        <w:pStyle w:val="Heading1"/>
      </w:pPr>
      <w:r>
        <w:rPr>
          <w:rFonts w:ascii="Times New Roman" w:hAnsi="Times New Roman"/>
        </w:rPr>
        <w:t>4. Geometric and Diversity Constraints on Patch</w:t>
      </w:r>
      <w:r w:rsidR="00F3275F">
        <w:rPr>
          <w:rFonts w:ascii="Times New Roman" w:hAnsi="Times New Roman"/>
        </w:rPr>
        <w:t>-</w:t>
      </w:r>
      <w:r>
        <w:rPr>
          <w:rFonts w:ascii="Times New Roman" w:hAnsi="Times New Roman"/>
        </w:rPr>
        <w:t>Content Fungibility</w:t>
      </w:r>
    </w:p>
    <w:p w14:paraId="68C0ED87" w14:textId="3EB3F5F7" w:rsidR="00C01008" w:rsidRDefault="00000000">
      <w:pPr>
        <w:pStyle w:val="Heading2"/>
      </w:pPr>
      <w:r>
        <w:rPr>
          <w:rFonts w:ascii="Times New Roman" w:hAnsi="Times New Roman"/>
        </w:rPr>
        <w:t>4.1 Depth</w:t>
      </w:r>
      <w:r w:rsidR="00F3275F">
        <w:rPr>
          <w:rFonts w:ascii="Times New Roman" w:hAnsi="Times New Roman"/>
        </w:rPr>
        <w:t>-</w:t>
      </w:r>
      <w:r>
        <w:rPr>
          <w:rFonts w:ascii="Times New Roman" w:hAnsi="Times New Roman"/>
        </w:rPr>
        <w:t>Dependent Replacement Tolerance</w:t>
      </w:r>
    </w:p>
    <w:p w14:paraId="4C6538E5" w14:textId="3661A161" w:rsidR="00C01008" w:rsidRDefault="00000000" w:rsidP="00F3275F">
      <w:pPr>
        <w:spacing w:after="100" w:line="259" w:lineRule="auto"/>
        <w:jc w:val="both"/>
      </w:pPr>
      <w:r>
        <w:t>Across the audited replacement controls, late</w:t>
      </w:r>
      <w:r w:rsidR="00F3275F">
        <w:t>-</w:t>
      </w:r>
      <w:r>
        <w:t>layer patch content is more replaceable than early</w:t>
      </w:r>
      <w:r w:rsidR="00F3275F">
        <w:t>-</w:t>
      </w:r>
      <w:r>
        <w:t>layer content, but arbitrary substitutions do not preserve function. The initial depth-dependent replacement study evaluates 1,000 images per architecture under 25% patch replacement. A separately recorded follow</w:t>
      </w:r>
      <w:r w:rsidR="00F3275F">
        <w:t>-</w:t>
      </w:r>
      <w:r>
        <w:t>up measured the previously unsampled depth 6 with the same split seeds, replacement fraction, controls, and 1,000</w:t>
      </w:r>
      <w:r w:rsidR="00F3275F">
        <w:t>-</w:t>
      </w:r>
      <w:r>
        <w:t>image calibration and evaluation sets for ViT</w:t>
      </w:r>
      <w:r w:rsidR="00F3275F">
        <w:t>-</w:t>
      </w:r>
      <w:r>
        <w:t>B/16 AugReg and DINOv2. At depth 6, centroid/Gaussian replacement gives 73.9%/74.9% for ViT</w:t>
      </w:r>
      <w:r w:rsidR="00F3275F">
        <w:t>-</w:t>
      </w:r>
      <w:r>
        <w:t>B/16 AugReg and 70.6%/74.6% for DINOv2, compared with zero replacement at 71.5%/28.8%; Gaussian values are means over three seeds. Fig. 2 combines that follow</w:t>
      </w:r>
      <w:r w:rsidR="00F3275F">
        <w:t>-</w:t>
      </w:r>
      <w:r>
        <w:t>up with the original depths 5, 7, 8, 9, and 10. These results are conditional on the tested models, layer, replacement fraction, calibration distribution, and readout.</w:t>
      </w:r>
    </w:p>
    <w:p w14:paraId="624495C3" w14:textId="77777777" w:rsidR="00C01008" w:rsidRDefault="00000000">
      <w:pPr>
        <w:keepNext/>
        <w:keepLines/>
        <w:spacing w:after="20"/>
        <w:jc w:val="center"/>
      </w:pPr>
      <w:r>
        <w:rPr>
          <w:noProof/>
        </w:rPr>
        <w:drawing>
          <wp:inline distT="0" distB="0" distL="0" distR="0" wp14:anchorId="28DC04AB" wp14:editId="1BABED83">
            <wp:extent cx="6172200" cy="23594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2359499"/>
                    </a:xfrm>
                    <a:prstGeom prst="rect">
                      <a:avLst/>
                    </a:prstGeom>
                  </pic:spPr>
                </pic:pic>
              </a:graphicData>
            </a:graphic>
          </wp:inline>
        </w:drawing>
      </w:r>
    </w:p>
    <w:p w14:paraId="7C323B3E" w14:textId="0B2FE151" w:rsidR="00C01008" w:rsidRDefault="00000000">
      <w:pPr>
        <w:keepLines/>
        <w:spacing w:after="80"/>
        <w:jc w:val="center"/>
      </w:pPr>
      <w:r>
        <w:rPr>
          <w:i/>
          <w:color w:val="4C5963"/>
          <w:sz w:val="17"/>
        </w:rPr>
        <w:t>Fig. 2. Depth</w:t>
      </w:r>
      <w:r w:rsidR="00F3275F">
        <w:rPr>
          <w:i/>
          <w:color w:val="4C5963"/>
          <w:sz w:val="17"/>
        </w:rPr>
        <w:t>-</w:t>
      </w:r>
      <w:r>
        <w:rPr>
          <w:i/>
          <w:color w:val="4C5963"/>
          <w:sz w:val="17"/>
        </w:rPr>
        <w:t>wise replacement accuracy for ViT</w:t>
      </w:r>
      <w:r w:rsidR="00F3275F">
        <w:rPr>
          <w:i/>
          <w:color w:val="4C5963"/>
          <w:sz w:val="17"/>
        </w:rPr>
        <w:t>-</w:t>
      </w:r>
      <w:r>
        <w:rPr>
          <w:i/>
          <w:color w:val="4C5963"/>
          <w:sz w:val="17"/>
        </w:rPr>
        <w:t>B/16 AugReg and DINOv2 under 25% spatial</w:t>
      </w:r>
      <w:r w:rsidR="00F3275F">
        <w:rPr>
          <w:i/>
          <w:color w:val="4C5963"/>
          <w:sz w:val="17"/>
        </w:rPr>
        <w:t>-</w:t>
      </w:r>
      <w:r>
        <w:rPr>
          <w:i/>
          <w:color w:val="4C5963"/>
          <w:sz w:val="17"/>
        </w:rPr>
        <w:t>patch replacement. The initial study measured depths 5, 7, 8, 9, and 10; depth 6 is a separately recorded follow</w:t>
      </w:r>
      <w:r w:rsidR="00F3275F">
        <w:rPr>
          <w:i/>
          <w:color w:val="4C5963"/>
          <w:sz w:val="17"/>
        </w:rPr>
        <w:t>-</w:t>
      </w:r>
      <w:r>
        <w:rPr>
          <w:i/>
          <w:color w:val="4C5963"/>
          <w:sz w:val="17"/>
        </w:rPr>
        <w:t>up. Each evaluation uses N=1,000 images per model. Error bars show Gaussian seed</w:t>
      </w:r>
      <w:r w:rsidR="00F3275F">
        <w:rPr>
          <w:i/>
          <w:color w:val="4C5963"/>
          <w:sz w:val="17"/>
        </w:rPr>
        <w:t>-</w:t>
      </w:r>
      <w:r>
        <w:rPr>
          <w:i/>
          <w:color w:val="4C5963"/>
          <w:sz w:val="17"/>
        </w:rPr>
        <w:t>level standard deviation; dashed lines mark clean accuracy.</w:t>
      </w:r>
    </w:p>
    <w:p w14:paraId="2E17BED3" w14:textId="77777777" w:rsidR="00C01008" w:rsidRDefault="00000000">
      <w:pPr>
        <w:pStyle w:val="Heading2"/>
      </w:pPr>
      <w:r>
        <w:rPr>
          <w:rFonts w:ascii="Times New Roman" w:hAnsi="Times New Roman"/>
        </w:rPr>
        <w:t>4.2 Geometric and Diversity Constraints</w:t>
      </w:r>
    </w:p>
    <w:p w14:paraId="60005D85" w14:textId="0EC5A931" w:rsidR="00C01008" w:rsidRDefault="00000000" w:rsidP="00F3275F">
      <w:pPr>
        <w:spacing w:after="100" w:line="259" w:lineRule="auto"/>
        <w:jc w:val="both"/>
      </w:pPr>
      <w:r>
        <w:t>Geometry and diversity constrain replacement. In a separate activation-replacement geometry-control experiment</w:t>
      </w:r>
      <w:r w:rsidR="00F3275F">
        <w:t/>
      </w:r>
      <w:r>
        <w:t xml:space="preserve"> (N=1,000 images per model; 50% replacement), coordinate permutation changes Top</w:t>
      </w:r>
      <w:r w:rsidR="00F3275F">
        <w:t>-</w:t>
      </w:r>
      <w:r>
        <w:t>1 accuracy from 66.3% to 52.2% on DeiT</w:t>
      </w:r>
      <w:r w:rsidR="00F3275F">
        <w:t>-</w:t>
      </w:r>
      <w:r>
        <w:t>Tiny and from 75.6% to 62.6% on DeiT</w:t>
      </w:r>
      <w:r w:rsidR="00F3275F">
        <w:t>-</w:t>
      </w:r>
      <w:r>
        <w:t>Small; sign inversion reduces it to 0.7% and 1.1%, respectively. These are classifier outcomes from the N=1,000 replacement study. A distinct N=100 DeiT</w:t>
      </w:r>
      <w:r w:rsidR="00F3275F">
        <w:t>-</w:t>
      </w:r>
      <w:r>
        <w:t>Small operator</w:t>
      </w:r>
      <w:r w:rsidR="00F3275F">
        <w:t>-</w:t>
      </w:r>
      <w:r>
        <w:t>space control finds that shuffling principal component analysis (PCA) coordinates increases mean ‖J E‖ by 1.474 (from 6.602 to 8.076); this is linearized operator</w:t>
      </w:r>
      <w:r w:rsidR="00F3275F">
        <w:t>-</w:t>
      </w:r>
      <w:r>
        <w:t>space evidence, not Top</w:t>
      </w:r>
      <w:r w:rsidR="00F3275F">
        <w:t>-</w:t>
      </w:r>
      <w:r>
        <w:t>1 accuracy. Fig. 3 compares the audited geometry and token</w:t>
      </w:r>
      <w:r w:rsidR="00F3275F">
        <w:t>-</w:t>
      </w:r>
      <w:r>
        <w:t>diversity controls.</w:t>
      </w:r>
    </w:p>
    <w:p w14:paraId="0910B25A" w14:textId="77777777" w:rsidR="00C01008" w:rsidRDefault="00000000">
      <w:pPr>
        <w:keepNext/>
        <w:keepLines/>
        <w:spacing w:after="20"/>
        <w:jc w:val="center"/>
      </w:pPr>
      <w:r>
        <w:rPr>
          <w:noProof/>
        </w:rPr>
        <w:lastRenderedPageBreak/>
        <w:drawing>
          <wp:inline distT="0" distB="0" distL="0" distR="0" wp14:anchorId="2DC388D1" wp14:editId="416485AE">
            <wp:extent cx="6172200" cy="24797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2479776"/>
                    </a:xfrm>
                    <a:prstGeom prst="rect">
                      <a:avLst/>
                    </a:prstGeom>
                  </pic:spPr>
                </pic:pic>
              </a:graphicData>
            </a:graphic>
          </wp:inline>
        </w:drawing>
      </w:r>
    </w:p>
    <w:p w14:paraId="6096E3E9" w14:textId="3FDE4839" w:rsidR="00C01008" w:rsidRDefault="00000000">
      <w:pPr>
        <w:keepLines/>
        <w:spacing w:after="80"/>
        <w:jc w:val="center"/>
      </w:pPr>
      <w:r>
        <w:rPr>
          <w:i/>
          <w:color w:val="4C5963"/>
          <w:sz w:val="17"/>
        </w:rPr>
        <w:t>Fig. 3. (a) Cross-architecture geometry controls at 50% replacement for ViT</w:t>
      </w:r>
      <w:r w:rsidR="00F3275F">
        <w:rPr>
          <w:i/>
          <w:color w:val="4C5963"/>
          <w:sz w:val="17"/>
        </w:rPr>
        <w:t>-</w:t>
      </w:r>
      <w:r>
        <w:rPr>
          <w:i/>
          <w:color w:val="4C5963"/>
          <w:sz w:val="17"/>
        </w:rPr>
        <w:t>B/16 AugReg and DINOv2 ViT</w:t>
      </w:r>
      <w:r w:rsidR="00F3275F">
        <w:rPr>
          <w:i/>
          <w:color w:val="4C5963"/>
          <w:sz w:val="17"/>
        </w:rPr>
        <w:t>-</w:t>
      </w:r>
      <w:r>
        <w:rPr>
          <w:i/>
          <w:color w:val="4C5963"/>
          <w:sz w:val="17"/>
        </w:rPr>
        <w:t>S/14 compare a calibration centroid, a coordinate</w:t>
      </w:r>
      <w:r w:rsidR="00F3275F">
        <w:rPr>
          <w:i/>
          <w:color w:val="4C5963"/>
          <w:sz w:val="17"/>
        </w:rPr>
        <w:t>-</w:t>
      </w:r>
      <w:r>
        <w:rPr>
          <w:i/>
          <w:color w:val="4C5963"/>
          <w:sz w:val="17"/>
        </w:rPr>
        <w:t>shuffled centroid, and a sign</w:t>
      </w:r>
      <w:r w:rsidR="00F3275F">
        <w:rPr>
          <w:i/>
          <w:color w:val="4C5963"/>
          <w:sz w:val="17"/>
        </w:rPr>
        <w:t>-</w:t>
      </w:r>
      <w:r>
        <w:rPr>
          <w:i/>
          <w:color w:val="4C5963"/>
          <w:sz w:val="17"/>
        </w:rPr>
        <w:t>inverted centroid. (b) The grouped token-diversity sweep</w:t>
      </w:r>
      <w:r w:rsidR="00F3275F">
        <w:rPr>
          <w:i/>
          <w:color w:val="4C5963"/>
          <w:sz w:val="17"/>
        </w:rPr>
        <w:t/>
      </w:r>
      <w:r>
        <w:rPr>
          <w:i/>
          <w:color w:val="4C5963"/>
          <w:sz w:val="17"/>
        </w:rPr>
        <w:t xml:space="preserve"> on DeiT</w:t>
      </w:r>
      <w:r w:rsidR="00F3275F">
        <w:rPr>
          <w:i/>
          <w:color w:val="4C5963"/>
          <w:sz w:val="17"/>
        </w:rPr>
        <w:t>-</w:t>
      </w:r>
      <w:r>
        <w:rPr>
          <w:i/>
          <w:color w:val="4C5963"/>
          <w:sz w:val="17"/>
        </w:rPr>
        <w:t>Tiny and DeiT</w:t>
      </w:r>
      <w:r w:rsidR="00F3275F">
        <w:rPr>
          <w:i/>
          <w:color w:val="4C5963"/>
          <w:sz w:val="17"/>
        </w:rPr>
        <w:t>-</w:t>
      </w:r>
      <w:r>
        <w:rPr>
          <w:i/>
          <w:color w:val="4C5963"/>
          <w:sz w:val="17"/>
        </w:rPr>
        <w:t>Small varies K, the number of distinct replacement vectors across all 196 patch positions. Gray dashed lines mark each model’s clean Top</w:t>
      </w:r>
      <w:r w:rsidR="00F3275F">
        <w:rPr>
          <w:i/>
          <w:color w:val="4C5963"/>
          <w:sz w:val="17"/>
        </w:rPr>
        <w:t>-</w:t>
      </w:r>
      <w:r>
        <w:rPr>
          <w:i/>
          <w:color w:val="4C5963"/>
          <w:sz w:val="17"/>
        </w:rPr>
        <w:t>1 accuracy. Bars and line markers show means; dots show recorded runs; error bars show across</w:t>
      </w:r>
      <w:r w:rsidR="00F3275F">
        <w:rPr>
          <w:i/>
          <w:color w:val="4C5963"/>
          <w:sz w:val="17"/>
        </w:rPr>
        <w:t>-</w:t>
      </w:r>
      <w:r>
        <w:rPr>
          <w:i/>
          <w:color w:val="4C5963"/>
          <w:sz w:val="17"/>
        </w:rPr>
        <w:t>seed standard deviation where repeated seeds are available. Each model uses N=1,000 evaluation images and separate calibration data. These are distinct study cohorts, so conditions should be compared within each panel rather than treated as a matched</w:t>
      </w:r>
      <w:r w:rsidR="00F3275F">
        <w:rPr>
          <w:i/>
          <w:color w:val="4C5963"/>
          <w:sz w:val="17"/>
        </w:rPr>
        <w:t>-</w:t>
      </w:r>
      <w:r>
        <w:rPr>
          <w:i/>
          <w:color w:val="4C5963"/>
          <w:sz w:val="17"/>
        </w:rPr>
        <w:t>model contrast.</w:t>
      </w:r>
    </w:p>
    <w:p w14:paraId="17B24AD9" w14:textId="1B77D586" w:rsidR="00C01008" w:rsidRDefault="00000000" w:rsidP="00F3275F">
      <w:pPr>
        <w:spacing w:after="100" w:line="259" w:lineRule="auto"/>
        <w:jc w:val="both"/>
      </w:pPr>
      <w:r>
        <w:t>In a separate learned-direction replacement experiment, with 100% patch replacement, N=1,000 evaluation images and a disjoint N=1,000 calibration set per DeiT model, learned low-dimensional variation is more compatible than energy-matched random directions. This advantage depends on model and amplitude and does not establish rank-1 sufficiency. Complementary token-diversity experiments show that low-dimensional variation alone does not restore full performance; the tested setting requires higher-dimensional structure. Together, these interventions show that late-layer replaceability is structured by feature geometry and token diversity, rather than implying universal interchangeability or cost-free token deletion.</w:t>
      </w:r>
    </w:p>
    <w:p w14:paraId="2DEE1B35" w14:textId="474ABD7B" w:rsidR="00C01008" w:rsidRDefault="00000000">
      <w:pPr>
        <w:pStyle w:val="Heading1"/>
      </w:pPr>
      <w:r>
        <w:rPr>
          <w:rFonts w:ascii="Times New Roman" w:hAnsi="Times New Roman"/>
        </w:rPr>
        <w:t>5. Functional Geometry and Attention</w:t>
      </w:r>
      <w:r w:rsidR="00F3275F">
        <w:rPr>
          <w:rFonts w:ascii="Times New Roman" w:hAnsi="Times New Roman"/>
        </w:rPr>
        <w:t>-</w:t>
      </w:r>
      <w:r>
        <w:rPr>
          <w:rFonts w:ascii="Times New Roman" w:hAnsi="Times New Roman"/>
        </w:rPr>
        <w:t>Mediated Transmission</w:t>
      </w:r>
    </w:p>
    <w:p w14:paraId="229698D2" w14:textId="77777777" w:rsidR="00C01008" w:rsidRDefault="00000000">
      <w:pPr>
        <w:pStyle w:val="Heading2"/>
      </w:pPr>
      <w:r>
        <w:rPr>
          <w:rFonts w:ascii="Times New Roman" w:hAnsi="Times New Roman"/>
        </w:rPr>
        <w:t>5.1 Anisotropy and Functional Geometry</w:t>
      </w:r>
    </w:p>
    <w:p w14:paraId="06717E98" w14:textId="5C15B506" w:rsidR="00C01008" w:rsidRDefault="00000000" w:rsidP="00F3275F">
      <w:pPr>
        <w:spacing w:after="100" w:line="259" w:lineRule="auto"/>
        <w:jc w:val="both"/>
      </w:pPr>
      <w:r>
        <w:t>Functional transmission is direction</w:t>
      </w:r>
      <w:r w:rsidR="00F3275F">
        <w:t>-</w:t>
      </w:r>
      <w:r>
        <w:t>dependent. Fig. 4 summarizes the audited depth</w:t>
      </w:r>
      <w:r w:rsidR="00F3275F">
        <w:t>-</w:t>
      </w:r>
      <w:r>
        <w:t>wise sensitivity pattern.</w:t>
      </w:r>
    </w:p>
    <w:p w14:paraId="4B123993" w14:textId="77777777" w:rsidR="00C01008" w:rsidRDefault="00000000">
      <w:pPr>
        <w:keepNext/>
        <w:keepLines/>
        <w:spacing w:after="20"/>
        <w:jc w:val="center"/>
      </w:pPr>
      <w:r>
        <w:rPr>
          <w:noProof/>
        </w:rPr>
        <w:drawing>
          <wp:inline distT="0" distB="0" distL="0" distR="0" wp14:anchorId="48693030" wp14:editId="066A8253">
            <wp:extent cx="6172200" cy="19862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1986239"/>
                    </a:xfrm>
                    <a:prstGeom prst="rect">
                      <a:avLst/>
                    </a:prstGeom>
                  </pic:spPr>
                </pic:pic>
              </a:graphicData>
            </a:graphic>
          </wp:inline>
        </w:drawing>
      </w:r>
    </w:p>
    <w:p w14:paraId="1537AAA0" w14:textId="5CAEFBEA" w:rsidR="00C01008" w:rsidRDefault="00000000">
      <w:pPr>
        <w:keepLines/>
        <w:spacing w:after="80"/>
        <w:jc w:val="center"/>
      </w:pPr>
      <w:r>
        <w:rPr>
          <w:i/>
          <w:color w:val="4C5963"/>
          <w:sz w:val="17"/>
        </w:rPr>
        <w:t>Fig. 4. (a) Ratio of the empirical margin</w:t>
      </w:r>
      <w:r w:rsidR="00F3275F">
        <w:rPr>
          <w:i/>
          <w:color w:val="4C5963"/>
          <w:sz w:val="17"/>
        </w:rPr>
        <w:t>-</w:t>
      </w:r>
      <w:r>
        <w:rPr>
          <w:i/>
          <w:color w:val="4C5963"/>
          <w:sz w:val="17"/>
        </w:rPr>
        <w:t xml:space="preserve">gradient metric sensitivity </w:t>
      </w:r>
      <m:oMath>
        <m:sSup>
          <m:sSupPr>
            <m:ctrlPr>
              <w:rPr>
                <w:rFonts w:ascii="Cambria Math" w:hAnsi="Cambria Math"/>
              </w:rPr>
            </m:ctrlPr>
          </m:sSupPr>
          <m:e>
            <m:r>
              <w:rPr>
                <w:rFonts w:ascii="Cambria Math" w:hAnsi="Cambria Math"/>
              </w:rPr>
              <m:t>v</m:t>
            </m:r>
          </m:e>
          <m:sup>
            <m:r>
              <w:rPr>
                <w:rFonts w:ascii="Cambria Math" w:hAnsi="Cambria Math"/>
              </w:rPr>
              <m:t>T</m:t>
            </m:r>
          </m:sup>
        </m:sSup>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v along PC1 to that along PC</w:t>
      </w:r>
      <w:r w:rsidR="00F3275F">
        <w:rPr>
          <w:i/>
          <w:color w:val="4C5963"/>
          <w:sz w:val="17"/>
        </w:rPr>
        <w:t>-</w:t>
      </w:r>
      <w:r>
        <w:rPr>
          <w:i/>
          <w:color w:val="4C5963"/>
          <w:sz w:val="17"/>
        </w:rPr>
        <w:t>bottom across depths in the N=100 functional</w:t>
      </w:r>
      <w:r w:rsidR="00F3275F">
        <w:rPr>
          <w:i/>
          <w:color w:val="4C5963"/>
          <w:sz w:val="17"/>
        </w:rPr>
        <w:t>-</w:t>
      </w:r>
      <w:r>
        <w:rPr>
          <w:i/>
          <w:color w:val="4C5963"/>
          <w:sz w:val="17"/>
        </w:rPr>
        <w:t>geometry pilot. The PCs are eigenvectors of the centered calibration</w:t>
      </w:r>
      <w:r w:rsidR="00F3275F">
        <w:rPr>
          <w:i/>
          <w:color w:val="4C5963"/>
          <w:sz w:val="17"/>
        </w:rPr>
        <w:t>-</w:t>
      </w:r>
      <w:r>
        <w:rPr>
          <w:i/>
          <w:color w:val="4C5963"/>
          <w:sz w:val="17"/>
        </w:rPr>
        <w:t xml:space="preserve">activation covariance,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(b) Depth</w:t>
      </w:r>
      <w:r w:rsidR="00F3275F">
        <w:rPr>
          <w:i/>
          <w:color w:val="4C5963"/>
          <w:sz w:val="17"/>
        </w:rPr>
        <w:t>-</w:t>
      </w:r>
      <w:r>
        <w:rPr>
          <w:i/>
          <w:color w:val="4C5963"/>
          <w:sz w:val="17"/>
        </w:rPr>
        <w:t>8 PCA score</w:t>
      </w:r>
      <w:r w:rsidR="00F3275F">
        <w:rPr>
          <w:i/>
          <w:color w:val="4C5963"/>
          <w:sz w:val="17"/>
        </w:rPr>
        <w:t>-</w:t>
      </w:r>
      <w:r>
        <w:rPr>
          <w:i/>
          <w:color w:val="4C5963"/>
          <w:sz w:val="17"/>
        </w:rPr>
        <w:t>density maps for DeiT</w:t>
      </w:r>
      <w:r w:rsidR="00F3275F">
        <w:rPr>
          <w:i/>
          <w:color w:val="4C5963"/>
          <w:sz w:val="17"/>
        </w:rPr>
        <w:t>-</w:t>
      </w:r>
      <w:r>
        <w:rPr>
          <w:i/>
          <w:color w:val="4C5963"/>
          <w:sz w:val="17"/>
        </w:rPr>
        <w:t>Small and ViT</w:t>
      </w:r>
      <w:r w:rsidR="00F3275F">
        <w:rPr>
          <w:i/>
          <w:color w:val="4C5963"/>
          <w:sz w:val="17"/>
        </w:rPr>
        <w:t>-</w:t>
      </w:r>
      <w:r>
        <w:rPr>
          <w:i/>
          <w:color w:val="4C5963"/>
          <w:sz w:val="17"/>
        </w:rPr>
        <w:t>B/16 AugReg. Each observation is a patch activation from the 100</w:t>
      </w:r>
      <w:r w:rsidR="00F3275F">
        <w:rPr>
          <w:i/>
          <w:color w:val="4C5963"/>
          <w:sz w:val="17"/>
        </w:rPr>
        <w:t>-</w:t>
      </w:r>
      <w:r>
        <w:rPr>
          <w:i/>
          <w:color w:val="4C5963"/>
          <w:sz w:val="17"/>
        </w:rPr>
        <w:t>image pilot cohort; axes are standardized per model and component to show score distributions, so the plotted spread does not represent their raw variance difference. Patch tokens are not independent image samples; panel (a) is not computed from the full downstream readout Jacobian used in compression.</w:t>
      </w:r>
    </w:p>
    <w:p w14:paraId="13997706" w14:textId="799B4A0E" w:rsidR="00C01008" w:rsidRDefault="00000000" w:rsidP="00F3275F">
      <w:pPr>
        <w:spacing w:after="100" w:line="259" w:lineRule="auto"/>
        <w:jc w:val="both"/>
      </w:pPr>
      <w:r>
        <w:t xml:space="preserve">For image s,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be the clean predicted and runner</w:t>
      </w:r>
      <w:r w:rsidR="00F3275F">
        <w:t>-</w:t>
      </w:r>
      <w:r>
        <w:t xml:space="preserve">up classes, and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denote its final logits. The functional</w:t>
      </w:r>
      <w:r w:rsidR="00F3275F">
        <w:t>-</w:t>
      </w:r>
      <w:r>
        <w:t>geometry pilot differentiates this scalar class margin with respect to each patch feature, then averages the per</w:t>
      </w:r>
      <w:r w:rsidR="00F3275F">
        <w:t>-</w:t>
      </w:r>
      <w:r>
        <w:t>patch gradient outer products: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652CA45" w14:textId="77777777">
        <w:trPr>
          <w:cantSplit/>
          <w:jc w:val="center"/>
        </w:trPr>
        <w:tc>
          <w:tcPr>
            <w:tcW w:w="518" w:type="dxa"/>
            <w:tcMar>
              <w:top w:w="0" w:type="dxa"/>
              <w:left w:w="0" w:type="dxa"/>
              <w:bottom w:w="0" w:type="dxa"/>
              <w:right w:w="0" w:type="dxa"/>
            </w:tcMar>
            <w:vAlign w:val="center"/>
          </w:tcPr>
          <w:p w14:paraId="0177CBD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BD2D1F6"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11CDBDB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CF2B692" w14:textId="77777777" w:rsidR="00C01008" w:rsidRDefault="00000000">
            <w:pPr>
              <w:keepLines/>
              <w:spacing w:before="40" w:after="80" w:line="240" w:lineRule="auto"/>
              <w:jc w:val="right"/>
            </w:pPr>
            <w:r>
              <w:rPr>
                <w:sz w:val="18"/>
              </w:rPr>
              <w:t>(2)</w:t>
            </w:r>
          </w:p>
        </w:tc>
      </w:tr>
    </w:tbl>
    <w:p w14:paraId="51267AA1" w14:textId="00DE699D"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D×D</m:t>
            </m:r>
          </m:sup>
        </m:sSup>
      </m:oMath>
      <w:r>
        <w:t xml:space="preserve"> is an uncentered second moment of scalar margin gradients, not the Gram matrix of the full downstream readout Jacobian </w:t>
      </w:r>
      <m:oMath>
        <m:sSubSup>
          <m:sSubSupPr>
            <m:ctrlPr>
              <w:rPr>
                <w:rFonts w:ascii="Cambria Math" w:hAnsi="Cambria Math"/>
              </w:rPr>
            </m:ctrlPr>
          </m:sSubSupPr>
          <m:e>
            <m:r>
              <w:rPr>
                <w:rFonts w:ascii="Cambria Math" w:hAnsi="Cambria Math"/>
              </w:rPr>
              <m:t>J</m:t>
            </m:r>
          </m:e>
          <m:sub>
            <m:r>
              <m:rPr>
                <m:scr m:val="script"/>
              </m:rPr>
              <w:rPr>
                <w:rFonts w:ascii="Cambria Math" w:hAnsi="Cambria Math"/>
              </w:rPr>
              <m:t>l→</m:t>
            </m:r>
            <m:r>
              <w:rPr>
                <w:rFonts w:ascii="Cambria Math" w:hAnsi="Cambria Math"/>
              </w:rPr>
              <m:t>L</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The pilot counts nonnegative eigenvalues no greater than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times the largest as near</w:t>
      </w:r>
      <w:r w:rsidR="00F3275F">
        <w:t>-</w:t>
      </w:r>
      <w:r>
        <w:t>null. Its effective rank is exp(−</w:t>
      </w:r>
      <m:oMath>
        <m:sSub>
          <m:sSubPr>
            <m:ctrlPr>
              <w:rPr>
                <w:rFonts w:ascii="Cambria Math" w:hAnsi="Cambria Math"/>
              </w:rPr>
            </m:ctrlPr>
          </m:sSubPr>
          <m:e>
            <m:r>
              <w:rPr>
                <w:rFonts w:ascii="Cambria Math" w:hAnsi="Cambria Math"/>
              </w:rPr>
              <m:t>Σ</m:t>
            </m:r>
          </m:e>
          <m: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&gt;10-12</m:t>
            </m:r>
          </m:sub>
        </m:sSub>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log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eigenvalue k divided by the eigenvalue sum. Thus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pools per</w:t>
      </w:r>
      <w:r w:rsidR="00F3275F">
        <w:t>-</w:t>
      </w:r>
      <w:r>
        <w:t>token margin gradients without cross</w:t>
      </w:r>
      <w:r w:rsidR="00F3275F">
        <w:t>-</w:t>
      </w:r>
      <w:r>
        <w:t xml:space="preserve">token or full readout-Jacobian structure. PCA uses the separate sample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xml:space="preserve"> of centered calibration patch</w:t>
      </w:r>
      <w:r w:rsidR="00F3275F">
        <w:t>-</w:t>
      </w:r>
      <w:r>
        <w:t xml:space="preserve">feature rows, with denominator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al−1 for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al calibration patch observations. This count is the number of calibration patch tokens, not N</w:t>
      </w:r>
      <w:r>
        <w:rPr>
          <w:vertAlign w:val="subscript"/>
        </w:rPr>
        <w:t>img</w:t>
      </w:r>
      <w:r>
        <w:t xml:space="preserve">. This covariance is distinct from both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and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w:t>
      </w:r>
    </w:p>
    <w:p w14:paraId="4C3B49DB" w14:textId="12838553" w:rsidR="00C01008" w:rsidRDefault="00000000">
      <w:pPr>
        <w:pStyle w:val="Heading2"/>
      </w:pPr>
      <w:r>
        <w:rPr>
          <w:rFonts w:ascii="Times New Roman" w:hAnsi="Times New Roman"/>
        </w:rPr>
        <w:t>5.2 Value</w:t>
      </w:r>
      <w:r w:rsidR="00F3275F">
        <w:rPr>
          <w:rFonts w:ascii="Times New Roman" w:hAnsi="Times New Roman"/>
        </w:rPr>
        <w:t>-</w:t>
      </w:r>
      <w:r>
        <w:rPr>
          <w:rFonts w:ascii="Times New Roman" w:hAnsi="Times New Roman"/>
        </w:rPr>
        <w:t>Path Coherence and Cancellation</w:t>
      </w:r>
    </w:p>
    <w:p w14:paraId="198D2875" w14:textId="4D7E65BB" w:rsidR="00C01008" w:rsidRDefault="00000000" w:rsidP="00F3275F">
      <w:pPr>
        <w:spacing w:after="100" w:line="259" w:lineRule="auto"/>
        <w:jc w:val="both"/>
      </w:pPr>
      <w:r>
        <w:t>In the attention causal audit (N=100 evaluation images), the frozen-attention Value-only path reproduces approximately 97.4% and 99.3% of the immediate readout disturbance in DeiT-Small and ViT-B/16 AugReg, respectively. It also explains 70.8% and 102.2% of the defined coherence-gap margin effect. The ViT-B/16 ratio exceeds 100% because a secondary contribution partially opposes the Value-path effect. With attention frozen, patch-key perturbations leave the unperturbed classification-token query unchanged, so the immediate query contribution is zero; key-mediated rerouting is outside this decomposition. Fig. 5 compares coherent with sign-varying Value-path transmission.</w:t>
      </w:r>
    </w:p>
    <w:p w14:paraId="5755D86F" w14:textId="77777777" w:rsidR="00C01008" w:rsidRDefault="00000000">
      <w:pPr>
        <w:keepNext/>
        <w:keepLines/>
        <w:spacing w:after="20"/>
        <w:jc w:val="center"/>
      </w:pPr>
      <w:r>
        <w:rPr>
          <w:noProof/>
        </w:rPr>
        <w:drawing>
          <wp:inline distT="0" distB="0" distL="0" distR="0" wp14:anchorId="3F16584F" wp14:editId="5746A457">
            <wp:extent cx="6172200" cy="263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2632480"/>
                    </a:xfrm>
                    <a:prstGeom prst="rect">
                      <a:avLst/>
                    </a:prstGeom>
                  </pic:spPr>
                </pic:pic>
              </a:graphicData>
            </a:graphic>
          </wp:inline>
        </w:drawing>
      </w:r>
    </w:p>
    <w:p w14:paraId="135D028D" w14:textId="1380F37B" w:rsidR="00C01008" w:rsidRDefault="00000000">
      <w:pPr>
        <w:keepLines/>
        <w:spacing w:after="80"/>
        <w:jc w:val="center"/>
      </w:pPr>
      <w:r>
        <w:rPr>
          <w:i/>
          <w:color w:val="4C5963"/>
          <w:sz w:val="17"/>
        </w:rPr>
        <w:t>Fig. 5. Immediate readout disturbance for Value</w:t>
      </w:r>
      <w:r w:rsidR="00F3275F">
        <w:rPr>
          <w:i/>
          <w:color w:val="4C5963"/>
          <w:sz w:val="17"/>
        </w:rPr>
        <w:t>-</w:t>
      </w:r>
      <w:r>
        <w:rPr>
          <w:i/>
          <w:color w:val="4C5963"/>
          <w:sz w:val="17"/>
        </w:rPr>
        <w:t>only and key</w:t>
      </w:r>
      <w:r w:rsidR="00F3275F">
        <w:rPr>
          <w:i/>
          <w:color w:val="4C5963"/>
          <w:sz w:val="17"/>
        </w:rPr>
        <w:t>-</w:t>
      </w:r>
      <w:r>
        <w:rPr>
          <w:i/>
          <w:color w:val="4C5963"/>
          <w:sz w:val="17"/>
        </w:rPr>
        <w:t>plus</w:t>
      </w:r>
      <w:r w:rsidR="00F3275F">
        <w:rPr>
          <w:i/>
          <w:color w:val="4C5963"/>
          <w:sz w:val="17"/>
        </w:rPr>
        <w:t>-</w:t>
      </w:r>
      <w:r>
        <w:rPr>
          <w:i/>
          <w:color w:val="4C5963"/>
          <w:sz w:val="17"/>
        </w:rPr>
        <w:t>value pathways under coherent, random</w:t>
      </w:r>
      <w:r w:rsidR="00F3275F">
        <w:rPr>
          <w:i/>
          <w:color w:val="4C5963"/>
          <w:sz w:val="17"/>
        </w:rPr>
        <w:t>-</w:t>
      </w:r>
      <w:r>
        <w:rPr>
          <w:i/>
          <w:color w:val="4C5963"/>
          <w:sz w:val="17"/>
        </w:rPr>
        <w:t>sign, and checkerboard patterns in two N=100 attention</w:t>
      </w:r>
      <w:r w:rsidR="00F3275F">
        <w:rPr>
          <w:i/>
          <w:color w:val="4C5963"/>
          <w:sz w:val="17"/>
        </w:rPr>
        <w:t>-</w:t>
      </w:r>
      <w:r>
        <w:rPr>
          <w:i/>
          <w:color w:val="4C5963"/>
          <w:sz w:val="17"/>
        </w:rPr>
        <w:t>audit settings.</w:t>
      </w:r>
    </w:p>
    <w:p w14:paraId="7237A819" w14:textId="42086078" w:rsidR="00C01008" w:rsidRDefault="00000000" w:rsidP="00F3275F">
      <w:pPr>
        <w:spacing w:after="100" w:line="259" w:lineRule="auto"/>
        <w:jc w:val="both"/>
      </w:pPr>
      <w:r>
        <w:t xml:space="preserve">For one image and a CLS readout,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patch i to the readout in head h. The signed attention</w:t>
      </w:r>
      <w:r w:rsidR="00F3275F">
        <w:t>-</w:t>
      </w:r>
      <w:r>
        <w:t>weighted token pattern and frozen</w:t>
      </w:r>
      <w:r w:rsidR="00F3275F">
        <w:t>-</w:t>
      </w:r>
      <w:r>
        <w:t>attention Value</w:t>
      </w:r>
      <w:r w:rsidR="00F3275F">
        <w:t>-</w:t>
      </w:r>
      <w:r>
        <w:t>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AF76E35" w14:textId="77777777">
        <w:trPr>
          <w:cantSplit/>
          <w:jc w:val="center"/>
        </w:trPr>
        <w:tc>
          <w:tcPr>
            <w:tcW w:w="518" w:type="dxa"/>
            <w:tcMar>
              <w:top w:w="0" w:type="dxa"/>
              <w:left w:w="0" w:type="dxa"/>
              <w:bottom w:w="0" w:type="dxa"/>
              <w:right w:w="0" w:type="dxa"/>
            </w:tcMar>
            <w:vAlign w:val="center"/>
          </w:tcPr>
          <w:p w14:paraId="5C38AEDB"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598F76E"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858F1B4"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Δc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Δv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673D6FD0" w14:textId="77777777" w:rsidR="00C01008" w:rsidRDefault="00000000">
            <w:pPr>
              <w:keepLines/>
              <w:spacing w:before="40" w:after="80" w:line="240" w:lineRule="auto"/>
              <w:jc w:val="right"/>
            </w:pPr>
            <w:r>
              <w:rPr>
                <w:sz w:val="18"/>
              </w:rPr>
              <w:t>(3)</w:t>
            </w:r>
          </w:p>
        </w:tc>
      </w:tr>
    </w:tbl>
    <w:p w14:paraId="414BB375" w14:textId="4FD5F902"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Δv</m:t>
            </m:r>
          </m:e>
          <m:sub>
            <m:r>
              <w:rPr>
                <w:rFonts w:ascii="Cambria Math" w:hAnsi="Cambria Math"/>
              </w:rPr>
              <m:t>h,i</m:t>
            </m:r>
          </m:sub>
        </m:sSub>
      </m:oMath>
      <w:r>
        <w:t xml:space="preserve"> is the measured change in the post</w:t>
      </w:r>
      <w:r w:rsidR="00F3275F">
        <w:t>-</w:t>
      </w:r>
      <w:r>
        <w:t xml:space="preserve">normalization Value projection for patch i. </w:t>
      </w:r>
      <m:oMath>
        <m:sSub>
          <m:sSubPr>
            <m:ctrlPr>
              <w:rPr>
                <w:rFonts w:ascii="Cambria Math" w:hAnsi="Cambria Math"/>
              </w:rPr>
            </m:ctrlPr>
          </m:sSubPr>
          <m:e>
            <m:r>
              <w:rPr>
                <w:rFonts w:ascii="Cambria Math" w:hAnsi="Cambria Math"/>
              </w:rPr>
              <m:t>Γ</m:t>
            </m:r>
          </m:e>
          <m:sub>
            <m:r>
              <w:rPr>
                <w:rFonts w:ascii="Cambria Math" w:hAnsi="Cambria Math"/>
              </w:rPr>
              <m:t>h</m:t>
            </m:r>
          </m:sub>
        </m:sSub>
      </m:oMath>
      <w:r>
        <w:t>(a) summarizes how the token pattern aligns with clean attention weights; the second expression retains token</w:t>
      </w:r>
      <w:r w:rsidR="00F3275F">
        <w:t>-</w:t>
      </w:r>
      <w:r>
        <w:t>specific Value changes and is the pre</w:t>
      </w:r>
      <w:r w:rsidR="00F3275F">
        <w:t>-</w:t>
      </w:r>
      <w:r>
        <w:t>output</w:t>
      </w:r>
      <w:r w:rsidR="00F3275F">
        <w:t>-</w:t>
      </w:r>
      <w:r>
        <w:t>projection head context audited in code. With attention frozen, coherent signed contributions can add and varying signs can cancel. This frozen</w:t>
      </w:r>
      <w:r w:rsidR="00F3275F">
        <w:t>-</w:t>
      </w:r>
      <w:r>
        <w:t>attention decomposition isolates Value</w:t>
      </w:r>
      <w:r w:rsidR="00F3275F">
        <w:t>-</w:t>
      </w:r>
      <w:r>
        <w:t>path transmission while leaving nonlinear attention rerouting and other causal paths outside its scope.</w:t>
      </w:r>
    </w:p>
    <w:p w14:paraId="10305EEE" w14:textId="14ADD4BC" w:rsidR="00C01008" w:rsidRDefault="00000000">
      <w:pPr>
        <w:pStyle w:val="Heading2"/>
      </w:pPr>
      <w:r>
        <w:rPr>
          <w:rFonts w:ascii="Times New Roman" w:hAnsi="Times New Roman"/>
        </w:rPr>
        <w:t>5.3 End</w:t>
      </w:r>
      <w:r w:rsidR="00F3275F">
        <w:rPr>
          <w:rFonts w:ascii="Times New Roman" w:hAnsi="Times New Roman"/>
        </w:rPr>
        <w:t>-</w:t>
      </w:r>
      <w:r>
        <w:rPr>
          <w:rFonts w:ascii="Times New Roman" w:hAnsi="Times New Roman"/>
        </w:rPr>
        <w:t>to</w:t>
      </w:r>
      <w:r w:rsidR="00F3275F">
        <w:rPr>
          <w:rFonts w:ascii="Times New Roman" w:hAnsi="Times New Roman"/>
        </w:rPr>
        <w:t>-</w:t>
      </w:r>
      <w:r>
        <w:rPr>
          <w:rFonts w:ascii="Times New Roman" w:hAnsi="Times New Roman"/>
        </w:rPr>
        <w:t>End Functional Transmission</w:t>
      </w:r>
    </w:p>
    <w:p w14:paraId="2AB6989E" w14:textId="030E9A2F" w:rsidR="00C01008" w:rsidRDefault="00000000" w:rsidP="00F3275F">
      <w:pPr>
        <w:spacing w:after="100" w:line="259" w:lineRule="auto"/>
        <w:jc w:val="both"/>
      </w:pPr>
      <w:r>
        <w:t>On N=100 held-out perturbations, the multi-block operator predicts downstream damage more closely than the single-block operator (Pearson r=0.975, Spearman ρ=0.945 vs. r=0.753, ρ=0.735). The mean principal angle from block 8 to block 9 is 49.0 degrees (Fig. 6). Separately, in the N=100-image functional-geometry pilot, the threshold-defined near-null subspace of</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expands with depth as entropy effective rank declines in late layers; distinct replacement interventions also show </w:t>
      </w:r>
      <w:r>
        <w:lastRenderedPageBreak/>
        <w:t>greater late-layer tolerance. This depth-wise correspondence is an empirical mechanistic association, not a universal explanation.</w:t>
      </w:r>
    </w:p>
    <w:p w14:paraId="3A09BC2B" w14:textId="31FCDB96" w:rsidR="00C01008" w:rsidRDefault="00000000" w:rsidP="00F3275F">
      <w:pPr>
        <w:spacing w:after="100" w:line="259" w:lineRule="auto"/>
        <w:jc w:val="both"/>
      </w:pPr>
      <w:r>
        <w:rPr>
          <w:b/>
        </w:rPr>
        <w:t>Token–feature interaction.</w:t>
      </w:r>
      <w:r>
        <w:t xml:space="preserve"> A distinct joint</w:t>
      </w:r>
      <w:r w:rsidR="00F3275F">
        <w:t>-</w:t>
      </w:r>
      <w:r>
        <w:t>stream geometry audit (N=100 images per model) selects feature directions using its own per</w:t>
      </w:r>
      <w:r w:rsidR="00F3275F">
        <w:t>-</w:t>
      </w:r>
      <w:r>
        <w:t>image mean patch</w:t>
      </w:r>
      <w:r w:rsidR="00F3275F">
        <w:t>-</w:t>
      </w:r>
      <w:r>
        <w:t>margin</w:t>
      </w:r>
      <w:r w:rsidR="00F3275F">
        <w:t>-</w:t>
      </w:r>
      <w:r>
        <w:t xml:space="preserve">gradient metric,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the functional</w:t>
      </w:r>
      <w:r w:rsidR="00F3275F">
        <w:t>-</w:t>
      </w:r>
      <w:r>
        <w:t>geometry pilot and from the pre-classifier readout Jacobian</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used in compression. It finds that downstream damage depends jointly on feature direction and token</w:t>
      </w:r>
      <w:r w:rsidR="00F3275F">
        <w:t>-</w:t>
      </w:r>
      <w:r>
        <w:t>space coherence: sensitive feature directions are most damaging under coherent token patterns, whereas functionally near</w:t>
      </w:r>
      <w:r w:rsidR="00F3275F">
        <w:t>-</w:t>
      </w:r>
      <w:r>
        <w:t>null directions remain comparatively tolerated across the tested patterns. The audit injects the norm</w:t>
      </w:r>
      <w:r w:rsidR="00F3275F">
        <w:t>-</w:t>
      </w:r>
      <w:r>
        <w:t>matched rank</w:t>
      </w:r>
      <w:r w:rsidR="00F3275F">
        <w:t>-</w:t>
      </w:r>
      <w:r>
        <w:t>one perturbation</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C987C5F" w14:textId="77777777">
        <w:trPr>
          <w:cantSplit/>
          <w:jc w:val="center"/>
        </w:trPr>
        <w:tc>
          <w:tcPr>
            <w:tcW w:w="518" w:type="dxa"/>
            <w:tcMar>
              <w:top w:w="0" w:type="dxa"/>
              <w:left w:w="0" w:type="dxa"/>
              <w:bottom w:w="0" w:type="dxa"/>
              <w:right w:w="0" w:type="dxa"/>
            </w:tcMar>
            <w:vAlign w:val="center"/>
          </w:tcPr>
          <w:p w14:paraId="22847E23"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FE7C74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09D3C77B" w14:textId="77777777" w:rsidR="00C01008" w:rsidRDefault="00000000">
            <w:pPr>
              <w:keepLines/>
              <w:spacing w:before="40" w:after="80" w:line="240" w:lineRule="auto"/>
              <w:jc w:val="right"/>
            </w:pPr>
            <w:r>
              <w:rPr>
                <w:sz w:val="18"/>
              </w:rPr>
              <w:t>(4)</w:t>
            </w:r>
          </w:p>
        </w:tc>
      </w:tr>
    </w:tbl>
    <w:p w14:paraId="20E81551" w14:textId="77777777" w:rsidR="00C01008" w:rsidRDefault="00000000">
      <w:pPr>
        <w:spacing w:after="100" w:line="259" w:lineRule="auto"/>
      </w:pPr>
      <w:r>
        <w:t>with α=</w:t>
      </w:r>
      <m:oMath>
        <m:sSub>
          <m:sSubPr>
            <m:ctrlPr>
              <w:rPr>
                <w:rFonts w:ascii="Cambria Math" w:hAnsi="Cambria Math"/>
              </w:rPr>
            </m:ctrlPr>
          </m:sSubPr>
          <m:e>
            <m:r>
              <w:rPr>
                <w:rFonts w:ascii="Cambria Math" w:hAnsi="Cambria Math"/>
              </w:rPr>
              <m:t>sσ</m:t>
            </m:r>
          </m:e>
          <m:sub>
            <m:r>
              <m:rPr>
                <m:scr m:val="script"/>
              </m:rPr>
              <w:rPr>
                <w:rFonts w:ascii="Cambria Math" w:hAnsi="Cambria Math"/>
              </w:rPr>
              <m:t>l</m:t>
            </m:r>
          </m:sub>
        </m:sSub>
      </m:oMath>
      <w:r>
        <w:t>≥0; consequently α is the Frobenius norm of the injected patch perturbation.</w:t>
      </w:r>
    </w:p>
    <w:p w14:paraId="02867EE0" w14:textId="77777777" w:rsidR="00C01008" w:rsidRDefault="00000000">
      <w:pPr>
        <w:keepNext/>
        <w:keepLines/>
        <w:spacing w:after="20"/>
        <w:jc w:val="center"/>
      </w:pPr>
      <w:r>
        <w:rPr>
          <w:noProof/>
        </w:rPr>
        <w:drawing>
          <wp:inline distT="0" distB="0" distL="0" distR="0" wp14:anchorId="4C1B8F0C" wp14:editId="584B9959">
            <wp:extent cx="6172200" cy="2285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1"/>
                    <a:stretch>
                      <a:fillRect/>
                    </a:stretch>
                  </pic:blipFill>
                  <pic:spPr>
                    <a:xfrm>
                      <a:off x="0" y="0"/>
                      <a:ext cx="6172200" cy="2285067"/>
                    </a:xfrm>
                    <a:prstGeom prst="rect">
                      <a:avLst/>
                    </a:prstGeom>
                  </pic:spPr>
                </pic:pic>
              </a:graphicData>
            </a:graphic>
          </wp:inline>
        </w:drawing>
      </w:r>
    </w:p>
    <w:p w14:paraId="7CBDFE8F" w14:textId="7E078A31" w:rsidR="00C01008" w:rsidRDefault="00000000">
      <w:pPr>
        <w:keepLines/>
        <w:spacing w:after="80"/>
        <w:jc w:val="center"/>
      </w:pPr>
      <w:r>
        <w:rPr>
          <w:i/>
          <w:color w:val="4C5963"/>
          <w:sz w:val="17"/>
        </w:rPr>
        <w:t>Fig. 6. Pearson and Spearman correlations between the single</w:t>
      </w:r>
      <w:r w:rsidR="00F3275F">
        <w:rPr>
          <w:i/>
          <w:color w:val="4C5963"/>
          <w:sz w:val="17"/>
        </w:rPr>
        <w:t>-</w:t>
      </w:r>
      <w:r>
        <w:rPr>
          <w:i/>
          <w:color w:val="4C5963"/>
          <w:sz w:val="17"/>
        </w:rPr>
        <w:t>block operator A</w:t>
      </w:r>
      <w:r>
        <w:rPr>
          <w:i/>
          <w:color w:val="4C5963"/>
          <w:sz w:val="17"/>
          <w:vertAlign w:val="subscript"/>
        </w:rPr>
        <w:t>8</w:t>
      </w:r>
      <w:r>
        <w:rPr>
          <w:i/>
          <w:color w:val="4C5963"/>
          <w:sz w:val="17"/>
        </w:rPr>
        <w:t xml:space="preserve"> and end-to-end readout Jacobian J</w:t>
      </w:r>
      <w:r>
        <w:rPr>
          <w:i/>
          <w:color w:val="4C5963"/>
          <w:sz w:val="17"/>
          <w:vertAlign w:val="subscript"/>
        </w:rPr>
        <w:t>8→12</w:t>
      </w:r>
      <w:r>
        <w:rPr>
          <w:i/>
          <w:color w:val="4C5963"/>
          <w:sz w:val="17"/>
        </w:rPr>
        <w:t xml:space="preserve"> predictions and measured final</w:t>
      </w:r>
      <w:r w:rsidR="00F3275F">
        <w:rPr>
          <w:i/>
          <w:color w:val="4C5963"/>
          <w:sz w:val="17"/>
        </w:rPr>
        <w:t>-</w:t>
      </w:r>
      <w:r>
        <w:rPr>
          <w:i/>
          <w:color w:val="4C5963"/>
          <w:sz w:val="17"/>
        </w:rPr>
        <w:t>logit L2 damage on N=100 held</w:t>
      </w:r>
      <w:r w:rsidR="00F3275F">
        <w:rPr>
          <w:i/>
          <w:color w:val="4C5963"/>
          <w:sz w:val="17"/>
        </w:rPr>
        <w:t>-</w:t>
      </w:r>
      <w:r>
        <w:rPr>
          <w:i/>
          <w:color w:val="4C5963"/>
          <w:sz w:val="17"/>
        </w:rPr>
        <w:t>out perturbations. J</w:t>
      </w:r>
      <w:r>
        <w:rPr>
          <w:i/>
          <w:color w:val="4C5963"/>
          <w:sz w:val="17"/>
          <w:vertAlign w:val="subscript"/>
        </w:rPr>
        <w:t>8→12</w:t>
      </w:r>
      <w:r>
        <w:rPr>
          <w:i/>
          <w:color w:val="4C5963"/>
          <w:sz w:val="17"/>
        </w:rPr>
        <w:t xml:space="preserve"> composes blocks 9–12 and the final normalization/CLS readout. The mean principal angle from block 8 to block 9 is 49.0°.</w:t>
      </w:r>
    </w:p>
    <w:p w14:paraId="1FDBB415" w14:textId="3463F09F" w:rsidR="00C01008" w:rsidRDefault="00000000">
      <w:pPr>
        <w:spacing w:after="100" w:line="259" w:lineRule="auto"/>
      </w:pPr>
      <w:r>
        <w:t>The end</w:t>
      </w:r>
      <w:r w:rsidR="00F3275F">
        <w:t>-</w:t>
      </w:r>
      <w:r>
        <w:t>to</w:t>
      </w:r>
      <w:r w:rsidR="00F3275F">
        <w:t>-</w:t>
      </w:r>
      <w:r>
        <w:t>end linearization maps all patch features at layer ℓ to the pre-classifier readout vector u∈</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sup>
        </m:sSup>
      </m:oMath>
      <w:r>
        <w: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EAD3BDB" w14:textId="77777777">
        <w:trPr>
          <w:cantSplit/>
          <w:jc w:val="center"/>
        </w:trPr>
        <w:tc>
          <w:tcPr>
            <w:tcW w:w="518" w:type="dxa"/>
            <w:tcMar>
              <w:top w:w="0" w:type="dxa"/>
              <w:left w:w="0" w:type="dxa"/>
              <w:bottom w:w="0" w:type="dxa"/>
              <w:right w:w="0" w:type="dxa"/>
            </w:tcMar>
            <w:vAlign w:val="center"/>
          </w:tcPr>
          <w:p w14:paraId="4A98450C"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E9DB8C5"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13C64E7D" w14:textId="77777777" w:rsidR="00C01008"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39BDBA9F" w14:textId="77777777" w:rsidR="00C01008" w:rsidRDefault="00000000">
            <w:pPr>
              <w:keepLines/>
              <w:spacing w:before="40" w:after="80" w:line="240" w:lineRule="auto"/>
              <w:jc w:val="right"/>
            </w:pPr>
            <w:r>
              <w:rPr>
                <w:sz w:val="18"/>
              </w:rPr>
              <w:t>(5)</w:t>
            </w:r>
          </w:p>
        </w:tc>
      </w:tr>
    </w:tbl>
    <w:p w14:paraId="16DE0F16" w14:textId="423B2141" w:rsidR="00C01008" w:rsidRDefault="00000000" w:rsidP="00F3275F">
      <w:pPr>
        <w:spacing w:after="100" w:line="259" w:lineRule="auto"/>
        <w:jc w:val="both"/>
      </w:pPr>
      <w:r>
        <w:t xml:space="preserve">The implementation reshapes each </w:t>
      </w:r>
      <m:oMath>
        <m:sSub>
          <m:sSubPr>
            <m:ctrlPr>
              <w:rPr>
                <w:rFonts w:ascii="Cambria Math" w:hAnsi="Cambria Math"/>
              </w:rPr>
            </m:ctrlPr>
          </m:sSubPr>
          <m:e>
            <m:r>
              <w:rPr>
                <w:rFonts w:ascii="Cambria Math" w:hAnsi="Cambria Math"/>
              </w:rPr>
              <m:t>n</m:t>
            </m:r>
          </m:e>
          <m:sub>
            <m:r>
              <w:rPr>
                <w:rFonts w:ascii="Cambria Math" w:hAnsi="Cambria Math"/>
              </w:rPr>
              <m:t>p</m:t>
            </m:r>
          </m:sub>
        </m:sSub>
      </m:oMath>
      <w:r>
        <w:t>×D patch matrix in row</w:t>
      </w:r>
      <w:r w:rsidR="00F3275F">
        <w:t>-</w:t>
      </w:r>
      <w:r>
        <w:t>major order, which equals the conventional column</w:t>
      </w:r>
      <w:r w:rsidR="00F3275F">
        <w:t>-</w:t>
      </w:r>
      <w:r>
        <w:t>vectorization vec(</w:t>
      </w:r>
      <m:oMath>
        <m:sSup>
          <m:sSupPr>
            <m:ctrlPr>
              <w:rPr>
                <w:rFonts w:ascii="Cambria Math" w:hAnsi="Cambria Math"/>
              </w:rPr>
            </m:ctrlPr>
          </m:sSupPr>
          <m:e>
            <m:r>
              <w:rPr>
                <w:rFonts w:ascii="Cambria Math" w:hAnsi="Cambria Math"/>
              </w:rPr>
              <m:t>X</m:t>
            </m:r>
          </m:e>
          <m:sup>
            <m:r>
              <w:rPr>
                <w:rFonts w:ascii="Cambria Math" w:hAnsi="Cambria Math"/>
              </w:rPr>
              <m:t>T</m:t>
            </m:r>
          </m:sup>
        </m:sSup>
      </m:oMath>
      <w:r>
        <w:t xml:space="preserve">) used by rvec. The confirmatory implementation returns normalized CLS for DeiT-Tiny, DeiT-Small, and ViT-B/16 AugReg; DINOv2 concatenates normalized CLS with mean normalized patch features. The readout dimension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is D for CLS readouts and 2D for DINOv2. The Jacobian covers the remaining transformer blocks and pre-classifier readout, excluding the linear classification head; Top-1 and logit-L2 outcomes are measured through the actual downstream classifier. Its product is a first-order approximation at the unperturbed activation, not an exact identity for large perturbations. This all-patch readout Jacobian is distinct from the pooled margin-gradient feature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Eq. (2).</w:t>
      </w:r>
    </w:p>
    <w:p w14:paraId="5FF58041" w14:textId="14811807" w:rsidR="00C01008" w:rsidRDefault="00000000">
      <w:pPr>
        <w:pStyle w:val="Heading1"/>
      </w:pPr>
      <w:r>
        <w:rPr>
          <w:rFonts w:ascii="Times New Roman" w:hAnsi="Times New Roman"/>
        </w:rPr>
        <w:t>6. Operator</w:t>
      </w:r>
      <w:r w:rsidR="00F3275F">
        <w:rPr>
          <w:rFonts w:ascii="Times New Roman" w:hAnsi="Times New Roman"/>
        </w:rPr>
        <w:t>-</w:t>
      </w:r>
      <w:r>
        <w:rPr>
          <w:rFonts w:ascii="Times New Roman" w:hAnsi="Times New Roman"/>
        </w:rPr>
        <w:t>Aware Token Compression</w:t>
      </w:r>
    </w:p>
    <w:p w14:paraId="68461F78" w14:textId="77777777" w:rsidR="00C01008" w:rsidRDefault="00000000">
      <w:pPr>
        <w:pStyle w:val="Heading2"/>
      </w:pPr>
      <w:r>
        <w:rPr>
          <w:rFonts w:ascii="Times New Roman" w:hAnsi="Times New Roman"/>
        </w:rPr>
        <w:t>6.1 Carrier Grouping and Optimization</w:t>
      </w:r>
    </w:p>
    <w:p w14:paraId="653220F9" w14:textId="77777777" w:rsidR="00C01008" w:rsidRDefault="00000000" w:rsidP="00F3275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070ED263" w14:textId="77777777">
        <w:trPr>
          <w:cantSplit/>
          <w:jc w:val="center"/>
        </w:trPr>
        <w:tc>
          <w:tcPr>
            <w:tcW w:w="518" w:type="dxa"/>
            <w:tcMar>
              <w:top w:w="0" w:type="dxa"/>
              <w:left w:w="0" w:type="dxa"/>
              <w:bottom w:w="0" w:type="dxa"/>
              <w:right w:w="0" w:type="dxa"/>
            </w:tcMar>
            <w:vAlign w:val="center"/>
          </w:tcPr>
          <w:p w14:paraId="4F27DD4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75FD690"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42B724E2" w14:textId="77777777" w:rsidR="00C01008" w:rsidRDefault="00000000">
            <w:pPr>
              <w:keepLines/>
              <w:spacing w:before="40" w:after="80" w:line="240" w:lineRule="auto"/>
              <w:jc w:val="right"/>
            </w:pPr>
            <w:r>
              <w:rPr>
                <w:sz w:val="18"/>
              </w:rPr>
              <w:t>(6)</w:t>
            </w:r>
          </w:p>
        </w:tc>
      </w:tr>
    </w:tbl>
    <w:p w14:paraId="5EA9E319" w14:textId="001648AE" w:rsidR="00C01008" w:rsidRDefault="00000000" w:rsidP="00F3275F">
      <w:pPr>
        <w:spacing w:after="100" w:line="259" w:lineRule="auto"/>
        <w:jc w:val="both"/>
      </w:pPr>
      <w:r>
        <w:t xml:space="preserve">The residual matrix E=P−SC is the difference between the original and reconstructed patch features. </w:t>
      </w:r>
      <w:r>
        <w:rPr>
          <w:b/>
        </w:rPr>
        <w:t>Low</w:t>
      </w:r>
      <w:r w:rsidR="00F3275F">
        <w:rPr>
          <w:b/>
        </w:rPr>
        <w:t>-</w:t>
      </w:r>
      <w:r>
        <w:rPr>
          <w:b/>
        </w:rPr>
        <w:t>rank operator approximation.</w:t>
      </w:r>
      <w:r>
        <w:t xml:space="preserve"> The full</w:t>
      </w:r>
      <w:r w:rsidR="00F3275F">
        <w:t>-</w:t>
      </w:r>
      <w:r>
        <w:t xml:space="preserve">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for a rank</w:t>
      </w:r>
      <w:r w:rsidR="00F3275F">
        <w:t>-</w:t>
      </w:r>
      <w:r>
        <w:t xml:space="preserve">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64FC3912" w14:textId="77777777">
        <w:trPr>
          <w:cantSplit/>
          <w:jc w:val="center"/>
        </w:trPr>
        <w:tc>
          <w:tcPr>
            <w:tcW w:w="518" w:type="dxa"/>
            <w:tcMar>
              <w:top w:w="0" w:type="dxa"/>
              <w:left w:w="0" w:type="dxa"/>
              <w:bottom w:w="0" w:type="dxa"/>
              <w:right w:w="0" w:type="dxa"/>
            </w:tcMar>
            <w:vAlign w:val="center"/>
          </w:tcPr>
          <w:p w14:paraId="367A2CB2"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81170C0"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01F1F30" w14:textId="77777777" w:rsidR="00C01008" w:rsidRDefault="00000000">
            <w:pPr>
              <w:keepLines/>
              <w:spacing w:before="40" w:after="80" w:line="240" w:lineRule="auto"/>
              <w:jc w:val="right"/>
            </w:pPr>
            <w:r>
              <w:rPr>
                <w:sz w:val="18"/>
              </w:rPr>
              <w:t>(7)</w:t>
            </w:r>
          </w:p>
        </w:tc>
      </w:tr>
    </w:tbl>
    <w:p w14:paraId="3B265011" w14:textId="376B316F" w:rsidR="00C01008" w:rsidRDefault="00000000" w:rsidP="00F3275F">
      <w:pPr>
        <w:spacing w:after="100" w:line="259" w:lineRule="auto"/>
        <w:jc w:val="both"/>
      </w:pPr>
      <w:r>
        <w:t>The first term penalizes the readout change predicted by the selected operator, while the second is a trace</w:t>
      </w:r>
      <w:r w:rsidR="00F3275F">
        <w:t>-</w:t>
      </w:r>
      <w:r>
        <w:t xml:space="preserv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for the full operator and r for a rank</w:t>
      </w:r>
      <w:r w:rsidR="00F3275F">
        <w:t>-</w:t>
      </w:r>
      <w:r>
        <w:t xml:space="preserve">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w:t>
      </w:r>
      <w:r w:rsidR="00F3275F">
        <w:t>-</w:t>
      </w:r>
      <w:r>
        <w:t>column block for patch i. The solver constructs the readout</w:t>
      </w:r>
      <w:r w:rsidR="00F3275F">
        <w:t>-</w:t>
      </w:r>
      <w:r>
        <w: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56A29A36" w14:textId="77777777">
        <w:trPr>
          <w:cantSplit/>
          <w:jc w:val="center"/>
        </w:trPr>
        <w:tc>
          <w:tcPr>
            <w:tcW w:w="518" w:type="dxa"/>
            <w:tcMar>
              <w:top w:w="0" w:type="dxa"/>
              <w:left w:w="0" w:type="dxa"/>
              <w:bottom w:w="0" w:type="dxa"/>
              <w:right w:w="0" w:type="dxa"/>
            </w:tcMar>
            <w:vAlign w:val="center"/>
          </w:tcPr>
          <w:p w14:paraId="47DA5E90"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1F6A919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5660B23C" w14:textId="77777777" w:rsidR="00C01008" w:rsidRDefault="00000000">
            <w:pPr>
              <w:keepLines/>
              <w:spacing w:before="40" w:after="80" w:line="240" w:lineRule="auto"/>
              <w:jc w:val="right"/>
            </w:pPr>
            <w:r>
              <w:rPr>
                <w:sz w:val="18"/>
              </w:rPr>
              <w:t>(8)</w:t>
            </w:r>
          </w:p>
        </w:tc>
      </w:tr>
    </w:tbl>
    <w:p w14:paraId="3702F178" w14:textId="4314DB80" w:rsidR="00C01008" w:rsidRDefault="00000000" w:rsidP="00F3275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w:t>
      </w:r>
      <w:r w:rsidR="00F3275F">
        <w:t>-</w:t>
      </w:r>
      <w:r>
        <w:t>semidefinite Gram matrix of grouped Jacobian blocks, not a feature</w:t>
      </w:r>
      <w:r w:rsidR="00F3275F">
        <w:t>-</w:t>
      </w:r>
      <w:r>
        <w:t>activation covariance. It is distinct from the centered calibration</w:t>
      </w:r>
      <w:r w:rsidR="00F3275F">
        <w:t>-</w:t>
      </w:r>
      <w:r>
        <w:t>activation covariance that defines PCA directions. The per</w:t>
      </w:r>
      <w:r w:rsidR="00F3275F">
        <w:t>-</w:t>
      </w:r>
      <w:r>
        <w:t>image closed</w:t>
      </w:r>
      <w:r w:rsidR="00F3275F">
        <w:t>-</w:t>
      </w:r>
      <w:r>
        <w:t>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B4B53D4" w14:textId="77777777">
        <w:trPr>
          <w:cantSplit/>
          <w:jc w:val="center"/>
        </w:trPr>
        <w:tc>
          <w:tcPr>
            <w:tcW w:w="518" w:type="dxa"/>
            <w:tcMar>
              <w:top w:w="0" w:type="dxa"/>
              <w:left w:w="0" w:type="dxa"/>
              <w:bottom w:w="0" w:type="dxa"/>
              <w:right w:w="0" w:type="dxa"/>
            </w:tcMar>
            <w:vAlign w:val="center"/>
          </w:tcPr>
          <w:p w14:paraId="06F658FF"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33C0DE4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91CAACE"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2BD16639" w14:textId="77777777" w:rsidR="00C01008" w:rsidRDefault="00000000">
            <w:pPr>
              <w:keepLines/>
              <w:spacing w:before="40" w:after="80" w:line="240" w:lineRule="auto"/>
              <w:jc w:val="right"/>
            </w:pPr>
            <w:r>
              <w:rPr>
                <w:sz w:val="18"/>
              </w:rPr>
              <w:t>(9)</w:t>
            </w:r>
          </w:p>
        </w:tc>
      </w:tr>
    </w:tbl>
    <w:p w14:paraId="33DBAB8E" w14:textId="5EE9B87B" w:rsidR="00C01008" w:rsidRDefault="00000000" w:rsidP="00F3275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w:t>
      </w:r>
      <w:r w:rsidR="00F3275F">
        <w:t>-</w:t>
      </w:r>
      <w:r>
        <w:t>J solution is computed per image and is an offline oracle; low</w:t>
      </w:r>
      <w:r w:rsidR="00F3275F">
        <w:t>-</w:t>
      </w:r>
      <w:r>
        <w:t>rank solves are evaluated against the full J on the same confirmatory cohort.</w:t>
      </w:r>
    </w:p>
    <w:p w14:paraId="0D5141A1" w14:textId="77777777" w:rsidR="00C01008" w:rsidRDefault="00000000" w:rsidP="00F3275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6C3440F" w14:textId="77777777">
        <w:trPr>
          <w:cantSplit/>
          <w:jc w:val="center"/>
        </w:trPr>
        <w:tc>
          <w:tcPr>
            <w:tcW w:w="518" w:type="dxa"/>
            <w:tcMar>
              <w:top w:w="0" w:type="dxa"/>
              <w:left w:w="0" w:type="dxa"/>
              <w:bottom w:w="0" w:type="dxa"/>
              <w:right w:w="0" w:type="dxa"/>
            </w:tcMar>
            <w:vAlign w:val="center"/>
          </w:tcPr>
          <w:p w14:paraId="014F6534"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5DEA39B4"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DB4A8F9" w14:textId="77777777" w:rsidR="00C01008" w:rsidRDefault="00000000">
            <w:pPr>
              <w:keepLines/>
              <w:spacing w:before="40" w:after="80" w:line="240" w:lineRule="auto"/>
              <w:jc w:val="right"/>
            </w:pPr>
            <w:r>
              <w:rPr>
                <w:sz w:val="18"/>
              </w:rPr>
              <w:t>(10)</w:t>
            </w:r>
          </w:p>
        </w:tc>
      </w:tr>
    </w:tbl>
    <w:p w14:paraId="5C16A0A1" w14:textId="4672DED6" w:rsidR="00C01008" w:rsidRDefault="00000000" w:rsidP="00F3275F">
      <w:pPr>
        <w:spacing w:after="100" w:line="259" w:lineRule="auto"/>
        <w:jc w:val="both"/>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w:t>
      </w:r>
      <w:r w:rsidR="00F3275F">
        <w:t>-</w:t>
      </w:r>
      <w:r>
        <w:t>size bias over query positions. This proportional</w:t>
      </w:r>
      <w:r w:rsidR="00F3275F">
        <w:t>-</w:t>
      </w:r>
      <w:r>
        <w:t>attention correction is used in Token Merging (ToMe) to account for merged</w:t>
      </w:r>
      <w:r w:rsidR="00F3275F">
        <w:t>-</w:t>
      </w:r>
      <w:r>
        <w:t>token size [13]. The implementation applies the same key bias in each compressed downstream attention block.</w:t>
      </w:r>
    </w:p>
    <w:p w14:paraId="6B1D2EA1" w14:textId="77777777" w:rsidR="00C01008" w:rsidRDefault="00000000">
      <w:pPr>
        <w:pStyle w:val="Heading2"/>
      </w:pPr>
      <w:r>
        <w:rPr>
          <w:rFonts w:ascii="Times New Roman" w:hAnsi="Times New Roman"/>
        </w:rPr>
        <w:t>6.2 Confirmatory Compression Results</w:t>
      </w:r>
    </w:p>
    <w:p w14:paraId="5992D724" w14:textId="73C758E1" w:rsidR="00C01008" w:rsidRDefault="00000000" w:rsidP="00F3275F">
      <w:pPr>
        <w:spacing w:after="100" w:line="259" w:lineRule="auto"/>
        <w:jc w:val="both"/>
      </w:pPr>
      <w:r>
        <w:t xml:space="preserve">Strict </w:t>
      </w:r>
      <m:oMath>
        <m:r>
          <w:rPr>
            <w:rFonts w:ascii="Cambria Math" w:hAnsi="Cambria Math"/>
          </w:rPr>
          <m:t>confirmatory com</m:t>
        </m:r>
      </m:oMath>
      <w:r>
        <w:t>pression uses N=1,000 held</w:t>
      </w:r>
      <w:r w:rsidR="00F3275F">
        <w:t>-</w:t>
      </w:r>
      <w:r>
        <w:t>out images per architecture. At each architecture’s most aggressive tested token budget, Table II reports the exact Top</w:t>
      </w:r>
      <w:r w:rsidR="00F3275F">
        <w:t>-</w:t>
      </w:r>
      <w:r>
        <w:t>1 comparison among the best pruning baseline, Group Mean, ToMe, the full</w:t>
      </w:r>
      <w:r w:rsidR="00F3275F">
        <w:t>-</w:t>
      </w:r>
      <w:r>
        <w:t>J oracle, and its rank</w:t>
      </w:r>
      <w:r w:rsidR="00F3275F">
        <w:t>-</w:t>
      </w:r>
      <w:r>
        <w:t>16 and rank</w:t>
      </w:r>
      <w:r w:rsidR="00F3275F">
        <w:t>-</w:t>
      </w:r>
      <w:r>
        <w:t>32 approximations. The selected budgets differ by architecture (32 retained tokens for DeiT</w:t>
      </w:r>
      <w:r w:rsidR="00F3275F">
        <w:t>-</w:t>
      </w:r>
      <w:r>
        <w:t>Tiny, DeiT</w:t>
      </w:r>
      <w:r w:rsidR="00F3275F">
        <w:t>-</w:t>
      </w:r>
      <w:r>
        <w:t>Small, and ViT</w:t>
      </w:r>
      <w:r w:rsidR="00F3275F">
        <w:t>-</w:t>
      </w:r>
      <w:r>
        <w:t>B/16 AugReg; 42 for DINOv2 ViT</w:t>
      </w:r>
      <w:r w:rsidR="00F3275F">
        <w:t>-</w:t>
      </w:r>
      <w:r>
        <w:t>S/14), so the rows are within</w:t>
      </w:r>
      <w:r w:rsidR="00F3275F">
        <w:t>-</w:t>
      </w:r>
      <w:r>
        <w:t>architecture comparisons rather than a matched token</w:t>
      </w:r>
      <w:r w:rsidR="00F3275F">
        <w:t>-</w:t>
      </w:r>
      <w:r>
        <w:t>count experiment. Fig. 7 presents the full accuracy</w:t>
      </w:r>
      <w:r w:rsidR="00F3275F">
        <w:t>-</w:t>
      </w:r>
      <w:r>
        <w:t>token curves.</w:t>
      </w:r>
    </w:p>
    <w:p w14:paraId="71545545" w14:textId="77777777" w:rsidR="00C01008" w:rsidRDefault="00000000">
      <w:pPr>
        <w:spacing w:after="100" w:line="259" w:lineRule="auto"/>
      </w:pPr>
      <w:r>
        <w:t>TABLE II</w:t>
      </w:r>
    </w:p>
    <w:p w14:paraId="4B582610" w14:textId="22B34633" w:rsidR="00C01008" w:rsidRDefault="00000000">
      <w:pPr>
        <w:spacing w:after="100" w:line="259" w:lineRule="auto"/>
      </w:pPr>
      <w:r>
        <w:t>STRICT CONFIRMATORY TOP</w:t>
      </w:r>
      <w:r w:rsidR="00F3275F">
        <w:t>-</w:t>
      </w:r>
      <w:r>
        <w:t>1 ACCURACY AT THE MOST AGGRESSIVE TESTED BUDGET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C01008" w14:paraId="3D4168F0" w14:textId="77777777" w:rsidTr="00F3275F">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0FB9002B" w14:textId="77777777" w:rsidR="00C01008" w:rsidRDefault="00000000">
            <w:pPr>
              <w:jc w:val="center"/>
            </w:pPr>
            <w:r>
              <w:rPr>
                <w:b/>
                <w:color w:val="17232D"/>
                <w:sz w:val="15"/>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748289E" w14:textId="77777777" w:rsidR="00C01008" w:rsidRDefault="00000000">
            <w:pPr>
              <w:jc w:val="center"/>
            </w:pPr>
            <w:r>
              <w:rPr>
                <w:b/>
                <w:color w:val="17232D"/>
                <w:sz w:val="15"/>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64B1BAD" w14:textId="77777777" w:rsidR="00C01008" w:rsidRDefault="00000000">
            <w:pPr>
              <w:jc w:val="center"/>
            </w:pPr>
            <w:r>
              <w:rPr>
                <w:b/>
                <w:color w:val="17232D"/>
                <w:sz w:val="15"/>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A71935C" w14:textId="77777777" w:rsidR="00C01008" w:rsidRDefault="00000000">
            <w:pPr>
              <w:jc w:val="center"/>
            </w:pPr>
            <w:r>
              <w:rPr>
                <w:b/>
                <w:color w:val="17232D"/>
                <w:sz w:val="15"/>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22F369E" w14:textId="77777777" w:rsidR="00C01008" w:rsidRDefault="00000000">
            <w:pPr>
              <w:jc w:val="center"/>
            </w:pPr>
            <w:r>
              <w:rPr>
                <w:b/>
                <w:color w:val="17232D"/>
                <w:sz w:val="15"/>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84F3187" w14:textId="4A8EFEEC" w:rsidR="00C01008" w:rsidRDefault="00000000">
            <w:pPr>
              <w:jc w:val="center"/>
            </w:pPr>
            <w:r>
              <w:rPr>
                <w:b/>
                <w:color w:val="17232D"/>
                <w:sz w:val="15"/>
              </w:rPr>
              <w:t>Full</w:t>
            </w:r>
            <w:r w:rsidR="00F3275F">
              <w:rPr>
                <w:b/>
                <w:color w:val="17232D"/>
                <w:sz w:val="15"/>
              </w:rPr>
              <w:t>-</w:t>
            </w:r>
            <w:r>
              <w:rPr>
                <w:b/>
                <w:color w:val="17232D"/>
                <w:sz w:val="15"/>
              </w:rPr>
              <w:t>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12BD1B3" w14:textId="42121CC6" w:rsidR="00C01008" w:rsidRDefault="00000000">
            <w:pPr>
              <w:jc w:val="center"/>
            </w:pPr>
            <w:r>
              <w:rPr>
                <w:b/>
                <w:color w:val="17232D"/>
                <w:sz w:val="15"/>
              </w:rPr>
              <w:t>Rank</w:t>
            </w:r>
            <w:r w:rsidR="00F3275F">
              <w:rPr>
                <w:b/>
                <w:color w:val="17232D"/>
                <w:sz w:val="15"/>
              </w:rPr>
              <w:t>-</w:t>
            </w:r>
            <w:r>
              <w:rPr>
                <w:b/>
                <w:color w:val="17232D"/>
                <w:sz w:val="15"/>
              </w:rPr>
              <w:t>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91888B4" w14:textId="69DD3FA7" w:rsidR="00C01008" w:rsidRDefault="00000000">
            <w:pPr>
              <w:jc w:val="center"/>
            </w:pPr>
            <w:r>
              <w:rPr>
                <w:b/>
                <w:color w:val="17232D"/>
                <w:sz w:val="15"/>
              </w:rPr>
              <w:t>Rank</w:t>
            </w:r>
            <w:r w:rsidR="00F3275F">
              <w:rPr>
                <w:b/>
                <w:color w:val="17232D"/>
                <w:sz w:val="15"/>
              </w:rPr>
              <w:t>-</w:t>
            </w:r>
            <w:r>
              <w:rPr>
                <w:b/>
                <w:color w:val="17232D"/>
                <w:sz w:val="15"/>
              </w:rPr>
              <w:t>32</w:t>
            </w:r>
          </w:p>
        </w:tc>
      </w:tr>
      <w:tr w:rsidR="00C01008" w14:paraId="770673BE" w14:textId="77777777" w:rsidTr="00F3275F">
        <w:tc>
          <w:tcPr>
            <w:tcW w:w="1249" w:type="dxa"/>
            <w:tcBorders>
              <w:top w:val="single" w:sz="4" w:space="0" w:color="auto"/>
            </w:tcBorders>
            <w:tcMar>
              <w:top w:w="55" w:type="dxa"/>
              <w:left w:w="65" w:type="dxa"/>
              <w:bottom w:w="55" w:type="dxa"/>
              <w:right w:w="65" w:type="dxa"/>
            </w:tcMar>
            <w:vAlign w:val="center"/>
          </w:tcPr>
          <w:p w14:paraId="1163894B" w14:textId="12BD3177" w:rsidR="00C01008" w:rsidRDefault="00000000">
            <w:r>
              <w:rPr>
                <w:sz w:val="15"/>
              </w:rPr>
              <w:t>DeiT</w:t>
            </w:r>
            <w:r w:rsidR="00F3275F">
              <w:rPr>
                <w:sz w:val="15"/>
              </w:rPr>
              <w:t>-</w:t>
            </w:r>
            <w:r>
              <w:rPr>
                <w:sz w:val="15"/>
              </w:rPr>
              <w:t>Tiny</w:t>
            </w:r>
          </w:p>
        </w:tc>
        <w:tc>
          <w:tcPr>
            <w:tcW w:w="1249" w:type="dxa"/>
            <w:tcBorders>
              <w:top w:val="single" w:sz="4" w:space="0" w:color="auto"/>
            </w:tcBorders>
            <w:tcMar>
              <w:top w:w="55" w:type="dxa"/>
              <w:left w:w="65" w:type="dxa"/>
              <w:bottom w:w="55" w:type="dxa"/>
              <w:right w:w="65" w:type="dxa"/>
            </w:tcMar>
            <w:vAlign w:val="center"/>
          </w:tcPr>
          <w:p w14:paraId="3296CE60" w14:textId="77777777" w:rsidR="00C01008" w:rsidRDefault="00000000">
            <w:pPr>
              <w:jc w:val="center"/>
            </w:pPr>
            <w:r>
              <w:rPr>
                <w:sz w:val="15"/>
              </w:rPr>
              <w:t>32</w:t>
            </w:r>
          </w:p>
        </w:tc>
        <w:tc>
          <w:tcPr>
            <w:tcW w:w="1249" w:type="dxa"/>
            <w:tcBorders>
              <w:top w:val="single" w:sz="4" w:space="0" w:color="auto"/>
            </w:tcBorders>
            <w:tcMar>
              <w:top w:w="55" w:type="dxa"/>
              <w:left w:w="65" w:type="dxa"/>
              <w:bottom w:w="55" w:type="dxa"/>
              <w:right w:w="65" w:type="dxa"/>
            </w:tcMar>
            <w:vAlign w:val="center"/>
          </w:tcPr>
          <w:p w14:paraId="5E780154" w14:textId="77777777" w:rsidR="00C01008" w:rsidRDefault="00000000">
            <w:pPr>
              <w:jc w:val="center"/>
            </w:pPr>
            <w:r>
              <w:rPr>
                <w:sz w:val="15"/>
              </w:rPr>
              <w:t>Random, 58.6%</w:t>
            </w:r>
          </w:p>
        </w:tc>
        <w:tc>
          <w:tcPr>
            <w:tcW w:w="1249" w:type="dxa"/>
            <w:tcBorders>
              <w:top w:val="single" w:sz="4" w:space="0" w:color="auto"/>
            </w:tcBorders>
            <w:tcMar>
              <w:top w:w="55" w:type="dxa"/>
              <w:left w:w="65" w:type="dxa"/>
              <w:bottom w:w="55" w:type="dxa"/>
              <w:right w:w="65" w:type="dxa"/>
            </w:tcMar>
            <w:vAlign w:val="center"/>
          </w:tcPr>
          <w:p w14:paraId="3CD7E628" w14:textId="77777777" w:rsidR="00C01008" w:rsidRDefault="00000000">
            <w:pPr>
              <w:jc w:val="center"/>
            </w:pPr>
            <w:r>
              <w:rPr>
                <w:sz w:val="15"/>
              </w:rPr>
              <w:t>66.5%</w:t>
            </w:r>
          </w:p>
        </w:tc>
        <w:tc>
          <w:tcPr>
            <w:tcW w:w="1249" w:type="dxa"/>
            <w:tcBorders>
              <w:top w:val="single" w:sz="4" w:space="0" w:color="auto"/>
            </w:tcBorders>
            <w:tcMar>
              <w:top w:w="55" w:type="dxa"/>
              <w:left w:w="65" w:type="dxa"/>
              <w:bottom w:w="55" w:type="dxa"/>
              <w:right w:w="65" w:type="dxa"/>
            </w:tcMar>
            <w:vAlign w:val="center"/>
          </w:tcPr>
          <w:p w14:paraId="41A562EC" w14:textId="77777777" w:rsidR="00C01008" w:rsidRDefault="00000000">
            <w:pPr>
              <w:jc w:val="center"/>
            </w:pPr>
            <w:r>
              <w:rPr>
                <w:sz w:val="15"/>
              </w:rPr>
              <w:t>65.8%</w:t>
            </w:r>
          </w:p>
        </w:tc>
        <w:tc>
          <w:tcPr>
            <w:tcW w:w="1249" w:type="dxa"/>
            <w:tcBorders>
              <w:top w:val="single" w:sz="4" w:space="0" w:color="auto"/>
            </w:tcBorders>
            <w:tcMar>
              <w:top w:w="55" w:type="dxa"/>
              <w:left w:w="65" w:type="dxa"/>
              <w:bottom w:w="55" w:type="dxa"/>
              <w:right w:w="65" w:type="dxa"/>
            </w:tcMar>
            <w:vAlign w:val="center"/>
          </w:tcPr>
          <w:p w14:paraId="00D0E223"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6880097E"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12F90A22" w14:textId="77777777" w:rsidR="00C01008" w:rsidRDefault="00000000">
            <w:pPr>
              <w:jc w:val="center"/>
            </w:pPr>
            <w:r>
              <w:rPr>
                <w:sz w:val="15"/>
              </w:rPr>
              <w:t>67.9%</w:t>
            </w:r>
          </w:p>
        </w:tc>
      </w:tr>
      <w:tr w:rsidR="00C01008" w14:paraId="44779BAC" w14:textId="77777777" w:rsidTr="00F3275F">
        <w:tc>
          <w:tcPr>
            <w:tcW w:w="1249" w:type="dxa"/>
            <w:tcMar>
              <w:top w:w="55" w:type="dxa"/>
              <w:left w:w="65" w:type="dxa"/>
              <w:bottom w:w="55" w:type="dxa"/>
              <w:right w:w="65" w:type="dxa"/>
            </w:tcMar>
            <w:vAlign w:val="center"/>
          </w:tcPr>
          <w:p w14:paraId="4D934578" w14:textId="70B1CC37" w:rsidR="00C01008" w:rsidRDefault="00000000">
            <w:r>
              <w:rPr>
                <w:sz w:val="15"/>
              </w:rPr>
              <w:t>DeiT</w:t>
            </w:r>
            <w:r w:rsidR="00F3275F">
              <w:rPr>
                <w:sz w:val="15"/>
              </w:rPr>
              <w:t>-</w:t>
            </w:r>
            <w:r>
              <w:rPr>
                <w:sz w:val="15"/>
              </w:rPr>
              <w:t>Small</w:t>
            </w:r>
          </w:p>
        </w:tc>
        <w:tc>
          <w:tcPr>
            <w:tcW w:w="1249" w:type="dxa"/>
            <w:tcMar>
              <w:top w:w="55" w:type="dxa"/>
              <w:left w:w="65" w:type="dxa"/>
              <w:bottom w:w="55" w:type="dxa"/>
              <w:right w:w="65" w:type="dxa"/>
            </w:tcMar>
            <w:vAlign w:val="center"/>
          </w:tcPr>
          <w:p w14:paraId="25DCF9C4"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2966A0A2" w14:textId="77777777" w:rsidR="00C01008" w:rsidRDefault="00000000">
            <w:pPr>
              <w:jc w:val="center"/>
            </w:pPr>
            <w:r>
              <w:rPr>
                <w:sz w:val="15"/>
              </w:rPr>
              <w:t>Attention, 71.6%</w:t>
            </w:r>
          </w:p>
        </w:tc>
        <w:tc>
          <w:tcPr>
            <w:tcW w:w="1249" w:type="dxa"/>
            <w:tcMar>
              <w:top w:w="55" w:type="dxa"/>
              <w:left w:w="65" w:type="dxa"/>
              <w:bottom w:w="55" w:type="dxa"/>
              <w:right w:w="65" w:type="dxa"/>
            </w:tcMar>
            <w:vAlign w:val="center"/>
          </w:tcPr>
          <w:p w14:paraId="612D24D1"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1BEA4816"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05DC2586" w14:textId="77777777" w:rsidR="00C01008" w:rsidRDefault="00000000">
            <w:pPr>
              <w:jc w:val="center"/>
            </w:pPr>
            <w:r>
              <w:rPr>
                <w:sz w:val="15"/>
              </w:rPr>
              <w:t>75.8%</w:t>
            </w:r>
          </w:p>
        </w:tc>
        <w:tc>
          <w:tcPr>
            <w:tcW w:w="1249" w:type="dxa"/>
            <w:tcMar>
              <w:top w:w="55" w:type="dxa"/>
              <w:left w:w="65" w:type="dxa"/>
              <w:bottom w:w="55" w:type="dxa"/>
              <w:right w:w="65" w:type="dxa"/>
            </w:tcMar>
            <w:vAlign w:val="center"/>
          </w:tcPr>
          <w:p w14:paraId="69983BA0" w14:textId="77777777" w:rsidR="00C01008" w:rsidRDefault="00000000">
            <w:pPr>
              <w:jc w:val="center"/>
            </w:pPr>
            <w:r>
              <w:rPr>
                <w:sz w:val="15"/>
              </w:rPr>
              <w:t>76.5%</w:t>
            </w:r>
          </w:p>
        </w:tc>
        <w:tc>
          <w:tcPr>
            <w:tcW w:w="1249" w:type="dxa"/>
            <w:tcMar>
              <w:top w:w="55" w:type="dxa"/>
              <w:left w:w="65" w:type="dxa"/>
              <w:bottom w:w="55" w:type="dxa"/>
              <w:right w:w="65" w:type="dxa"/>
            </w:tcMar>
            <w:vAlign w:val="center"/>
          </w:tcPr>
          <w:p w14:paraId="103460F0" w14:textId="77777777" w:rsidR="00C01008" w:rsidRDefault="00000000">
            <w:pPr>
              <w:jc w:val="center"/>
            </w:pPr>
            <w:r>
              <w:rPr>
                <w:sz w:val="15"/>
              </w:rPr>
              <w:t>76.5%</w:t>
            </w:r>
          </w:p>
        </w:tc>
      </w:tr>
      <w:tr w:rsidR="00C01008" w14:paraId="318649C1" w14:textId="77777777" w:rsidTr="00F3275F">
        <w:tc>
          <w:tcPr>
            <w:tcW w:w="1249" w:type="dxa"/>
            <w:tcMar>
              <w:top w:w="55" w:type="dxa"/>
              <w:left w:w="65" w:type="dxa"/>
              <w:bottom w:w="55" w:type="dxa"/>
              <w:right w:w="65" w:type="dxa"/>
            </w:tcMar>
            <w:vAlign w:val="center"/>
          </w:tcPr>
          <w:p w14:paraId="3B9BF013" w14:textId="0B4319B0" w:rsidR="00C01008" w:rsidRDefault="00000000">
            <w:r>
              <w:rPr>
                <w:sz w:val="15"/>
              </w:rPr>
              <w:t>ViT</w:t>
            </w:r>
            <w:r w:rsidR="00F3275F">
              <w:rPr>
                <w:sz w:val="15"/>
              </w:rPr>
              <w:t>-</w:t>
            </w:r>
            <w:r>
              <w:rPr>
                <w:sz w:val="15"/>
              </w:rPr>
              <w:t>B/16 AugReg</w:t>
            </w:r>
          </w:p>
        </w:tc>
        <w:tc>
          <w:tcPr>
            <w:tcW w:w="1249" w:type="dxa"/>
            <w:tcMar>
              <w:top w:w="55" w:type="dxa"/>
              <w:left w:w="65" w:type="dxa"/>
              <w:bottom w:w="55" w:type="dxa"/>
              <w:right w:w="65" w:type="dxa"/>
            </w:tcMar>
            <w:vAlign w:val="center"/>
          </w:tcPr>
          <w:p w14:paraId="6855D387"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3FA0DEF3" w14:textId="77777777" w:rsidR="00C01008" w:rsidRDefault="00000000">
            <w:pPr>
              <w:jc w:val="center"/>
            </w:pPr>
            <w:r>
              <w:rPr>
                <w:sz w:val="15"/>
              </w:rPr>
              <w:t>Random, 69.2%</w:t>
            </w:r>
          </w:p>
        </w:tc>
        <w:tc>
          <w:tcPr>
            <w:tcW w:w="1249" w:type="dxa"/>
            <w:tcMar>
              <w:top w:w="55" w:type="dxa"/>
              <w:left w:w="65" w:type="dxa"/>
              <w:bottom w:w="55" w:type="dxa"/>
              <w:right w:w="65" w:type="dxa"/>
            </w:tcMar>
            <w:vAlign w:val="center"/>
          </w:tcPr>
          <w:p w14:paraId="1995E240" w14:textId="77777777" w:rsidR="00C01008" w:rsidRDefault="00000000">
            <w:pPr>
              <w:jc w:val="center"/>
            </w:pPr>
            <w:r>
              <w:rPr>
                <w:sz w:val="15"/>
              </w:rPr>
              <w:t>73.2%</w:t>
            </w:r>
          </w:p>
        </w:tc>
        <w:tc>
          <w:tcPr>
            <w:tcW w:w="1249" w:type="dxa"/>
            <w:tcMar>
              <w:top w:w="55" w:type="dxa"/>
              <w:left w:w="65" w:type="dxa"/>
              <w:bottom w:w="55" w:type="dxa"/>
              <w:right w:w="65" w:type="dxa"/>
            </w:tcMar>
            <w:vAlign w:val="center"/>
          </w:tcPr>
          <w:p w14:paraId="26158027" w14:textId="77777777" w:rsidR="00C01008" w:rsidRDefault="00000000">
            <w:pPr>
              <w:jc w:val="center"/>
            </w:pPr>
            <w:r>
              <w:rPr>
                <w:sz w:val="15"/>
              </w:rPr>
              <w:t>73.0%</w:t>
            </w:r>
          </w:p>
        </w:tc>
        <w:tc>
          <w:tcPr>
            <w:tcW w:w="1249" w:type="dxa"/>
            <w:tcMar>
              <w:top w:w="55" w:type="dxa"/>
              <w:left w:w="65" w:type="dxa"/>
              <w:bottom w:w="55" w:type="dxa"/>
              <w:right w:w="65" w:type="dxa"/>
            </w:tcMar>
            <w:vAlign w:val="center"/>
          </w:tcPr>
          <w:p w14:paraId="21E215E9" w14:textId="77777777" w:rsidR="00C01008" w:rsidRDefault="00000000">
            <w:pPr>
              <w:jc w:val="center"/>
            </w:pPr>
            <w:r>
              <w:rPr>
                <w:sz w:val="15"/>
              </w:rPr>
              <w:t>74.4%</w:t>
            </w:r>
          </w:p>
        </w:tc>
        <w:tc>
          <w:tcPr>
            <w:tcW w:w="1249" w:type="dxa"/>
            <w:tcMar>
              <w:top w:w="55" w:type="dxa"/>
              <w:left w:w="65" w:type="dxa"/>
              <w:bottom w:w="55" w:type="dxa"/>
              <w:right w:w="65" w:type="dxa"/>
            </w:tcMar>
            <w:vAlign w:val="center"/>
          </w:tcPr>
          <w:p w14:paraId="796F58E4" w14:textId="77777777" w:rsidR="00C01008" w:rsidRDefault="00000000">
            <w:pPr>
              <w:jc w:val="center"/>
            </w:pPr>
            <w:r>
              <w:rPr>
                <w:sz w:val="15"/>
              </w:rPr>
              <w:t>73.7%</w:t>
            </w:r>
          </w:p>
        </w:tc>
        <w:tc>
          <w:tcPr>
            <w:tcW w:w="1249" w:type="dxa"/>
            <w:tcMar>
              <w:top w:w="55" w:type="dxa"/>
              <w:left w:w="65" w:type="dxa"/>
              <w:bottom w:w="55" w:type="dxa"/>
              <w:right w:w="65" w:type="dxa"/>
            </w:tcMar>
            <w:vAlign w:val="center"/>
          </w:tcPr>
          <w:p w14:paraId="3FB22D72" w14:textId="77777777" w:rsidR="00C01008" w:rsidRDefault="00000000">
            <w:pPr>
              <w:jc w:val="center"/>
            </w:pPr>
            <w:r>
              <w:rPr>
                <w:sz w:val="15"/>
              </w:rPr>
              <w:t>74.2%</w:t>
            </w:r>
          </w:p>
        </w:tc>
      </w:tr>
      <w:tr w:rsidR="00C01008" w14:paraId="294D2DED" w14:textId="77777777" w:rsidTr="00F3275F">
        <w:tc>
          <w:tcPr>
            <w:tcW w:w="1249" w:type="dxa"/>
            <w:tcBorders>
              <w:bottom w:val="single" w:sz="4" w:space="0" w:color="auto"/>
            </w:tcBorders>
            <w:tcMar>
              <w:top w:w="55" w:type="dxa"/>
              <w:left w:w="65" w:type="dxa"/>
              <w:bottom w:w="55" w:type="dxa"/>
              <w:right w:w="65" w:type="dxa"/>
            </w:tcMar>
            <w:vAlign w:val="center"/>
          </w:tcPr>
          <w:p w14:paraId="07C834B4" w14:textId="4E63AF3F" w:rsidR="00C01008" w:rsidRDefault="00000000">
            <w:r>
              <w:rPr>
                <w:sz w:val="15"/>
              </w:rPr>
              <w:t>DINOv2 ViT</w:t>
            </w:r>
            <w:r w:rsidR="00F3275F">
              <w:rPr>
                <w:sz w:val="15"/>
              </w:rPr>
              <w:t>-</w:t>
            </w:r>
            <w:r>
              <w:rPr>
                <w:sz w:val="15"/>
              </w:rPr>
              <w:t>S/14</w:t>
            </w:r>
          </w:p>
        </w:tc>
        <w:tc>
          <w:tcPr>
            <w:tcW w:w="1249" w:type="dxa"/>
            <w:tcBorders>
              <w:bottom w:val="single" w:sz="4" w:space="0" w:color="auto"/>
            </w:tcBorders>
            <w:tcMar>
              <w:top w:w="55" w:type="dxa"/>
              <w:left w:w="65" w:type="dxa"/>
              <w:bottom w:w="55" w:type="dxa"/>
              <w:right w:w="65" w:type="dxa"/>
            </w:tcMar>
            <w:vAlign w:val="center"/>
          </w:tcPr>
          <w:p w14:paraId="269A8AB9" w14:textId="77777777" w:rsidR="00C01008" w:rsidRDefault="00000000">
            <w:pPr>
              <w:jc w:val="center"/>
            </w:pPr>
            <w:r>
              <w:rPr>
                <w:sz w:val="15"/>
              </w:rPr>
              <w:t>42</w:t>
            </w:r>
          </w:p>
        </w:tc>
        <w:tc>
          <w:tcPr>
            <w:tcW w:w="1249" w:type="dxa"/>
            <w:tcBorders>
              <w:bottom w:val="single" w:sz="4" w:space="0" w:color="auto"/>
            </w:tcBorders>
            <w:tcMar>
              <w:top w:w="55" w:type="dxa"/>
              <w:left w:w="65" w:type="dxa"/>
              <w:bottom w:w="55" w:type="dxa"/>
              <w:right w:w="65" w:type="dxa"/>
            </w:tcMar>
            <w:vAlign w:val="center"/>
          </w:tcPr>
          <w:p w14:paraId="11C8B0EE" w14:textId="77777777" w:rsidR="00C01008" w:rsidRDefault="00000000">
            <w:pPr>
              <w:jc w:val="center"/>
            </w:pPr>
            <w:r>
              <w:rPr>
                <w:sz w:val="15"/>
              </w:rPr>
              <w:t>Random, 61.5%</w:t>
            </w:r>
          </w:p>
        </w:tc>
        <w:tc>
          <w:tcPr>
            <w:tcW w:w="1249" w:type="dxa"/>
            <w:tcBorders>
              <w:bottom w:val="single" w:sz="4" w:space="0" w:color="auto"/>
            </w:tcBorders>
            <w:tcMar>
              <w:top w:w="55" w:type="dxa"/>
              <w:left w:w="65" w:type="dxa"/>
              <w:bottom w:w="55" w:type="dxa"/>
              <w:right w:w="65" w:type="dxa"/>
            </w:tcMar>
            <w:vAlign w:val="center"/>
          </w:tcPr>
          <w:p w14:paraId="5B384625" w14:textId="77777777" w:rsidR="00C01008" w:rsidRDefault="00000000">
            <w:pPr>
              <w:jc w:val="center"/>
            </w:pPr>
            <w:r>
              <w:rPr>
                <w:sz w:val="15"/>
              </w:rPr>
              <w:t>72.2%</w:t>
            </w:r>
          </w:p>
        </w:tc>
        <w:tc>
          <w:tcPr>
            <w:tcW w:w="1249" w:type="dxa"/>
            <w:tcBorders>
              <w:bottom w:val="single" w:sz="4" w:space="0" w:color="auto"/>
            </w:tcBorders>
            <w:tcMar>
              <w:top w:w="55" w:type="dxa"/>
              <w:left w:w="65" w:type="dxa"/>
              <w:bottom w:w="55" w:type="dxa"/>
              <w:right w:w="65" w:type="dxa"/>
            </w:tcMar>
            <w:vAlign w:val="center"/>
          </w:tcPr>
          <w:p w14:paraId="18E7CF50" w14:textId="77777777" w:rsidR="00C01008" w:rsidRDefault="00000000">
            <w:pPr>
              <w:jc w:val="center"/>
            </w:pPr>
            <w:r>
              <w:rPr>
                <w:sz w:val="15"/>
              </w:rPr>
              <w:t>69.4%</w:t>
            </w:r>
          </w:p>
        </w:tc>
        <w:tc>
          <w:tcPr>
            <w:tcW w:w="1249" w:type="dxa"/>
            <w:tcBorders>
              <w:bottom w:val="single" w:sz="4" w:space="0" w:color="auto"/>
            </w:tcBorders>
            <w:tcMar>
              <w:top w:w="55" w:type="dxa"/>
              <w:left w:w="65" w:type="dxa"/>
              <w:bottom w:w="55" w:type="dxa"/>
              <w:right w:w="65" w:type="dxa"/>
            </w:tcMar>
            <w:vAlign w:val="center"/>
          </w:tcPr>
          <w:p w14:paraId="1008E9B0" w14:textId="77777777" w:rsidR="00C01008" w:rsidRDefault="00000000">
            <w:pPr>
              <w:jc w:val="center"/>
            </w:pPr>
            <w:r>
              <w:rPr>
                <w:sz w:val="15"/>
              </w:rPr>
              <w:t>73.5%</w:t>
            </w:r>
          </w:p>
        </w:tc>
        <w:tc>
          <w:tcPr>
            <w:tcW w:w="1249" w:type="dxa"/>
            <w:tcBorders>
              <w:bottom w:val="single" w:sz="4" w:space="0" w:color="auto"/>
            </w:tcBorders>
            <w:tcMar>
              <w:top w:w="55" w:type="dxa"/>
              <w:left w:w="65" w:type="dxa"/>
              <w:bottom w:w="55" w:type="dxa"/>
              <w:right w:w="65" w:type="dxa"/>
            </w:tcMar>
            <w:vAlign w:val="center"/>
          </w:tcPr>
          <w:p w14:paraId="40F9AC33" w14:textId="77777777" w:rsidR="00C01008" w:rsidRDefault="00000000">
            <w:pPr>
              <w:jc w:val="center"/>
            </w:pPr>
            <w:r>
              <w:rPr>
                <w:sz w:val="15"/>
              </w:rPr>
              <w:t>73.2%</w:t>
            </w:r>
          </w:p>
        </w:tc>
        <w:tc>
          <w:tcPr>
            <w:tcW w:w="1249" w:type="dxa"/>
            <w:tcBorders>
              <w:bottom w:val="single" w:sz="4" w:space="0" w:color="auto"/>
            </w:tcBorders>
            <w:tcMar>
              <w:top w:w="55" w:type="dxa"/>
              <w:left w:w="65" w:type="dxa"/>
              <w:bottom w:w="55" w:type="dxa"/>
              <w:right w:w="65" w:type="dxa"/>
            </w:tcMar>
            <w:vAlign w:val="center"/>
          </w:tcPr>
          <w:p w14:paraId="45500143" w14:textId="77777777" w:rsidR="00C01008" w:rsidRDefault="00000000">
            <w:pPr>
              <w:jc w:val="center"/>
            </w:pPr>
            <w:r>
              <w:rPr>
                <w:sz w:val="15"/>
              </w:rPr>
              <w:t>73.0%</w:t>
            </w:r>
          </w:p>
        </w:tc>
      </w:tr>
    </w:tbl>
    <w:p w14:paraId="10E7949F" w14:textId="77777777" w:rsidR="00C01008" w:rsidRDefault="00C01008">
      <w:pPr>
        <w:spacing w:after="20"/>
      </w:pPr>
    </w:p>
    <w:p w14:paraId="1F3D6218" w14:textId="75D32A4D" w:rsidR="00C01008" w:rsidRDefault="00000000">
      <w:pPr>
        <w:keepLines/>
        <w:spacing w:after="80"/>
        <w:jc w:val="center"/>
      </w:pPr>
      <w:r>
        <w:rPr>
          <w:i/>
          <w:color w:val="4C5963"/>
          <w:sz w:val="17"/>
        </w:rPr>
        <w:t>Table II. Top</w:t>
      </w:r>
      <w:r w:rsidR="00F3275F">
        <w:rPr>
          <w:i/>
          <w:color w:val="4C5963"/>
          <w:sz w:val="17"/>
        </w:rPr>
        <w:t>-</w:t>
      </w:r>
      <w:r>
        <w:rPr>
          <w:i/>
          <w:color w:val="4C5963"/>
          <w:sz w:val="17"/>
        </w:rPr>
        <w:t>1 accuracy on N=1,000 held</w:t>
      </w:r>
      <w:r w:rsidR="00F3275F">
        <w:rPr>
          <w:i/>
          <w:color w:val="4C5963"/>
          <w:sz w:val="17"/>
        </w:rPr>
        <w:t>-</w:t>
      </w:r>
      <w:r>
        <w:rPr>
          <w:i/>
          <w:color w:val="4C5963"/>
          <w:sz w:val="17"/>
        </w:rPr>
        <w:t>out images per architecture. The pruning entry is the strongest among Random, Norm, and Attention Pruning at the listed budget. The architecture</w:t>
      </w:r>
      <w:r w:rsidR="00F3275F">
        <w:rPr>
          <w:i/>
          <w:color w:val="4C5963"/>
          <w:sz w:val="17"/>
        </w:rPr>
        <w:t>-</w:t>
      </w:r>
      <w:r>
        <w:rPr>
          <w:i/>
          <w:color w:val="4C5963"/>
          <w:sz w:val="17"/>
        </w:rPr>
        <w:t>specific budgets are the lowest budgets evaluated in the strict confirmatory sweep.</w:t>
      </w:r>
    </w:p>
    <w:p w14:paraId="10E8ED64" w14:textId="7FE6A9AB" w:rsidR="00C01008" w:rsidRDefault="00000000" w:rsidP="00F3275F">
      <w:pPr>
        <w:spacing w:after="100" w:line="259" w:lineRule="auto"/>
        <w:jc w:val="both"/>
      </w:pPr>
      <w:r>
        <w:t>Across 30,000 method/budget/seed condition rows per architecture, the same 1,000 held</w:t>
      </w:r>
      <w:r w:rsidR="00F3275F">
        <w:t>-</w:t>
      </w:r>
      <w:r>
        <w:t xml:space="preserve">out images are reused across conditions. </w:t>
      </w:r>
      <m:oMath>
        <m:r>
          <w:rPr>
            <w:rFonts w:ascii="Cambria Math" w:hAnsi="Cambria Math"/>
          </w:rPr>
          <m:t>Operator residual ‖J E‖ is associated with measured logit-L2 distortion: per-architecture Pearson r ranges from 0.739 to 0.866, and Spe</m:t>
        </m:r>
      </m:oMath>
      <w:r>
        <w:t>arman ρ ranges from 0.792 to 0.916. These are condition</w:t>
      </w:r>
      <w:r w:rsidR="00F3275F">
        <w:t>-</w:t>
      </w:r>
      <w:r>
        <w:t>level associations, not 120,000 independent images. Rank</w:t>
      </w:r>
      <w:r w:rsidR="00F3275F">
        <w:t>-</w:t>
      </w:r>
      <w:r>
        <w:t>16 and rank</w:t>
      </w:r>
      <w:r w:rsidR="00F3275F">
        <w:t>-</w:t>
      </w:r>
      <w:r>
        <w:t>32 outcomes vary by architecture and budget; the confirmatory data do not support a universal recovery fraction. Fig. 7 reports the measured accuracy</w:t>
      </w:r>
      <w:r w:rsidR="00F3275F">
        <w:t>-</w:t>
      </w:r>
      <w:r>
        <w:t>token curves, while Table II lists rank</w:t>
      </w:r>
      <w:r w:rsidR="00F3275F">
        <w:t>-</w:t>
      </w:r>
      <w:r>
        <w:t>16 and rank</w:t>
      </w:r>
      <w:r w:rsidR="00F3275F">
        <w:t>-</w:t>
      </w:r>
      <w:r>
        <w:t>32 Top</w:t>
      </w:r>
      <w:r w:rsidR="00F3275F">
        <w:t>-</w:t>
      </w:r>
      <w:r>
        <w:t>1 at each architecture's most aggressive tested budget.</w:t>
      </w:r>
    </w:p>
    <w:p w14:paraId="52E7D16B" w14:textId="77777777" w:rsidR="00C01008" w:rsidRDefault="00000000">
      <w:pPr>
        <w:keepNext/>
        <w:keepLines/>
        <w:spacing w:after="20"/>
        <w:jc w:val="center"/>
      </w:pPr>
      <w:r>
        <w:rPr>
          <w:noProof/>
        </w:rPr>
        <w:lastRenderedPageBreak/>
        <w:drawing>
          <wp:inline distT="0" distB="0" distL="0" distR="0" wp14:anchorId="6746CAF0" wp14:editId="21E450B3">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2"/>
                    <a:stretch>
                      <a:fillRect/>
                    </a:stretch>
                  </pic:blipFill>
                  <pic:spPr>
                    <a:xfrm>
                      <a:off x="0" y="0"/>
                      <a:ext cx="6172200" cy="3663846"/>
                    </a:xfrm>
                    <a:prstGeom prst="rect">
                      <a:avLst/>
                    </a:prstGeom>
                  </pic:spPr>
                </pic:pic>
              </a:graphicData>
            </a:graphic>
          </wp:inline>
        </w:drawing>
      </w:r>
    </w:p>
    <w:p w14:paraId="2259E9A3" w14:textId="5FB095D2" w:rsidR="00C01008" w:rsidRDefault="00000000">
      <w:pPr>
        <w:keepLines/>
        <w:spacing w:after="80"/>
        <w:jc w:val="center"/>
      </w:pPr>
      <w:r>
        <w:rPr>
          <w:i/>
          <w:color w:val="4C5963"/>
          <w:sz w:val="17"/>
        </w:rPr>
        <w:t>Fig. 7. Confirmatory Top</w:t>
      </w:r>
      <w:r w:rsidR="00F3275F">
        <w:rPr>
          <w:i/>
          <w:color w:val="4C5963"/>
          <w:sz w:val="17"/>
        </w:rPr>
        <w:t>-</w:t>
      </w:r>
      <w:r>
        <w:rPr>
          <w:i/>
          <w:color w:val="4C5963"/>
          <w:sz w:val="17"/>
        </w:rPr>
        <w:t>1 accuracy versus retained patch</w:t>
      </w:r>
      <w:r w:rsidR="00F3275F">
        <w:rPr>
          <w:i/>
          <w:color w:val="4C5963"/>
          <w:sz w:val="17"/>
        </w:rPr>
        <w:t>-</w:t>
      </w:r>
      <w:r>
        <w:rPr>
          <w:i/>
          <w:color w:val="4C5963"/>
          <w:sz w:val="17"/>
        </w:rPr>
        <w:t>token fraction for four architectures. Curves show pruning, Group Mean, ToMe, the full</w:t>
      </w:r>
      <w:r w:rsidR="00F3275F">
        <w:rPr>
          <w:i/>
          <w:color w:val="4C5963"/>
          <w:sz w:val="17"/>
        </w:rPr>
        <w:t>-</w:t>
      </w:r>
      <w:r>
        <w:rPr>
          <w:i/>
          <w:color w:val="4C5963"/>
          <w:sz w:val="17"/>
        </w:rPr>
        <w:t>J oracle, and rank</w:t>
      </w:r>
      <w:r w:rsidR="00F3275F">
        <w:rPr>
          <w:i/>
          <w:color w:val="4C5963"/>
          <w:sz w:val="17"/>
        </w:rPr>
        <w:t>-</w:t>
      </w:r>
      <w:r>
        <w:rPr>
          <w:i/>
          <w:color w:val="4C5963"/>
          <w:sz w:val="17"/>
        </w:rPr>
        <w:t>32; rank</w:t>
      </w:r>
      <w:r w:rsidR="00F3275F">
        <w:rPr>
          <w:i/>
          <w:color w:val="4C5963"/>
          <w:sz w:val="17"/>
        </w:rPr>
        <w:t>-</w:t>
      </w:r>
      <w:r>
        <w:rPr>
          <w:i/>
          <w:color w:val="4C5963"/>
          <w:sz w:val="17"/>
        </w:rPr>
        <w:t>16 Top</w:t>
      </w:r>
      <w:r w:rsidR="00F3275F">
        <w:rPr>
          <w:i/>
          <w:color w:val="4C5963"/>
          <w:sz w:val="17"/>
        </w:rPr>
        <w:t>-</w:t>
      </w:r>
      <w:r>
        <w:rPr>
          <w:i/>
          <w:color w:val="4C5963"/>
          <w:sz w:val="17"/>
        </w:rPr>
        <w:t>1 is listed in Table II at the most aggressive tested budget. Each architecture uses N=1,000 held</w:t>
      </w:r>
      <w:r w:rsidR="00F3275F">
        <w:rPr>
          <w:i/>
          <w:color w:val="4C5963"/>
          <w:sz w:val="17"/>
        </w:rPr>
        <w:t>-</w:t>
      </w:r>
      <w:r>
        <w:rPr>
          <w:i/>
          <w:color w:val="4C5963"/>
          <w:sz w:val="17"/>
        </w:rPr>
        <w:t>out images.</w:t>
      </w:r>
    </w:p>
    <w:p w14:paraId="6E64DE0A" w14:textId="77777777" w:rsidR="00C01008" w:rsidRDefault="00000000">
      <w:pPr>
        <w:pStyle w:val="Heading1"/>
      </w:pPr>
      <w:r>
        <w:rPr>
          <w:rFonts w:ascii="Times New Roman" w:hAnsi="Times New Roman"/>
        </w:rPr>
        <w:t>7. Practical Carrier Evaluation</w:t>
      </w:r>
    </w:p>
    <w:p w14:paraId="2EA71EF1" w14:textId="39EC36EE" w:rsidR="00C01008" w:rsidRDefault="00000000">
      <w:pPr>
        <w:pStyle w:val="Heading2"/>
      </w:pPr>
      <w:r>
        <w:rPr>
          <w:rFonts w:ascii="Times New Roman" w:hAnsi="Times New Roman"/>
        </w:rPr>
        <w:t>7.1 Static Feature</w:t>
      </w:r>
      <w:r w:rsidR="00F3275F">
        <w:rPr>
          <w:rFonts w:ascii="Times New Roman" w:hAnsi="Times New Roman"/>
        </w:rPr>
        <w:t>-</w:t>
      </w:r>
      <w:r>
        <w:rPr>
          <w:rFonts w:ascii="Times New Roman" w:hAnsi="Times New Roman"/>
        </w:rPr>
        <w:t>PCA Corrections</w:t>
      </w:r>
    </w:p>
    <w:p w14:paraId="5C5AE063" w14:textId="474DEE4B" w:rsidR="00C01008" w:rsidRDefault="00000000" w:rsidP="00F3275F">
      <w:pPr>
        <w:spacing w:after="100" w:line="259" w:lineRule="auto"/>
        <w:jc w:val="both"/>
      </w:pPr>
      <w:r>
        <w:t>The separate carrier branch tests whether corrections can be amortized in a compact feature</w:t>
      </w:r>
      <w:r w:rsidR="00F3275F">
        <w:t>-</w:t>
      </w:r>
      <w:r>
        <w:t xml:space="preserve">PCA basis. Here, q is the number of feature directions in the correction basis, extracted from centered calibration patch activations with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these directions are not obtained from the Jacobian. This feature</w:t>
      </w:r>
      <w:r w:rsidR="00F3275F">
        <w:t>-</w:t>
      </w:r>
      <w:r>
        <w:t>space covariance is distinct from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in Eq. (8). Separately, calibration uses a low</w:t>
      </w:r>
      <w:r w:rsidR="00F3275F">
        <w:t>-</w:t>
      </w:r>
      <w:r>
        <w:t>rank subspace derived from downstream</w:t>
      </w:r>
      <w:r w:rsidR="00F3275F">
        <w:t>-</w:t>
      </w:r>
      <w:r>
        <w:t>Jacobian targets to estimate a fixed coefficient vector α, which sets the correction weight along each PCA direction. For held</w:t>
      </w:r>
      <w:r w:rsidR="00F3275F">
        <w:t>-</w:t>
      </w:r>
      <w:r>
        <w:t>out classifier evaluation, the basis and coefficients are frozen, and no per</w:t>
      </w:r>
      <w:r w:rsidR="00F3275F">
        <w:t>-</w:t>
      </w:r>
      <w:r>
        <w:t>image Jacobian or evaluation</w:t>
      </w:r>
      <w:r w:rsidR="00F3275F">
        <w:t>-</w:t>
      </w:r>
      <w:r>
        <w:t>label fitting is used. The operator</w:t>
      </w:r>
      <w:r w:rsidR="00F3275F">
        <w:t>-</w:t>
      </w:r>
      <w:r>
        <w:t>space experiment uses N=100 held</w:t>
      </w:r>
      <w:r w:rsidR="00F3275F">
        <w:t>-</w:t>
      </w:r>
      <w:r>
        <w:t>out operator</w:t>
      </w:r>
      <w:r w:rsidR="00F3275F">
        <w:t>-</w:t>
      </w:r>
      <w:r>
        <w:t>space images and does not measure classification. For DeiT</w:t>
      </w:r>
      <w:r w:rsidR="00F3275F">
        <w:t>-</w:t>
      </w:r>
      <w:r>
        <w:t>Small at q=16, static Feature</w:t>
      </w:r>
      <w:r w:rsidR="00F3275F">
        <w:t>-</w:t>
      </w:r>
      <w:r>
        <w:t>PCA recovers 54.91% of the restricted</w:t>
      </w:r>
      <w:r w:rsidR="00F3275F">
        <w:t>-</w:t>
      </w:r>
      <w:r>
        <w:t>oracle ‖J E‖ gain; this remains linearized operator</w:t>
      </w:r>
      <w:r w:rsidR="00F3275F">
        <w:t>-</w:t>
      </w:r>
      <w:r>
        <w:t>space evidence only.</w:t>
      </w:r>
    </w:p>
    <w:p w14:paraId="255F11D4" w14:textId="77777777" w:rsidR="00C01008" w:rsidRDefault="00000000">
      <w:pPr>
        <w:pStyle w:val="Heading2"/>
      </w:pPr>
      <w:r>
        <w:rPr>
          <w:rFonts w:ascii="Times New Roman" w:hAnsi="Times New Roman"/>
        </w:rPr>
        <w:t>7.2 Classification and Throughput Evaluation</w:t>
      </w:r>
    </w:p>
    <w:p w14:paraId="4B3BC004" w14:textId="71D6B20F" w:rsidR="00C01008" w:rsidRDefault="00000000" w:rsidP="00F3275F">
      <w:pPr>
        <w:spacing w:after="100" w:line="259" w:lineRule="auto"/>
        <w:jc w:val="both"/>
      </w:pPr>
      <w:r>
        <w:t>The held-out classifier-carrier evaluation measures</w:t>
      </w:r>
      <w:r w:rsidR="00F3275F">
        <w:t/>
      </w:r>
      <w:r>
        <w:t xml:space="preserve"> actual model predictions on N=1,000 held</w:t>
      </w:r>
      <w:r w:rsidR="00F3275F">
        <w:t>-</w:t>
      </w:r>
      <w:r>
        <w:t>out images per architecture. Table III reports the separate real classifier</w:t>
      </w:r>
      <w:r w:rsidR="00F3275F">
        <w:t>-</w:t>
      </w:r>
      <w:r>
        <w:t>carrier results at the selected budgets.</w:t>
      </w:r>
    </w:p>
    <w:p w14:paraId="4E4236AA" w14:textId="77777777" w:rsidR="00C01008" w:rsidRDefault="00000000">
      <w:pPr>
        <w:spacing w:after="100" w:line="259" w:lineRule="auto"/>
      </w:pPr>
      <w:r>
        <w:t>TABLE III</w:t>
      </w:r>
    </w:p>
    <w:p w14:paraId="5D37F019" w14:textId="613F7D48" w:rsidR="00C01008" w:rsidRDefault="00000000">
      <w:pPr>
        <w:spacing w:after="100" w:line="259" w:lineRule="auto"/>
      </w:pPr>
      <w:r>
        <w:t>REAL CLASSIFIER</w:t>
      </w:r>
      <w:r w:rsidR="00F3275F">
        <w:t>-</w:t>
      </w:r>
      <w:r>
        <w:t>CARRIER COUNTS AT REPORTED BUDGETS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C01008" w14:paraId="0D73ED1A" w14:textId="77777777" w:rsidTr="00F3275F">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4602CED7" w14:textId="77777777" w:rsidR="00C01008" w:rsidRDefault="00000000">
            <w:pPr>
              <w:jc w:val="center"/>
            </w:pPr>
            <w:r>
              <w:rPr>
                <w:b/>
                <w:color w:val="17232D"/>
                <w:sz w:val="16"/>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74C5ED30" w14:textId="77777777" w:rsidR="00C01008" w:rsidRDefault="00000000">
            <w:pPr>
              <w:jc w:val="center"/>
            </w:pPr>
            <w:r>
              <w:rPr>
                <w:b/>
                <w:color w:val="17232D"/>
                <w:sz w:val="16"/>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8293788" w14:textId="77777777" w:rsidR="00C01008" w:rsidRDefault="00000000">
            <w:pPr>
              <w:jc w:val="center"/>
            </w:pPr>
            <w:r>
              <w:rPr>
                <w:b/>
                <w:color w:val="17232D"/>
                <w:sz w:val="16"/>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1044483B" w14:textId="751CE1C7" w:rsidR="00C01008" w:rsidRDefault="00000000">
            <w:pPr>
              <w:jc w:val="center"/>
            </w:pPr>
            <w:r>
              <w:rPr>
                <w:b/>
                <w:color w:val="17232D"/>
                <w:sz w:val="16"/>
              </w:rPr>
              <w:t>Static Feature</w:t>
            </w:r>
            <w:r w:rsidR="00F3275F">
              <w:rPr>
                <w:b/>
                <w:color w:val="17232D"/>
                <w:sz w:val="16"/>
              </w:rPr>
              <w:t>-</w:t>
            </w:r>
            <w:r>
              <w:rPr>
                <w:b/>
                <w:color w:val="17232D"/>
                <w:sz w:val="16"/>
              </w:rPr>
              <w:t>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2693C186" w14:textId="75A75AB7" w:rsidR="00C01008" w:rsidRDefault="00000000">
            <w:pPr>
              <w:jc w:val="center"/>
            </w:pPr>
            <w:r>
              <w:rPr>
                <w:b/>
                <w:color w:val="17232D"/>
                <w:sz w:val="16"/>
              </w:rPr>
              <w:t>Static Feature</w:t>
            </w:r>
            <w:r w:rsidR="00F3275F">
              <w:rPr>
                <w:b/>
                <w:color w:val="17232D"/>
                <w:sz w:val="16"/>
              </w:rPr>
              <w:t>-</w:t>
            </w:r>
            <w:r>
              <w:rPr>
                <w:b/>
                <w:color w:val="17232D"/>
                <w:sz w:val="16"/>
              </w:rPr>
              <w:t>PCA, q=32</w:t>
            </w:r>
          </w:p>
        </w:tc>
      </w:tr>
      <w:tr w:rsidR="00C01008" w14:paraId="0AB47987" w14:textId="77777777" w:rsidTr="00F3275F">
        <w:tc>
          <w:tcPr>
            <w:tcW w:w="1999" w:type="dxa"/>
            <w:tcBorders>
              <w:top w:val="single" w:sz="4" w:space="0" w:color="auto"/>
            </w:tcBorders>
            <w:tcMar>
              <w:top w:w="55" w:type="dxa"/>
              <w:left w:w="65" w:type="dxa"/>
              <w:bottom w:w="55" w:type="dxa"/>
              <w:right w:w="65" w:type="dxa"/>
            </w:tcMar>
            <w:vAlign w:val="center"/>
          </w:tcPr>
          <w:p w14:paraId="335BB37F" w14:textId="0D6DE90C" w:rsidR="00C01008" w:rsidRDefault="00000000">
            <w:r>
              <w:rPr>
                <w:sz w:val="16"/>
              </w:rPr>
              <w:t>DeiT</w:t>
            </w:r>
            <w:r w:rsidR="00F3275F">
              <w:rPr>
                <w:sz w:val="16"/>
              </w:rPr>
              <w:t>-</w:t>
            </w:r>
            <w:r>
              <w:rPr>
                <w:sz w:val="16"/>
              </w:rPr>
              <w:t>Small</w:t>
            </w:r>
          </w:p>
        </w:tc>
        <w:tc>
          <w:tcPr>
            <w:tcW w:w="1999" w:type="dxa"/>
            <w:tcBorders>
              <w:top w:val="single" w:sz="4" w:space="0" w:color="auto"/>
            </w:tcBorders>
            <w:tcMar>
              <w:top w:w="55" w:type="dxa"/>
              <w:left w:w="65" w:type="dxa"/>
              <w:bottom w:w="55" w:type="dxa"/>
              <w:right w:w="65" w:type="dxa"/>
            </w:tcMar>
            <w:vAlign w:val="center"/>
          </w:tcPr>
          <w:p w14:paraId="6001D9B0" w14:textId="77777777" w:rsidR="00C01008" w:rsidRDefault="00000000">
            <w:pPr>
              <w:jc w:val="center"/>
            </w:pPr>
            <w:r>
              <w:rPr>
                <w:sz w:val="16"/>
              </w:rPr>
              <w:t>98</w:t>
            </w:r>
          </w:p>
        </w:tc>
        <w:tc>
          <w:tcPr>
            <w:tcW w:w="1999" w:type="dxa"/>
            <w:tcBorders>
              <w:top w:val="single" w:sz="4" w:space="0" w:color="auto"/>
            </w:tcBorders>
            <w:tcMar>
              <w:top w:w="55" w:type="dxa"/>
              <w:left w:w="65" w:type="dxa"/>
              <w:bottom w:w="55" w:type="dxa"/>
              <w:right w:w="65" w:type="dxa"/>
            </w:tcMar>
            <w:vAlign w:val="center"/>
          </w:tcPr>
          <w:p w14:paraId="42092AE0" w14:textId="77777777" w:rsidR="00C01008" w:rsidRDefault="00000000">
            <w:pPr>
              <w:jc w:val="center"/>
            </w:pPr>
            <w:r>
              <w:rPr>
                <w:sz w:val="16"/>
              </w:rPr>
              <w:t>764/1,000 (76.4%)</w:t>
            </w:r>
          </w:p>
        </w:tc>
        <w:tc>
          <w:tcPr>
            <w:tcW w:w="1999" w:type="dxa"/>
            <w:tcBorders>
              <w:top w:val="single" w:sz="4" w:space="0" w:color="auto"/>
            </w:tcBorders>
            <w:tcMar>
              <w:top w:w="55" w:type="dxa"/>
              <w:left w:w="65" w:type="dxa"/>
              <w:bottom w:w="55" w:type="dxa"/>
              <w:right w:w="65" w:type="dxa"/>
            </w:tcMar>
            <w:vAlign w:val="center"/>
          </w:tcPr>
          <w:p w14:paraId="74BEA977" w14:textId="77777777" w:rsidR="00C01008" w:rsidRDefault="00000000">
            <w:pPr>
              <w:jc w:val="center"/>
            </w:pPr>
            <w:r>
              <w:rPr>
                <w:sz w:val="16"/>
              </w:rPr>
              <w:t>763/1,000 (76.3%; −0.1 pp)</w:t>
            </w:r>
          </w:p>
        </w:tc>
        <w:tc>
          <w:tcPr>
            <w:tcW w:w="1999" w:type="dxa"/>
            <w:tcBorders>
              <w:top w:val="single" w:sz="4" w:space="0" w:color="auto"/>
            </w:tcBorders>
            <w:tcMar>
              <w:top w:w="55" w:type="dxa"/>
              <w:left w:w="65" w:type="dxa"/>
              <w:bottom w:w="55" w:type="dxa"/>
              <w:right w:w="65" w:type="dxa"/>
            </w:tcMar>
            <w:vAlign w:val="center"/>
          </w:tcPr>
          <w:p w14:paraId="51782F1E" w14:textId="77777777" w:rsidR="00C01008" w:rsidRDefault="00000000">
            <w:pPr>
              <w:jc w:val="center"/>
            </w:pPr>
            <w:r>
              <w:rPr>
                <w:sz w:val="16"/>
              </w:rPr>
              <w:t>760/1,000 (76.0%; −0.4 pp)</w:t>
            </w:r>
          </w:p>
        </w:tc>
      </w:tr>
      <w:tr w:rsidR="00C01008" w14:paraId="5B163A1F" w14:textId="77777777" w:rsidTr="00F3275F">
        <w:tc>
          <w:tcPr>
            <w:tcW w:w="1999" w:type="dxa"/>
            <w:tcMar>
              <w:top w:w="55" w:type="dxa"/>
              <w:left w:w="65" w:type="dxa"/>
              <w:bottom w:w="55" w:type="dxa"/>
              <w:right w:w="65" w:type="dxa"/>
            </w:tcMar>
            <w:vAlign w:val="center"/>
          </w:tcPr>
          <w:p w14:paraId="48A6EB89" w14:textId="1F4E03E3" w:rsidR="00C01008" w:rsidRDefault="00000000">
            <w:r>
              <w:rPr>
                <w:sz w:val="16"/>
              </w:rPr>
              <w:t>DeiT</w:t>
            </w:r>
            <w:r w:rsidR="00F3275F">
              <w:rPr>
                <w:sz w:val="16"/>
              </w:rPr>
              <w:t>-</w:t>
            </w:r>
            <w:r>
              <w:rPr>
                <w:sz w:val="16"/>
              </w:rPr>
              <w:t>Small</w:t>
            </w:r>
          </w:p>
        </w:tc>
        <w:tc>
          <w:tcPr>
            <w:tcW w:w="1999" w:type="dxa"/>
            <w:tcMar>
              <w:top w:w="55" w:type="dxa"/>
              <w:left w:w="65" w:type="dxa"/>
              <w:bottom w:w="55" w:type="dxa"/>
              <w:right w:w="65" w:type="dxa"/>
            </w:tcMar>
            <w:vAlign w:val="center"/>
          </w:tcPr>
          <w:p w14:paraId="46A6C926" w14:textId="77777777" w:rsidR="00C01008" w:rsidRDefault="00000000">
            <w:pPr>
              <w:jc w:val="center"/>
            </w:pPr>
            <w:r>
              <w:rPr>
                <w:sz w:val="16"/>
              </w:rPr>
              <w:t>49</w:t>
            </w:r>
          </w:p>
        </w:tc>
        <w:tc>
          <w:tcPr>
            <w:tcW w:w="1999" w:type="dxa"/>
            <w:tcMar>
              <w:top w:w="55" w:type="dxa"/>
              <w:left w:w="65" w:type="dxa"/>
              <w:bottom w:w="55" w:type="dxa"/>
              <w:right w:w="65" w:type="dxa"/>
            </w:tcMar>
            <w:vAlign w:val="center"/>
          </w:tcPr>
          <w:p w14:paraId="077FA39B" w14:textId="77777777" w:rsidR="00C01008" w:rsidRDefault="00000000">
            <w:pPr>
              <w:jc w:val="center"/>
            </w:pPr>
            <w:r>
              <w:rPr>
                <w:sz w:val="16"/>
              </w:rPr>
              <w:t>755/1,000 (75.5%)</w:t>
            </w:r>
          </w:p>
        </w:tc>
        <w:tc>
          <w:tcPr>
            <w:tcW w:w="1999" w:type="dxa"/>
            <w:tcMar>
              <w:top w:w="55" w:type="dxa"/>
              <w:left w:w="65" w:type="dxa"/>
              <w:bottom w:w="55" w:type="dxa"/>
              <w:right w:w="65" w:type="dxa"/>
            </w:tcMar>
            <w:vAlign w:val="center"/>
          </w:tcPr>
          <w:p w14:paraId="46B41AE5" w14:textId="77777777" w:rsidR="00C01008" w:rsidRDefault="00000000">
            <w:pPr>
              <w:jc w:val="center"/>
            </w:pPr>
            <w:r>
              <w:rPr>
                <w:sz w:val="16"/>
              </w:rPr>
              <w:t>740/1,000 (74.0%; −1.5 pp)</w:t>
            </w:r>
          </w:p>
        </w:tc>
        <w:tc>
          <w:tcPr>
            <w:tcW w:w="1999" w:type="dxa"/>
            <w:tcMar>
              <w:top w:w="55" w:type="dxa"/>
              <w:left w:w="65" w:type="dxa"/>
              <w:bottom w:w="55" w:type="dxa"/>
              <w:right w:w="65" w:type="dxa"/>
            </w:tcMar>
            <w:vAlign w:val="center"/>
          </w:tcPr>
          <w:p w14:paraId="067895C4" w14:textId="77777777" w:rsidR="00C01008" w:rsidRDefault="00000000">
            <w:pPr>
              <w:jc w:val="center"/>
            </w:pPr>
            <w:r>
              <w:rPr>
                <w:sz w:val="16"/>
              </w:rPr>
              <w:t>740/1,000 (74.0%; −1.5 pp)</w:t>
            </w:r>
          </w:p>
        </w:tc>
      </w:tr>
      <w:tr w:rsidR="00C01008" w14:paraId="78A651B8" w14:textId="77777777" w:rsidTr="00F3275F">
        <w:tc>
          <w:tcPr>
            <w:tcW w:w="1999" w:type="dxa"/>
            <w:tcMar>
              <w:top w:w="55" w:type="dxa"/>
              <w:left w:w="65" w:type="dxa"/>
              <w:bottom w:w="55" w:type="dxa"/>
              <w:right w:w="65" w:type="dxa"/>
            </w:tcMar>
            <w:vAlign w:val="center"/>
          </w:tcPr>
          <w:p w14:paraId="7EC0A0C2" w14:textId="58347265" w:rsidR="00C01008" w:rsidRDefault="00000000">
            <w:r>
              <w:rPr>
                <w:sz w:val="16"/>
              </w:rPr>
              <w:t>DINOv2 ViT</w:t>
            </w:r>
            <w:r w:rsidR="00F3275F">
              <w:rPr>
                <w:sz w:val="16"/>
              </w:rPr>
              <w:t>-</w:t>
            </w:r>
            <w:r>
              <w:rPr>
                <w:sz w:val="16"/>
              </w:rPr>
              <w:t>S/14</w:t>
            </w:r>
          </w:p>
        </w:tc>
        <w:tc>
          <w:tcPr>
            <w:tcW w:w="1999" w:type="dxa"/>
            <w:tcMar>
              <w:top w:w="55" w:type="dxa"/>
              <w:left w:w="65" w:type="dxa"/>
              <w:bottom w:w="55" w:type="dxa"/>
              <w:right w:w="65" w:type="dxa"/>
            </w:tcMar>
            <w:vAlign w:val="center"/>
          </w:tcPr>
          <w:p w14:paraId="3EE42917" w14:textId="77777777" w:rsidR="00C01008" w:rsidRDefault="00000000">
            <w:pPr>
              <w:jc w:val="center"/>
            </w:pPr>
            <w:r>
              <w:rPr>
                <w:sz w:val="16"/>
              </w:rPr>
              <w:t>42</w:t>
            </w:r>
          </w:p>
        </w:tc>
        <w:tc>
          <w:tcPr>
            <w:tcW w:w="1999" w:type="dxa"/>
            <w:tcMar>
              <w:top w:w="55" w:type="dxa"/>
              <w:left w:w="65" w:type="dxa"/>
              <w:bottom w:w="55" w:type="dxa"/>
              <w:right w:w="65" w:type="dxa"/>
            </w:tcMar>
            <w:vAlign w:val="center"/>
          </w:tcPr>
          <w:p w14:paraId="52091F83" w14:textId="77777777" w:rsidR="00C01008" w:rsidRDefault="00000000">
            <w:pPr>
              <w:jc w:val="center"/>
            </w:pPr>
            <w:r>
              <w:rPr>
                <w:sz w:val="16"/>
              </w:rPr>
              <w:t>613/1,000 (61.3%)</w:t>
            </w:r>
          </w:p>
        </w:tc>
        <w:tc>
          <w:tcPr>
            <w:tcW w:w="1999" w:type="dxa"/>
            <w:tcMar>
              <w:top w:w="55" w:type="dxa"/>
              <w:left w:w="65" w:type="dxa"/>
              <w:bottom w:w="55" w:type="dxa"/>
              <w:right w:w="65" w:type="dxa"/>
            </w:tcMar>
            <w:vAlign w:val="center"/>
          </w:tcPr>
          <w:p w14:paraId="430ABB5B" w14:textId="77777777" w:rsidR="00C01008" w:rsidRDefault="00000000">
            <w:pPr>
              <w:jc w:val="center"/>
            </w:pPr>
            <w:r>
              <w:rPr>
                <w:sz w:val="16"/>
              </w:rPr>
              <w:t>568/1,000 (56.8%; −4.5 pp)</w:t>
            </w:r>
          </w:p>
        </w:tc>
        <w:tc>
          <w:tcPr>
            <w:tcW w:w="1999" w:type="dxa"/>
            <w:tcMar>
              <w:top w:w="55" w:type="dxa"/>
              <w:left w:w="65" w:type="dxa"/>
              <w:bottom w:w="55" w:type="dxa"/>
              <w:right w:w="65" w:type="dxa"/>
            </w:tcMar>
            <w:vAlign w:val="center"/>
          </w:tcPr>
          <w:p w14:paraId="0DC278F0" w14:textId="77777777" w:rsidR="00C01008" w:rsidRDefault="00000000">
            <w:pPr>
              <w:jc w:val="center"/>
            </w:pPr>
            <w:r>
              <w:rPr>
                <w:sz w:val="16"/>
              </w:rPr>
              <w:t>570/1,000 (57.0%; −4.3 pp)</w:t>
            </w:r>
          </w:p>
        </w:tc>
      </w:tr>
      <w:tr w:rsidR="00C01008" w14:paraId="2B04350C" w14:textId="77777777" w:rsidTr="00F3275F">
        <w:tc>
          <w:tcPr>
            <w:tcW w:w="1999" w:type="dxa"/>
            <w:tcBorders>
              <w:bottom w:val="single" w:sz="4" w:space="0" w:color="auto"/>
            </w:tcBorders>
            <w:tcMar>
              <w:top w:w="55" w:type="dxa"/>
              <w:left w:w="65" w:type="dxa"/>
              <w:bottom w:w="55" w:type="dxa"/>
              <w:right w:w="65" w:type="dxa"/>
            </w:tcMar>
            <w:vAlign w:val="center"/>
          </w:tcPr>
          <w:p w14:paraId="1F9A0B70" w14:textId="277AADFF" w:rsidR="00C01008" w:rsidRDefault="00000000">
            <w:r>
              <w:rPr>
                <w:sz w:val="16"/>
              </w:rPr>
              <w:t>ViT</w:t>
            </w:r>
            <w:r w:rsidR="00F3275F">
              <w:rPr>
                <w:sz w:val="16"/>
              </w:rPr>
              <w:t>-</w:t>
            </w:r>
            <w:r>
              <w:rPr>
                <w:sz w:val="16"/>
              </w:rPr>
              <w:t>B/16 AugReg</w:t>
            </w:r>
          </w:p>
        </w:tc>
        <w:tc>
          <w:tcPr>
            <w:tcW w:w="1999" w:type="dxa"/>
            <w:tcBorders>
              <w:bottom w:val="single" w:sz="4" w:space="0" w:color="auto"/>
            </w:tcBorders>
            <w:tcMar>
              <w:top w:w="55" w:type="dxa"/>
              <w:left w:w="65" w:type="dxa"/>
              <w:bottom w:w="55" w:type="dxa"/>
              <w:right w:w="65" w:type="dxa"/>
            </w:tcMar>
            <w:vAlign w:val="center"/>
          </w:tcPr>
          <w:p w14:paraId="73B58A72" w14:textId="77777777" w:rsidR="00C01008" w:rsidRDefault="00000000">
            <w:pPr>
              <w:jc w:val="center"/>
            </w:pPr>
            <w:r>
              <w:rPr>
                <w:sz w:val="16"/>
              </w:rPr>
              <w:t>49</w:t>
            </w:r>
          </w:p>
        </w:tc>
        <w:tc>
          <w:tcPr>
            <w:tcW w:w="1999" w:type="dxa"/>
            <w:tcBorders>
              <w:bottom w:val="single" w:sz="4" w:space="0" w:color="auto"/>
            </w:tcBorders>
            <w:tcMar>
              <w:top w:w="55" w:type="dxa"/>
              <w:left w:w="65" w:type="dxa"/>
              <w:bottom w:w="55" w:type="dxa"/>
              <w:right w:w="65" w:type="dxa"/>
            </w:tcMar>
            <w:vAlign w:val="center"/>
          </w:tcPr>
          <w:p w14:paraId="168D318D" w14:textId="77777777" w:rsidR="00C01008" w:rsidRDefault="00000000">
            <w:pPr>
              <w:jc w:val="center"/>
            </w:pPr>
            <w:r>
              <w:rPr>
                <w:sz w:val="16"/>
              </w:rPr>
              <w:t>712/1,000 (71.2%)</w:t>
            </w:r>
          </w:p>
        </w:tc>
        <w:tc>
          <w:tcPr>
            <w:tcW w:w="1999" w:type="dxa"/>
            <w:tcBorders>
              <w:bottom w:val="single" w:sz="4" w:space="0" w:color="auto"/>
            </w:tcBorders>
            <w:tcMar>
              <w:top w:w="55" w:type="dxa"/>
              <w:left w:w="65" w:type="dxa"/>
              <w:bottom w:w="55" w:type="dxa"/>
              <w:right w:w="65" w:type="dxa"/>
            </w:tcMar>
            <w:vAlign w:val="center"/>
          </w:tcPr>
          <w:p w14:paraId="41B2A4B2" w14:textId="77777777" w:rsidR="00C01008" w:rsidRDefault="00000000">
            <w:pPr>
              <w:jc w:val="center"/>
            </w:pPr>
            <w:r>
              <w:rPr>
                <w:sz w:val="16"/>
              </w:rPr>
              <w:t>719/1,000 (71.9%; +0.7 pp)</w:t>
            </w:r>
          </w:p>
        </w:tc>
        <w:tc>
          <w:tcPr>
            <w:tcW w:w="1999" w:type="dxa"/>
            <w:tcBorders>
              <w:bottom w:val="single" w:sz="4" w:space="0" w:color="auto"/>
            </w:tcBorders>
            <w:tcMar>
              <w:top w:w="55" w:type="dxa"/>
              <w:left w:w="65" w:type="dxa"/>
              <w:bottom w:w="55" w:type="dxa"/>
              <w:right w:w="65" w:type="dxa"/>
            </w:tcMar>
            <w:vAlign w:val="center"/>
          </w:tcPr>
          <w:p w14:paraId="7D651C86" w14:textId="77777777" w:rsidR="00C01008" w:rsidRDefault="00000000">
            <w:pPr>
              <w:jc w:val="center"/>
            </w:pPr>
            <w:r>
              <w:rPr>
                <w:sz w:val="16"/>
              </w:rPr>
              <w:t>716/1,000 (71.6%; +0.4 pp)</w:t>
            </w:r>
          </w:p>
        </w:tc>
      </w:tr>
    </w:tbl>
    <w:p w14:paraId="5B73C448" w14:textId="77777777" w:rsidR="00C01008" w:rsidRDefault="00C01008">
      <w:pPr>
        <w:spacing w:after="20"/>
      </w:pPr>
    </w:p>
    <w:p w14:paraId="033DDD78" w14:textId="361141CE" w:rsidR="00C01008" w:rsidRDefault="00000000">
      <w:pPr>
        <w:keepLines/>
        <w:spacing w:after="80"/>
        <w:jc w:val="center"/>
      </w:pPr>
      <w:r>
        <w:rPr>
          <w:i/>
          <w:color w:val="4C5963"/>
          <w:sz w:val="17"/>
        </w:rPr>
        <w:lastRenderedPageBreak/>
        <w:t>Table III. Correct predictions out of 1,000 held</w:t>
      </w:r>
      <w:r w:rsidR="00F3275F">
        <w:rPr>
          <w:i/>
          <w:color w:val="4C5963"/>
          <w:sz w:val="17"/>
        </w:rPr>
        <w:t>-</w:t>
      </w:r>
      <w:r>
        <w:rPr>
          <w:i/>
          <w:color w:val="4C5963"/>
          <w:sz w:val="17"/>
        </w:rPr>
        <w:t>out images and Top</w:t>
      </w:r>
      <w:r w:rsidR="00F3275F">
        <w:rPr>
          <w:i/>
          <w:color w:val="4C5963"/>
          <w:sz w:val="17"/>
        </w:rPr>
        <w:t>-</w:t>
      </w:r>
      <w:r>
        <w:rPr>
          <w:i/>
          <w:color w:val="4C5963"/>
          <w:sz w:val="17"/>
        </w:rPr>
        <w:t>1 accuracy for the separate real classifier</w:t>
      </w:r>
      <w:r w:rsidR="00F3275F">
        <w:rPr>
          <w:i/>
          <w:color w:val="4C5963"/>
          <w:sz w:val="17"/>
        </w:rPr>
        <w:t>-</w:t>
      </w:r>
      <w:r>
        <w:rPr>
          <w:i/>
          <w:color w:val="4C5963"/>
          <w:sz w:val="17"/>
        </w:rPr>
        <w:t>carrier benchmark. Parenthetical differences are percentage</w:t>
      </w:r>
      <w:r w:rsidR="00F3275F">
        <w:rPr>
          <w:i/>
          <w:color w:val="4C5963"/>
          <w:sz w:val="17"/>
        </w:rPr>
        <w:t>-</w:t>
      </w:r>
      <w:r>
        <w:rPr>
          <w:i/>
          <w:color w:val="4C5963"/>
          <w:sz w:val="17"/>
        </w:rPr>
        <w:t>point (pp) changes from Hybrid Group Mean at the same architecture and budget. This benchmark is distinct from the N=100 operator</w:t>
      </w:r>
      <w:r w:rsidR="00F3275F">
        <w:rPr>
          <w:i/>
          <w:color w:val="4C5963"/>
          <w:sz w:val="17"/>
        </w:rPr>
        <w:t>-</w:t>
      </w:r>
      <w:r>
        <w:rPr>
          <w:i/>
          <w:color w:val="4C5963"/>
          <w:sz w:val="17"/>
        </w:rPr>
        <w:t>space study.</w:t>
      </w:r>
    </w:p>
    <w:p w14:paraId="7765F9DD" w14:textId="2BEEB522" w:rsidR="00C01008" w:rsidRDefault="00000000" w:rsidP="00F3275F">
      <w:pPr>
        <w:spacing w:after="100" w:line="259" w:lineRule="auto"/>
        <w:jc w:val="both"/>
      </w:pPr>
      <w:r>
        <w:t>On held-out classification, Compact Feature-PCA does not consistently improve on Hybrid Group Mean: both DeiT-Small budgets and the aggressive DINOv2 budget are at or below it, while ViT-B/16 AugReg has a limited positive case. Fig. S1 reports measured full-model throughput; q=16 adds a narrow ViT-B/16 AugReg point at some batch sizes, without establishing a general deployment speedup.</w:t>
      </w:r>
    </w:p>
    <w:p w14:paraId="1E2F991D" w14:textId="77777777" w:rsidR="00C01008" w:rsidRDefault="00000000">
      <w:pPr>
        <w:keepNext/>
        <w:keepLines/>
        <w:spacing w:after="20"/>
        <w:jc w:val="center"/>
      </w:pPr>
      <w:r>
        <w:rPr>
          <w:noProof/>
        </w:rPr>
        <w:drawing>
          <wp:inline distT="0" distB="0" distL="0" distR="0" wp14:anchorId="4EF8B200" wp14:editId="35D19513">
            <wp:extent cx="6172200" cy="38976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_real_carrier_boundary.png"/>
                    <pic:cNvPicPr/>
                  </pic:nvPicPr>
                  <pic:blipFill>
                    <a:blip r:embed="rId13"/>
                    <a:stretch>
                      <a:fillRect/>
                    </a:stretch>
                  </pic:blipFill>
                  <pic:spPr>
                    <a:xfrm>
                      <a:off x="0" y="0"/>
                      <a:ext cx="6172200" cy="3897608"/>
                    </a:xfrm>
                    <a:prstGeom prst="rect">
                      <a:avLst/>
                    </a:prstGeom>
                  </pic:spPr>
                </pic:pic>
              </a:graphicData>
            </a:graphic>
          </wp:inline>
        </w:drawing>
      </w:r>
    </w:p>
    <w:p w14:paraId="2311A176" w14:textId="596ED37A" w:rsidR="00C01008" w:rsidRDefault="00000000">
      <w:pPr>
        <w:keepLines/>
        <w:spacing w:after="80"/>
        <w:jc w:val="center"/>
      </w:pPr>
      <w:r>
        <w:rPr>
          <w:i/>
          <w:color w:val="4C5963"/>
          <w:sz w:val="17"/>
        </w:rPr>
        <w:t>Fig. S1. Held-out classifier-carrier accuracy</w:t>
      </w:r>
      <w:r w:rsidR="00F3275F">
        <w:rPr>
          <w:i/>
          <w:color w:val="4C5963"/>
          <w:sz w:val="17"/>
        </w:rPr>
        <w:t/>
      </w:r>
      <w:r>
        <w:rPr>
          <w:i/>
          <w:color w:val="4C5963"/>
          <w:sz w:val="17"/>
        </w:rPr>
        <w:t xml:space="preserve"> and full</w:t>
      </w:r>
      <w:r w:rsidR="00F3275F">
        <w:rPr>
          <w:i/>
          <w:color w:val="4C5963"/>
          <w:sz w:val="17"/>
        </w:rPr>
        <w:t>-</w:t>
      </w:r>
      <w:r>
        <w:rPr>
          <w:i/>
          <w:color w:val="4C5963"/>
          <w:sz w:val="17"/>
        </w:rPr>
        <w:t>model throughput at batch size 64; q=16 has a narrow ViT</w:t>
      </w:r>
      <w:r w:rsidR="00F3275F">
        <w:rPr>
          <w:i/>
          <w:color w:val="4C5963"/>
          <w:sz w:val="17"/>
        </w:rPr>
        <w:t>-</w:t>
      </w:r>
      <w:r>
        <w:rPr>
          <w:i/>
          <w:color w:val="4C5963"/>
          <w:sz w:val="17"/>
        </w:rPr>
        <w:t>B/16 AugReg frontier contribution.</w:t>
      </w:r>
    </w:p>
    <w:p w14:paraId="766C00FC" w14:textId="661405EB" w:rsidR="00C01008" w:rsidRDefault="00000000" w:rsidP="00F3275F">
      <w:pPr>
        <w:spacing w:after="100" w:line="259" w:lineRule="auto"/>
        <w:jc w:val="both"/>
      </w:pPr>
      <w:r>
        <w:t>Selective risk gating is also bounded. Its historical operator</w:t>
      </w:r>
      <w:r w:rsidR="00F3275F">
        <w:t>-</w:t>
      </w:r>
      <w:r>
        <w:t>space area under the receiver operating characteristic curve (AUROC) is 0.784 and is exploratory; the calibration</w:t>
      </w:r>
      <w:r w:rsidR="00F3275F">
        <w:t>-</w:t>
      </w:r>
      <w:r>
        <w:t>frozen real classifier gate does not consistently improve accuracy (DeiT</w:t>
      </w:r>
      <w:r w:rsidR="00F3275F">
        <w:t>-</w:t>
      </w:r>
      <w:r>
        <w:t>Small budget 98: 75.8% versus Hybrid Group Mean 76.4%; DINOv2 budget 42: 58.5% versus Hybrid Group Mean 61.3%). In the measured accuracy</w:t>
      </w:r>
      <w:r w:rsidR="00F3275F">
        <w:t>-</w:t>
      </w:r>
      <w:r>
        <w:t>throughput frontier, Clean is non</w:t>
      </w:r>
      <w:r w:rsidR="00F3275F">
        <w:t>-</w:t>
      </w:r>
      <w:r>
        <w:t>dominated in several regimes, Group Mean is a practical batched baseline, and static q=16 adds a narrow ViT</w:t>
      </w:r>
      <w:r w:rsidR="00F3275F">
        <w:t>-</w:t>
      </w:r>
      <w:r>
        <w:t>B/16 AugReg point at some batch sizes. q=32 and selective q=16 do not establish a general frontier improvement. Full</w:t>
      </w:r>
      <w:r w:rsidR="00F3275F">
        <w:t>-</w:t>
      </w:r>
      <w:r>
        <w:t>call measurements are not isolated operator overhead.</w:t>
      </w:r>
    </w:p>
    <w:p w14:paraId="286EAA93" w14:textId="6FF5EDA6" w:rsidR="00C01008" w:rsidRDefault="00000000" w:rsidP="00F3275F">
      <w:pPr>
        <w:spacing w:after="100" w:line="259" w:lineRule="auto"/>
        <w:jc w:val="both"/>
      </w:pPr>
      <w:r>
        <w:t>Beyond the static Feature-PCA results, exploratory carriers show that single-token attempts fail; scalar layer prediction and out-of-sample dynamic-α prediction do not generalize; a shared linear envelope with K≤64 captures little of the tested operator subspace; and dynamic-operator prediction is costly. Feature-PCA can reduce linearized operator error without reliably improving Top-1, while selective gating does not yield a general deployment frontier.</w:t>
      </w:r>
    </w:p>
    <w:p w14:paraId="389299F3" w14:textId="77777777" w:rsidR="00C01008" w:rsidRDefault="00000000">
      <w:pPr>
        <w:pStyle w:val="Heading1"/>
      </w:pPr>
      <w:r>
        <w:rPr>
          <w:rFonts w:ascii="Times New Roman" w:hAnsi="Times New Roman"/>
        </w:rPr>
        <w:t>8. Limitations</w:t>
      </w:r>
    </w:p>
    <w:p w14:paraId="6B28E33B" w14:textId="6D767EB6" w:rsidR="00C01008" w:rsidRDefault="00000000" w:rsidP="00F3275F">
      <w:pPr>
        <w:spacing w:after="100" w:line="259" w:lineRule="auto"/>
        <w:jc w:val="both"/>
      </w:pPr>
      <w:r>
        <w:t>The mechanism studies are finite: N=100 images for the attention causal audit and functional</w:t>
      </w:r>
      <w:r w:rsidR="00F3275F">
        <w:t>-</w:t>
      </w:r>
      <w:r>
        <w:t>geometry pilot, N=100 images per model for joint</w:t>
      </w:r>
      <w:r w:rsidR="00F3275F">
        <w:t>-</w:t>
      </w:r>
      <w:r>
        <w:t>stream geometry, and N=100 held</w:t>
      </w:r>
      <w:r w:rsidR="00F3275F">
        <w:t>-</w:t>
      </w:r>
      <w:r>
        <w:t>out perturbations for multi</w:t>
      </w:r>
      <w:r w:rsidR="00F3275F">
        <w:t>-</w:t>
      </w:r>
      <w:r>
        <w:t>block operator prediction. Their conclusions should not be generalized beyond the tested architectures, layers, perturbations, or readouts. Confirmatory results cover four pretrained vision</w:t>
      </w:r>
      <w:r w:rsidR="00F3275F">
        <w:t>-</w:t>
      </w:r>
      <w:r>
        <w:t>transformer families and a specific ImageNet validation subset of N=1,000 held</w:t>
      </w:r>
      <w:r w:rsidR="00F3275F">
        <w:t>-</w:t>
      </w:r>
      <w:r>
        <w:t>out images per architecture; broader model and task coverage remains untested. The Jacobian objective is a local linearization, and the full</w:t>
      </w:r>
      <w:r w:rsidR="00F3275F">
        <w:t>-</w:t>
      </w:r>
      <w:r>
        <w:t>J oracle requires per</w:t>
      </w:r>
      <w:r w:rsidR="00F3275F">
        <w:t>-</w:t>
      </w:r>
      <w:r>
        <w:t>image downstream</w:t>
      </w:r>
      <w:r w:rsidR="00F3275F">
        <w:t>-</w:t>
      </w:r>
      <w:r>
        <w:t>Jacobian construction. Real carrier classification shows that reducing linearized error is not sufficient for a deployment gain; measured full</w:t>
      </w:r>
      <w:r w:rsidR="00F3275F">
        <w:t>-</w:t>
      </w:r>
      <w:r>
        <w:t>call runtime is also specific to the tested hardware, batch sizes, and implementations and does not isolate operator overhead.</w:t>
      </w:r>
    </w:p>
    <w:p w14:paraId="1AA2341D" w14:textId="77777777" w:rsidR="00C01008" w:rsidRDefault="00000000">
      <w:pPr>
        <w:pStyle w:val="Heading1"/>
      </w:pPr>
      <w:r>
        <w:rPr>
          <w:rFonts w:ascii="Times New Roman" w:hAnsi="Times New Roman"/>
        </w:rPr>
        <w:lastRenderedPageBreak/>
        <w:t>9. Conclusion</w:t>
      </w:r>
    </w:p>
    <w:p w14:paraId="5BB602BE" w14:textId="29961277" w:rsidR="00C01008" w:rsidRDefault="00000000" w:rsidP="00F3275F">
      <w:pPr>
        <w:spacing w:after="100" w:line="259" w:lineRule="auto"/>
        <w:jc w:val="both"/>
      </w:pPr>
      <w:r>
        <w:t>Across the tested ViTs, late-layer patch content is conditionally replaceable under feature-geometry and token-diversity constraints. The N=100 mechanism audits connect this behavior to anisotropic transmission, coherent Value-path accumulation and cancellation, and depth-wise expansion of the threshold-defined near-null subspace in the margin-gradient metric. On N=100 held-out perturbations, the end-to-end pre-classifier readout Jacobian predicts measured logit damage more closely than the single-block operator. In the N=1,000-per-architecture confirmatory benchmark, operator-aware compression improves on the strongest pruning baseline by 4.2–12.0 percentage points at the most aggressive tested budgets and shifts the accuracy-token frontier in three of four architectures, while ToMe remains competitive; rank-16/32 results vary by architecture and budget. The per-image Jacobian is an offline oracle, and carrier corrections and throughput results do not establish a general deployment gain. Together, these findings connect fixed-slot patch-content fungibility to downstream functional geometry and attention-mediated cancellation, and show how this structure can guide operator-aware compression.</w:t>
      </w:r>
    </w:p>
    <w:p w14:paraId="7094146D" w14:textId="77777777" w:rsidR="00C01008" w:rsidRDefault="00000000">
      <w:pPr>
        <w:pStyle w:val="Heading1"/>
      </w:pPr>
      <w:r>
        <w:rPr>
          <w:rFonts w:ascii="Times New Roman" w:hAnsi="Times New Roman"/>
        </w:rPr>
        <w:t>Reproducibility and Evidence</w:t>
      </w:r>
    </w:p>
    <w:p w14:paraId="7BE09EE4" w14:textId="65481E2D" w:rsidR="00C01008" w:rsidRDefault="00000000">
      <w:pPr>
        <w:spacing w:after="100" w:line="259" w:lineRule="auto"/>
      </w:pPr>
      <w:r>
        <w:t>Code and audited data supporting the confirmatory compression and real classifier</w:t>
      </w:r>
      <w:r w:rsidR="00F3275F">
        <w:t>-</w:t>
      </w:r>
      <w:r>
        <w:t>carrier benchmarks are available in the [Patch</w:t>
      </w:r>
      <w:r w:rsidR="00F3275F">
        <w:t>-</w:t>
      </w:r>
      <w:r>
        <w:t>Content</w:t>
      </w:r>
      <w:r w:rsidR="00F3275F">
        <w:t>-</w:t>
      </w:r>
      <w:r>
        <w:t>Fungibility repository](https://github.com/nhatminh</w:t>
      </w:r>
      <w:r w:rsidR="00F3275F">
        <w:t>-</w:t>
      </w:r>
      <w:r>
        <w:t>115/Patch</w:t>
      </w:r>
      <w:r w:rsidR="00F3275F">
        <w:t>-</w:t>
      </w:r>
      <w:r>
        <w:t>Content</w:t>
      </w:r>
      <w:r w:rsidR="00F3275F">
        <w:t>-</w:t>
      </w:r>
      <w:r>
        <w:t>Fungibility).</w:t>
      </w:r>
    </w:p>
    <w:p w14:paraId="733C966C" w14:textId="77777777" w:rsidR="00C01008" w:rsidRDefault="00000000">
      <w:pPr>
        <w:pStyle w:val="Heading1"/>
      </w:pPr>
      <w:r>
        <w:t>References</w:t>
      </w:r>
    </w:p>
    <w:p w14:paraId="7663A857" w14:textId="002E819D" w:rsidR="00C01008"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w:t>
      </w:r>
      <w:r w:rsidR="00F3275F">
        <w:rPr>
          <w:color w:val="26343D"/>
          <w:sz w:val="17"/>
        </w:rPr>
        <w:t>-</w:t>
      </w:r>
      <w:r>
        <w:rPr>
          <w:color w:val="26343D"/>
          <w:sz w:val="17"/>
        </w:rPr>
        <w:t>Abstract.html.</w:t>
      </w:r>
    </w:p>
    <w:p w14:paraId="683DFC3A" w14:textId="77777777" w:rsidR="00C01008"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2D022931" w14:textId="0F415E4E" w:rsidR="00C01008" w:rsidRDefault="00000000">
      <w:pPr>
        <w:spacing w:after="80" w:line="240" w:lineRule="auto"/>
        <w:ind w:left="403" w:hanging="403"/>
      </w:pPr>
      <w:r>
        <w:rPr>
          <w:color w:val="26343D"/>
          <w:sz w:val="17"/>
        </w:rPr>
        <w:t>[3] H. Touvron, M. Cord, M. Douze, F. Massa, A. Sablayrolles, H. Jégou, “Training data</w:t>
      </w:r>
      <w:r w:rsidR="00F3275F">
        <w:rPr>
          <w:color w:val="26343D"/>
          <w:sz w:val="17"/>
        </w:rPr>
        <w:t>-</w:t>
      </w:r>
      <w:r>
        <w:rPr>
          <w:color w:val="26343D"/>
          <w:sz w:val="17"/>
        </w:rPr>
        <w:t>efficient image transformers &amp; distillation through attention,” in Proc. 38th Int. Conf. Mach. Learn., vol. 139, pp. 10347–10357, 2021. Available: https://proceedings.mlr.press/v139/touvron21a.html.</w:t>
      </w:r>
    </w:p>
    <w:p w14:paraId="46F31AC3" w14:textId="6EA05F37" w:rsidR="00C01008" w:rsidRDefault="00000000">
      <w:pPr>
        <w:spacing w:after="80" w:line="240" w:lineRule="auto"/>
        <w:ind w:left="403" w:hanging="403"/>
      </w:pPr>
      <w:r>
        <w:rPr>
          <w:color w:val="26343D"/>
          <w:sz w:val="17"/>
        </w:rPr>
        <w:t>[4] M. Caron, H. Touvron, I. Misra, H. Jégou, J. Mairal, P. Bojanowski, et al., “Emerging Properties in Self</w:t>
      </w:r>
      <w:r w:rsidR="00F3275F">
        <w:rPr>
          <w:color w:val="26343D"/>
          <w:sz w:val="17"/>
        </w:rPr>
        <w:t>-</w:t>
      </w:r>
      <w:r>
        <w:rPr>
          <w:color w:val="26343D"/>
          <w:sz w:val="17"/>
        </w:rPr>
        <w:t>Supervised Vision Transformers,” in Proc. IEEE/CVF Int. Conf. Comput. Vis., pp. 9650–9660, 2021. DOI: 10.1109/ICCV48922.2021.00951.</w:t>
      </w:r>
    </w:p>
    <w:p w14:paraId="77567C22" w14:textId="77777777" w:rsidR="00C01008"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BE527A0" w14:textId="77777777" w:rsidR="00C01008"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312E07F5" w14:textId="77777777" w:rsidR="00C01008"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4DF40BE2" w14:textId="77777777" w:rsidR="00C01008"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2678BAB0" w14:textId="77777777" w:rsidR="00C01008"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009EC6C3" w14:textId="77777777" w:rsidR="00C01008"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663BCBA1" w14:textId="5FA8E0F0" w:rsidR="00C01008" w:rsidRDefault="00000000">
      <w:pPr>
        <w:spacing w:after="80" w:line="240" w:lineRule="auto"/>
        <w:ind w:left="403" w:hanging="403"/>
      </w:pPr>
      <w:r>
        <w:rPr>
          <w:color w:val="26343D"/>
          <w:sz w:val="17"/>
        </w:rPr>
        <w:t>[11] Y. Rao, W. Zhao, B. Liu, J. Lu, J. Zhou, C.</w:t>
      </w:r>
      <w:r w:rsidR="00F3275F">
        <w:rPr>
          <w:color w:val="26343D"/>
          <w:sz w:val="17"/>
        </w:rPr>
        <w:t>-</w:t>
      </w:r>
      <w:r>
        <w:rPr>
          <w:color w:val="26343D"/>
          <w:sz w:val="17"/>
        </w:rPr>
        <w:t>J. Hsieh, “DynamicViT: Efficient Vision Transformers with Dynamic Token Sparsification,” in Advances in Neural Information Processing Systems, vol. 34, pp. 13937–13949, 2021. Available: https://proceedings.neurips.cc/paper/2021/hash/747d3443e319a22747fbb873e8b2f9f2</w:t>
      </w:r>
      <w:r w:rsidR="00F3275F">
        <w:rPr>
          <w:color w:val="26343D"/>
          <w:sz w:val="17"/>
        </w:rPr>
        <w:t>-</w:t>
      </w:r>
      <w:r>
        <w:rPr>
          <w:color w:val="26343D"/>
          <w:sz w:val="17"/>
        </w:rPr>
        <w:t>Abstract.html.</w:t>
      </w:r>
    </w:p>
    <w:p w14:paraId="1EFFC073" w14:textId="77777777" w:rsidR="00C01008"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5486BC5D" w14:textId="2534BACB" w:rsidR="00C01008" w:rsidRDefault="00000000">
      <w:pPr>
        <w:spacing w:after="80" w:line="240" w:lineRule="auto"/>
        <w:ind w:left="403" w:hanging="403"/>
      </w:pPr>
      <w:r>
        <w:rPr>
          <w:color w:val="26343D"/>
          <w:sz w:val="17"/>
        </w:rPr>
        <w:t>[13] D. Bolya, C.</w:t>
      </w:r>
      <w:r w:rsidR="00F3275F">
        <w:rPr>
          <w:color w:val="26343D"/>
          <w:sz w:val="17"/>
        </w:rPr>
        <w:t>-</w:t>
      </w:r>
      <w:r>
        <w:rPr>
          <w:color w:val="26343D"/>
          <w:sz w:val="17"/>
        </w:rPr>
        <w:t>Y. Fu, X. Dai, P. Zhang, C. Feichtenhofer, J. Hoffman, “Token Merging: Your ViT But Faster,” in Proc. Int. Conf. Learn. Represent., 2023. Available: https://openreview.net/forum?id=JroZRaRw7Eu.</w:t>
      </w:r>
    </w:p>
    <w:p w14:paraId="4FF52BA7" w14:textId="4C11525C" w:rsidR="00C01008" w:rsidRDefault="00000000">
      <w:pPr>
        <w:spacing w:after="80" w:line="240" w:lineRule="auto"/>
        <w:ind w:left="403" w:hanging="403"/>
      </w:pPr>
      <w:r>
        <w:rPr>
          <w:color w:val="26343D"/>
          <w:sz w:val="17"/>
        </w:rPr>
        <w:t>[14] H. Yin, A. Vahdat, J. M. Alvarez, A. Mallya, J. Kautz, P. Molchanov, “A</w:t>
      </w:r>
      <w:r w:rsidR="00F3275F">
        <w:rPr>
          <w:color w:val="26343D"/>
          <w:sz w:val="17"/>
        </w:rPr>
        <w:t>-</w:t>
      </w:r>
      <w:r>
        <w:rPr>
          <w:color w:val="26343D"/>
          <w:sz w:val="17"/>
        </w:rPr>
        <w:t>ViT: Adaptive Tokens for Efficient Vision Transformer,” in Proc. IEEE/CVF Conf. Comput. Vis. Pattern Recognit., pp. 10809–10818, 2022. DOI: 10.1109/CVPR52688.2022.01054.</w:t>
      </w:r>
    </w:p>
    <w:p w14:paraId="0B9886C7" w14:textId="5354681F" w:rsidR="00C01008" w:rsidRDefault="00000000">
      <w:pPr>
        <w:spacing w:after="80" w:line="240" w:lineRule="auto"/>
        <w:ind w:left="403" w:hanging="403"/>
      </w:pPr>
      <w:r>
        <w:rPr>
          <w:color w:val="26343D"/>
          <w:sz w:val="17"/>
        </w:rPr>
        <w:t>[15] L. Meng, H. Li, B.</w:t>
      </w:r>
      <w:r w:rsidR="00F3275F">
        <w:rPr>
          <w:color w:val="26343D"/>
          <w:sz w:val="17"/>
        </w:rPr>
        <w:t>-</w:t>
      </w:r>
      <w:r>
        <w:rPr>
          <w:color w:val="26343D"/>
          <w:sz w:val="17"/>
        </w:rPr>
        <w:t>C. Chen, S. Lan, Z. Wu, Y.</w:t>
      </w:r>
      <w:r w:rsidR="00F3275F">
        <w:rPr>
          <w:color w:val="26343D"/>
          <w:sz w:val="17"/>
        </w:rPr>
        <w:t>-</w:t>
      </w:r>
      <w:r>
        <w:rPr>
          <w:color w:val="26343D"/>
          <w:sz w:val="17"/>
        </w:rPr>
        <w:t>G. Jiang, et al., “AdaViT: Adaptive Vision Transformers for Efficient Image Recognition,” in Proc. IEEE/CVF Conf. Comput. Vis. Pattern Recognit., pp. 12309–12318, 2022. DOI: 10.1109/CVPR52688.2022.01199.</w:t>
      </w:r>
    </w:p>
    <w:p w14:paraId="7577435A" w14:textId="2DEBE222" w:rsidR="00C01008" w:rsidRDefault="00000000">
      <w:pPr>
        <w:spacing w:after="80" w:line="240" w:lineRule="auto"/>
        <w:ind w:left="403" w:hanging="403"/>
      </w:pPr>
      <w:r>
        <w:rPr>
          <w:color w:val="26343D"/>
          <w:sz w:val="17"/>
        </w:rPr>
        <w:t>[16] M. S. Ryoo, A. J. Piergiovanni, A. Arnab, M. Dehghani, A. Angelova, “TokenLearner: Adaptive Space</w:t>
      </w:r>
      <w:r w:rsidR="00F3275F">
        <w:rPr>
          <w:color w:val="26343D"/>
          <w:sz w:val="17"/>
        </w:rPr>
        <w:t>-</w:t>
      </w:r>
      <w:r>
        <w:rPr>
          <w:color w:val="26343D"/>
          <w:sz w:val="17"/>
        </w:rPr>
        <w:t>Time Tokenization for Videos,” in Advances in Neural Information Processing Systems, vol. 34, pp. 12786–12797, 2021. Available: https://proceedings.neurips.cc/paper/2021/hash/6a30e32e56fce5cf381895dfe6ca7b6f</w:t>
      </w:r>
      <w:r w:rsidR="00F3275F">
        <w:rPr>
          <w:color w:val="26343D"/>
          <w:sz w:val="17"/>
        </w:rPr>
        <w:t>-</w:t>
      </w:r>
      <w:r>
        <w:rPr>
          <w:color w:val="26343D"/>
          <w:sz w:val="17"/>
        </w:rPr>
        <w:t>Abstract.html.</w:t>
      </w:r>
    </w:p>
    <w:p w14:paraId="7B5FC356" w14:textId="69BF260F" w:rsidR="00C01008" w:rsidRDefault="00000000">
      <w:pPr>
        <w:spacing w:after="80" w:line="240" w:lineRule="auto"/>
        <w:ind w:left="403" w:hanging="403"/>
      </w:pPr>
      <w:r>
        <w:rPr>
          <w:color w:val="26343D"/>
          <w:sz w:val="17"/>
        </w:rPr>
        <w:lastRenderedPageBreak/>
        <w:t>[17] D. Marin, J.</w:t>
      </w:r>
      <w:r w:rsidR="00F3275F">
        <w:rPr>
          <w:color w:val="26343D"/>
          <w:sz w:val="17"/>
        </w:rPr>
        <w:t>-</w:t>
      </w:r>
      <w:r>
        <w:rPr>
          <w:color w:val="26343D"/>
          <w:sz w:val="17"/>
        </w:rPr>
        <w:t>H. R. Chang, A. Ranjan, A. Prabhu, M. Rastegari, O. Tuzel, “Token Pooling in Vision Transformers for Image Classification,” in Proc. IEEE/CVF Winter Conf. Appl. Comput. Vis., pp. 12–21, 2023. DOI: 10.1109/WACV56688.2023.00010.</w:t>
      </w:r>
    </w:p>
    <w:p w14:paraId="23D5ACF6" w14:textId="12B882B1" w:rsidR="00C01008"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0_24.</w:t>
      </w:r>
    </w:p>
    <w:p w14:paraId="57591070" w14:textId="07B63C39" w:rsidR="00C01008" w:rsidRDefault="00000000">
      <w:pPr>
        <w:spacing w:after="80" w:line="240" w:lineRule="auto"/>
        <w:ind w:left="403" w:hanging="403"/>
      </w:pPr>
      <w:r>
        <w:rPr>
          <w:color w:val="26343D"/>
          <w:sz w:val="17"/>
        </w:rPr>
        <w:t>[19] B. Pan, R. Panda, Y. Jiang, Z. Wang, R. Feris, A. Oliva, “IA</w:t>
      </w:r>
      <w:r w:rsidR="00F3275F">
        <w:rPr>
          <w:color w:val="26343D"/>
          <w:sz w:val="17"/>
        </w:rPr>
        <w:t>-</w:t>
      </w:r>
      <w:r>
        <w:rPr>
          <w:color w:val="26343D"/>
          <w:sz w:val="17"/>
        </w:rPr>
        <w:t>RED²: Interpretability</w:t>
      </w:r>
      <w:r w:rsidR="00F3275F">
        <w:rPr>
          <w:color w:val="26343D"/>
          <w:sz w:val="17"/>
        </w:rPr>
        <w:t>-</w:t>
      </w:r>
      <w:r>
        <w:rPr>
          <w:color w:val="26343D"/>
          <w:sz w:val="17"/>
        </w:rPr>
        <w:t>Aware Redundancy Reduction for Vision Transformers,” in Advances in Neural Information Processing Systems, vol. 34, 2021. Available: https://proceedings.neurips.cc/paper/2021/hash/d072677d210ac4c03ba046120f0802ec</w:t>
      </w:r>
      <w:r w:rsidR="00F3275F">
        <w:rPr>
          <w:color w:val="26343D"/>
          <w:sz w:val="17"/>
        </w:rPr>
        <w:t>-</w:t>
      </w:r>
      <w:r>
        <w:rPr>
          <w:color w:val="26343D"/>
          <w:sz w:val="17"/>
        </w:rPr>
        <w:t>Abstract.html.</w:t>
      </w:r>
    </w:p>
    <w:p w14:paraId="0ED885F0" w14:textId="77777777" w:rsidR="00C01008"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2396F539" w14:textId="74078E43" w:rsidR="00C01008" w:rsidRDefault="00000000">
      <w:pPr>
        <w:spacing w:after="80" w:line="240" w:lineRule="auto"/>
        <w:ind w:left="403" w:hanging="403"/>
      </w:pPr>
      <w:r>
        <w:rPr>
          <w:color w:val="26343D"/>
          <w:sz w:val="17"/>
        </w:rPr>
        <w:t>[21] L. Yu, W. Xiang, “X</w:t>
      </w:r>
      <w:r w:rsidR="00F3275F">
        <w:rPr>
          <w:color w:val="26343D"/>
          <w:sz w:val="17"/>
        </w:rPr>
        <w:t>-</w:t>
      </w:r>
      <w:r>
        <w:rPr>
          <w:color w:val="26343D"/>
          <w:sz w:val="17"/>
        </w:rPr>
        <w:t>Pruner: eXplainable Pruning for Vision Transformers,” in Proc. IEEE/CVF Conf. Comput. Vis. Pattern Recognit., pp. 24355–24363, 2023. DOI: 10.1109/CVPR52729.2023.02333.</w:t>
      </w:r>
    </w:p>
    <w:p w14:paraId="714A458D" w14:textId="7D144E00" w:rsidR="00C01008" w:rsidRDefault="00000000">
      <w:pPr>
        <w:spacing w:after="80" w:line="240" w:lineRule="auto"/>
        <w:ind w:left="403" w:hanging="403"/>
      </w:pPr>
      <w:r>
        <w:rPr>
          <w:color w:val="26343D"/>
          <w:sz w:val="17"/>
        </w:rPr>
        <w:t>[22] H. Yang, H. Yin, M. Shen, P. Molchanov, H. Li, J. Kautz, “Global Vision Transformer Pruning With Hessian</w:t>
      </w:r>
      <w:r w:rsidR="00F3275F">
        <w:rPr>
          <w:color w:val="26343D"/>
          <w:sz w:val="17"/>
        </w:rPr>
        <w:t>-</w:t>
      </w:r>
      <w:r>
        <w:rPr>
          <w:color w:val="26343D"/>
          <w:sz w:val="17"/>
        </w:rPr>
        <w:t>Aware Saliency,” in Proc. IEEE/CVF Conf. Comput. Vis. Pattern Recognit., pp. 18547–18557, 2023. DOI: 10.1109/CVPR52729.2023.01779.</w:t>
      </w:r>
    </w:p>
    <w:p w14:paraId="495B14C1" w14:textId="77777777" w:rsidR="00C01008"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4638048F" w14:textId="77777777" w:rsidR="00C01008"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6E13B09F" w14:textId="7C3BA673" w:rsidR="00C01008" w:rsidRDefault="00000000">
      <w:pPr>
        <w:spacing w:after="80" w:line="240" w:lineRule="auto"/>
        <w:ind w:left="403" w:hanging="403"/>
      </w:pPr>
      <w:r>
        <w:rPr>
          <w:color w:val="26343D"/>
          <w:sz w:val="17"/>
        </w:rPr>
        <w:t>[25] Y. Xu, Z. Zhang, M. Zhang, K. Sheng, K. Li, W. Dong, et al., “Evo</w:t>
      </w:r>
      <w:r w:rsidR="00F3275F">
        <w:rPr>
          <w:color w:val="26343D"/>
          <w:sz w:val="17"/>
        </w:rPr>
        <w:t>-</w:t>
      </w:r>
      <w:r>
        <w:rPr>
          <w:color w:val="26343D"/>
          <w:sz w:val="17"/>
        </w:rPr>
        <w:t>ViT: Slow</w:t>
      </w:r>
      <w:r w:rsidR="00F3275F">
        <w:rPr>
          <w:color w:val="26343D"/>
          <w:sz w:val="17"/>
        </w:rPr>
        <w:t>-</w:t>
      </w:r>
      <w:r>
        <w:rPr>
          <w:color w:val="26343D"/>
          <w:sz w:val="17"/>
        </w:rPr>
        <w:t>Fast Token Evolution for Dynamic Vision Transformer,” in Proc. AAAI Conf. Artif. Intell., vol. 36, no. 3, pp. 2964–2972, 2022. DOI: 10.1609/aaai.v36i3.20202.</w:t>
      </w:r>
    </w:p>
    <w:p w14:paraId="046BB954" w14:textId="5ECF2550" w:rsidR="00C01008"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w:t>
      </w:r>
      <w:r w:rsidR="00F3275F">
        <w:rPr>
          <w:color w:val="26343D"/>
          <w:sz w:val="17"/>
        </w:rPr>
        <w:t>-</w:t>
      </w:r>
      <w:r>
        <w:rPr>
          <w:color w:val="26343D"/>
          <w:sz w:val="17"/>
        </w:rPr>
        <w:t>Abstract.html.</w:t>
      </w:r>
    </w:p>
    <w:p w14:paraId="33B17ED8" w14:textId="249C13CC" w:rsidR="00C01008" w:rsidRDefault="00000000">
      <w:pPr>
        <w:spacing w:after="80" w:line="240" w:lineRule="auto"/>
        <w:ind w:left="403" w:hanging="403"/>
      </w:pPr>
      <w:r>
        <w:rPr>
          <w:color w:val="26343D"/>
          <w:sz w:val="17"/>
        </w:rPr>
        <w:t>[27] Z. Kong, P. Dong, X. Ma, X. Meng, W. Niu, M. Sun, et al., “SPViT: Enabling Faster Vision Transformers via Latency</w:t>
      </w:r>
      <w:r w:rsidR="00F3275F">
        <w:rPr>
          <w:color w:val="26343D"/>
          <w:sz w:val="17"/>
        </w:rPr>
        <w:t>-</w:t>
      </w:r>
      <w:r>
        <w:rPr>
          <w:color w:val="26343D"/>
          <w:sz w:val="17"/>
        </w:rPr>
        <w:t>Aware Soft Token Pruning,” in Computer Vision – ECCV 2022, vol. 13671, pp. 620–640,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0_37.</w:t>
      </w:r>
    </w:p>
    <w:p w14:paraId="3B5BE834" w14:textId="77777777" w:rsidR="00C01008"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4FE7F486" w14:textId="114B6760" w:rsidR="00C01008"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w:t>
      </w:r>
      <w:r w:rsidR="00F3275F">
        <w:rPr>
          <w:color w:val="26343D"/>
          <w:sz w:val="17"/>
        </w:rPr>
        <w:t>-</w:t>
      </w:r>
      <w:r>
        <w:rPr>
          <w:color w:val="26343D"/>
          <w:sz w:val="17"/>
        </w:rPr>
        <w:t>Abstract.html.</w:t>
      </w:r>
    </w:p>
    <w:p w14:paraId="109C8629" w14:textId="76D38A2F" w:rsidR="00C01008" w:rsidRDefault="00000000">
      <w:pPr>
        <w:spacing w:after="80" w:line="240" w:lineRule="auto"/>
        <w:ind w:left="403" w:hanging="403"/>
      </w:pPr>
      <w:r>
        <w:rPr>
          <w:color w:val="26343D"/>
          <w:sz w:val="17"/>
        </w:rPr>
        <w:t>[30] T. Chen, Y. Cheng, Z. Gan, L. Yuan, L. Zhang, Z. Wang, “Chasing Sparsity in Vision Transformers: An End</w:t>
      </w:r>
      <w:r w:rsidR="00F3275F">
        <w:rPr>
          <w:color w:val="26343D"/>
          <w:sz w:val="17"/>
        </w:rPr>
        <w:t>-</w:t>
      </w:r>
      <w:r>
        <w:rPr>
          <w:color w:val="26343D"/>
          <w:sz w:val="17"/>
        </w:rPr>
        <w:t>to</w:t>
      </w:r>
      <w:r w:rsidR="00F3275F">
        <w:rPr>
          <w:color w:val="26343D"/>
          <w:sz w:val="17"/>
        </w:rPr>
        <w:t>-</w:t>
      </w:r>
      <w:r>
        <w:rPr>
          <w:color w:val="26343D"/>
          <w:sz w:val="17"/>
        </w:rPr>
        <w:t>End Exploration,” in Advances in Neural Information Processing Systems, vol. 34, 2021. Available: https://proceedings.neurips.cc/paper/2021/file/a61f27ab2165df0e18cc9433bd7f27c5</w:t>
      </w:r>
      <w:r w:rsidR="00F3275F">
        <w:rPr>
          <w:color w:val="26343D"/>
          <w:sz w:val="17"/>
        </w:rPr>
        <w:t>-</w:t>
      </w:r>
      <w:r>
        <w:rPr>
          <w:color w:val="26343D"/>
          <w:sz w:val="17"/>
        </w:rPr>
        <w:t>Abstract.html.</w:t>
      </w:r>
    </w:p>
    <w:p w14:paraId="5FD37F53" w14:textId="56B65419" w:rsidR="00C01008" w:rsidRDefault="00000000">
      <w:pPr>
        <w:spacing w:after="80" w:line="240" w:lineRule="auto"/>
        <w:ind w:left="403" w:hanging="403"/>
      </w:pPr>
      <w:r>
        <w:rPr>
          <w:color w:val="26343D"/>
          <w:sz w:val="17"/>
        </w:rPr>
        <w:t>[31] X. Chen, Z. Liu, H. Tang, L. Yi, H. Zhao, S. Han, “SparseViT: Revisiting Activation Sparsity for Efficient High</w:t>
      </w:r>
      <w:r w:rsidR="00F3275F">
        <w:rPr>
          <w:color w:val="26343D"/>
          <w:sz w:val="17"/>
        </w:rPr>
        <w:t>-</w:t>
      </w:r>
      <w:r>
        <w:rPr>
          <w:color w:val="26343D"/>
          <w:sz w:val="17"/>
        </w:rPr>
        <w:t>Resolution Vision Transformer,” in Proc. IEEE/CVF Conf. Comput. Vis. Pattern Recognit., pp. 2061–2070, 2023. DOI: 10.1109/CVPR52729.2023.00205.</w:t>
      </w:r>
    </w:p>
    <w:p w14:paraId="4FC88857" w14:textId="38FEF5F6" w:rsidR="00C01008" w:rsidRDefault="00000000">
      <w:pPr>
        <w:spacing w:after="80" w:line="240" w:lineRule="auto"/>
        <w:ind w:left="403" w:hanging="403"/>
      </w:pPr>
      <w:r>
        <w:rPr>
          <w:color w:val="26343D"/>
          <w:sz w:val="17"/>
        </w:rPr>
        <w:t>[32] C. Zheng, Z. Li, K. Zhang, Z. Yang, W. Tan, J. Xiao, et al., “SAViT: Structure</w:t>
      </w:r>
      <w:r w:rsidR="00F3275F">
        <w:rPr>
          <w:color w:val="26343D"/>
          <w:sz w:val="17"/>
        </w:rPr>
        <w:t>-</w:t>
      </w:r>
      <w:r>
        <w:rPr>
          <w:color w:val="26343D"/>
          <w:sz w:val="17"/>
        </w:rPr>
        <w:t>Aware Vision Transformer Pruning via Collaborative Optimization,” in Advances in Neural Information Processing Systems, vol. 35, pp. 9010–9023, 2022. DOI: 10.52202/068431</w:t>
      </w:r>
      <w:r w:rsidR="00F3275F">
        <w:rPr>
          <w:color w:val="26343D"/>
          <w:sz w:val="17"/>
        </w:rPr>
        <w:t>-</w:t>
      </w:r>
      <w:r>
        <w:rPr>
          <w:color w:val="26343D"/>
          <w:sz w:val="17"/>
        </w:rPr>
        <w:t>0655.</w:t>
      </w:r>
    </w:p>
    <w:p w14:paraId="5B234EBD" w14:textId="23383C9C" w:rsidR="00C01008"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w:t>
      </w:r>
      <w:r w:rsidR="00F3275F">
        <w:rPr>
          <w:color w:val="26343D"/>
          <w:sz w:val="17"/>
        </w:rPr>
        <w:t>-</w:t>
      </w:r>
      <w:r>
        <w:rPr>
          <w:color w:val="26343D"/>
          <w:sz w:val="17"/>
        </w:rPr>
        <w:t>Abstract.html.</w:t>
      </w:r>
    </w:p>
    <w:p w14:paraId="7490A065" w14:textId="77777777" w:rsidR="00C01008"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6B662692" w14:textId="43CF2A00" w:rsidR="00C01008"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w:t>
      </w:r>
      <w:r w:rsidR="00F3275F">
        <w:rPr>
          <w:color w:val="26343D"/>
          <w:sz w:val="17"/>
        </w:rPr>
        <w:t>-</w:t>
      </w:r>
      <w:r>
        <w:rPr>
          <w:color w:val="26343D"/>
          <w:sz w:val="17"/>
        </w:rPr>
        <w:t>Abstract.html.</w:t>
      </w:r>
    </w:p>
    <w:p w14:paraId="48E28DD3" w14:textId="77777777" w:rsidR="00C01008"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3667A8F3" w14:textId="5BB80449" w:rsidR="00C01008"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w:t>
      </w:r>
      <w:r w:rsidR="00F3275F">
        <w:rPr>
          <w:color w:val="26343D"/>
          <w:sz w:val="17"/>
        </w:rPr>
        <w:t>-</w:t>
      </w:r>
      <w:r>
        <w:rPr>
          <w:color w:val="26343D"/>
          <w:sz w:val="17"/>
        </w:rPr>
        <w:t>b3RcF7.</w:t>
      </w:r>
    </w:p>
    <w:p w14:paraId="41C94F30" w14:textId="1A77AC94" w:rsidR="00C01008" w:rsidRDefault="00000000">
      <w:pPr>
        <w:spacing w:after="80" w:line="240" w:lineRule="auto"/>
        <w:ind w:left="403" w:hanging="403"/>
      </w:pPr>
      <w:r>
        <w:rPr>
          <w:color w:val="26343D"/>
          <w:sz w:val="17"/>
        </w:rPr>
        <w:t>[38] V. Sanh, T. Wolf, A. M. Rush, “Movement Pruning: Adaptive Sparsity by Fine</w:t>
      </w:r>
      <w:r w:rsidR="00F3275F">
        <w:rPr>
          <w:color w:val="26343D"/>
          <w:sz w:val="17"/>
        </w:rPr>
        <w:t>-</w:t>
      </w:r>
      <w:r>
        <w:rPr>
          <w:color w:val="26343D"/>
          <w:sz w:val="17"/>
        </w:rPr>
        <w:t>Tuning,” in Advances in Neural Information Processing Systems, vol. 33, pp. 20378–20389, 2020. Available: https://proceedings.neurips.cc/paper/2020/hash/eae15aabaa768ae4a5993a8a4f4fa6e4</w:t>
      </w:r>
      <w:r w:rsidR="00F3275F">
        <w:rPr>
          <w:color w:val="26343D"/>
          <w:sz w:val="17"/>
        </w:rPr>
        <w:t>-</w:t>
      </w:r>
      <w:r>
        <w:rPr>
          <w:color w:val="26343D"/>
          <w:sz w:val="17"/>
        </w:rPr>
        <w:t>Abstract.html.</w:t>
      </w:r>
    </w:p>
    <w:p w14:paraId="62EFC744" w14:textId="1E63F3CC" w:rsidR="00C01008" w:rsidRDefault="00000000">
      <w:pPr>
        <w:spacing w:after="80" w:line="240" w:lineRule="auto"/>
        <w:ind w:left="403" w:hanging="403"/>
      </w:pPr>
      <w:r>
        <w:rPr>
          <w:color w:val="26343D"/>
          <w:sz w:val="17"/>
        </w:rPr>
        <w:t>[39] E. Frantar, D. Alistarh, “SparseGPT: Massive Language Models Can Be Accurately Pruned in One</w:t>
      </w:r>
      <w:r w:rsidR="00F3275F">
        <w:rPr>
          <w:color w:val="26343D"/>
          <w:sz w:val="17"/>
        </w:rPr>
        <w:t>-</w:t>
      </w:r>
      <w:r>
        <w:rPr>
          <w:color w:val="26343D"/>
          <w:sz w:val="17"/>
        </w:rPr>
        <w:t>Shot,” in Proc. 40th Int. Conf. Mach. Learn., vol. 202, pp. 10323–10337, 2023. Available: https://proceedings.mlr.press/v202/frantar23a.html.</w:t>
      </w:r>
    </w:p>
    <w:p w14:paraId="23BC6BF3" w14:textId="77777777" w:rsidR="00C01008"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0E860081" w14:textId="77777777" w:rsidR="00C01008"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45CE0352" w14:textId="342E4F5F" w:rsidR="00C01008" w:rsidRDefault="00000000">
      <w:pPr>
        <w:spacing w:after="80" w:line="240" w:lineRule="auto"/>
        <w:ind w:left="403" w:hanging="403"/>
      </w:pPr>
      <w:r>
        <w:rPr>
          <w:color w:val="26343D"/>
          <w:sz w:val="17"/>
        </w:rPr>
        <w:t>[42] X. Wang, Y. Zheng, Z. Wan, M. Zhang, “SVD</w:t>
      </w:r>
      <w:r w:rsidR="00F3275F">
        <w:rPr>
          <w:color w:val="26343D"/>
          <w:sz w:val="17"/>
        </w:rPr>
        <w:t>-</w:t>
      </w:r>
      <w:r>
        <w:rPr>
          <w:color w:val="26343D"/>
          <w:sz w:val="17"/>
        </w:rPr>
        <w:t>LLM: Truncation</w:t>
      </w:r>
      <w:r w:rsidR="00F3275F">
        <w:rPr>
          <w:color w:val="26343D"/>
          <w:sz w:val="17"/>
        </w:rPr>
        <w:t>-</w:t>
      </w:r>
      <w:r>
        <w:rPr>
          <w:color w:val="26343D"/>
          <w:sz w:val="17"/>
        </w:rPr>
        <w:t>aware Singular Value Decomposition for Large Language Model Compression,” in Proc. Int. Conf. Learn. Represent., 2025. Available: https://proceedings.iclr.cc/paper_files/paper/2025/hash/3104e1ab39875cf54fe1eb4473e7c5a1</w:t>
      </w:r>
      <w:r w:rsidR="00F3275F">
        <w:rPr>
          <w:color w:val="26343D"/>
          <w:sz w:val="17"/>
        </w:rPr>
        <w:t>-</w:t>
      </w:r>
      <w:r>
        <w:rPr>
          <w:color w:val="26343D"/>
          <w:sz w:val="17"/>
        </w:rPr>
        <w:t>Abstract</w:t>
      </w:r>
      <w:r w:rsidR="00F3275F">
        <w:rPr>
          <w:color w:val="26343D"/>
          <w:sz w:val="17"/>
        </w:rPr>
        <w:t>-</w:t>
      </w:r>
      <w:r>
        <w:rPr>
          <w:color w:val="26343D"/>
          <w:sz w:val="17"/>
        </w:rPr>
        <w:t>Conference.html.</w:t>
      </w:r>
    </w:p>
    <w:p w14:paraId="0B622BF2" w14:textId="0FAE385C" w:rsidR="00C01008" w:rsidRDefault="00000000">
      <w:pPr>
        <w:spacing w:after="80" w:line="240" w:lineRule="auto"/>
        <w:ind w:left="403" w:hanging="403"/>
      </w:pPr>
      <w:r>
        <w:rPr>
          <w:color w:val="26343D"/>
          <w:sz w:val="17"/>
        </w:rPr>
        <w:lastRenderedPageBreak/>
        <w:t>[43] S. Jain, B. C. Wallace, “Attention Is Not Explanation,” in Proceedings of the 2019 Conference of the North American Chapter of the Association for Computational Linguistics: Human Language Technologies, pp. 3543–3556, 2019. DOI: 10.18653/v1/N19</w:t>
      </w:r>
      <w:r w:rsidR="00F3275F">
        <w:rPr>
          <w:color w:val="26343D"/>
          <w:sz w:val="17"/>
        </w:rPr>
        <w:t>-</w:t>
      </w:r>
      <w:r>
        <w:rPr>
          <w:color w:val="26343D"/>
          <w:sz w:val="17"/>
        </w:rPr>
        <w:t>1357.</w:t>
      </w:r>
    </w:p>
    <w:p w14:paraId="503C9D82" w14:textId="17AEE05F" w:rsidR="00C01008"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w:t>
      </w:r>
      <w:r w:rsidR="00F3275F">
        <w:rPr>
          <w:color w:val="26343D"/>
          <w:sz w:val="17"/>
        </w:rPr>
        <w:t>-</w:t>
      </w:r>
      <w:r>
        <w:rPr>
          <w:color w:val="26343D"/>
          <w:sz w:val="17"/>
        </w:rPr>
        <w:t>1282.</w:t>
      </w:r>
    </w:p>
    <w:p w14:paraId="40735FB7" w14:textId="467CB615" w:rsidR="00C01008"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w:t>
      </w:r>
      <w:r w:rsidR="00F3275F">
        <w:rPr>
          <w:color w:val="26343D"/>
          <w:sz w:val="17"/>
        </w:rPr>
        <w:t>-</w:t>
      </w:r>
      <w:r>
        <w:rPr>
          <w:color w:val="26343D"/>
          <w:sz w:val="17"/>
        </w:rPr>
        <w:t>1002.</w:t>
      </w:r>
    </w:p>
    <w:p w14:paraId="252BC101" w14:textId="055347C9" w:rsidR="00C01008"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w:t>
      </w:r>
      <w:r w:rsidR="00F3275F">
        <w:rPr>
          <w:color w:val="26343D"/>
          <w:sz w:val="17"/>
        </w:rPr>
        <w:t>-</w:t>
      </w:r>
      <w:r>
        <w:rPr>
          <w:color w:val="26343D"/>
          <w:sz w:val="17"/>
        </w:rPr>
        <w:t>main.385.</w:t>
      </w:r>
    </w:p>
    <w:p w14:paraId="1A980ED2" w14:textId="77777777" w:rsidR="00C01008"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567D3E64" w14:textId="7768A5A7" w:rsidR="00C01008" w:rsidRDefault="00000000">
      <w:pPr>
        <w:spacing w:after="80" w:line="240" w:lineRule="auto"/>
        <w:ind w:left="403" w:hanging="403"/>
      </w:pPr>
      <w:r>
        <w:rPr>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w:t>
      </w:r>
      <w:r w:rsidR="00F3275F">
        <w:rPr>
          <w:color w:val="26343D"/>
          <w:sz w:val="17"/>
        </w:rPr>
        <w:t>-</w:t>
      </w:r>
      <w:r>
        <w:rPr>
          <w:color w:val="26343D"/>
          <w:sz w:val="17"/>
        </w:rPr>
        <w:t>Abstract.html.</w:t>
      </w:r>
    </w:p>
    <w:p w14:paraId="1DCF73B2" w14:textId="77777777" w:rsidR="00C01008"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3A9646AF" w14:textId="77777777" w:rsidR="00C01008"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64EDA88A" w14:textId="77777777" w:rsidR="00C01008"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Workshops (CVPRW), pp. 4164–4170, Jun. 2026. Available: https://openaccess.thecvf.com/content/CVPR2026W/HOW/html/Parodi_Zero-Ablation_Overstates_Register_Content_Dependence_in_DINO_Vision_Transformers_CVPRW_2026_paper.html.</w:t>
      </w:r>
    </w:p>
    <w:sectPr w:rsidR="00C010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2766754">
    <w:abstractNumId w:val="8"/>
  </w:num>
  <w:num w:numId="2" w16cid:durableId="1916737640">
    <w:abstractNumId w:val="6"/>
  </w:num>
  <w:num w:numId="3" w16cid:durableId="1233155556">
    <w:abstractNumId w:val="5"/>
  </w:num>
  <w:num w:numId="4" w16cid:durableId="1845972489">
    <w:abstractNumId w:val="4"/>
  </w:num>
  <w:num w:numId="5" w16cid:durableId="1362319502">
    <w:abstractNumId w:val="7"/>
  </w:num>
  <w:num w:numId="6" w16cid:durableId="786315499">
    <w:abstractNumId w:val="3"/>
  </w:num>
  <w:num w:numId="7" w16cid:durableId="1412893913">
    <w:abstractNumId w:val="2"/>
  </w:num>
  <w:num w:numId="8" w16cid:durableId="2075616897">
    <w:abstractNumId w:val="1"/>
  </w:num>
  <w:num w:numId="9" w16cid:durableId="200330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7F3"/>
    <w:rsid w:val="0029639D"/>
    <w:rsid w:val="00326F90"/>
    <w:rsid w:val="00502DD9"/>
    <w:rsid w:val="005C50B7"/>
    <w:rsid w:val="00677D65"/>
    <w:rsid w:val="0096107C"/>
    <w:rsid w:val="00A632FF"/>
    <w:rsid w:val="00A6778D"/>
    <w:rsid w:val="00AA1D8D"/>
    <w:rsid w:val="00B47730"/>
    <w:rsid w:val="00BF264C"/>
    <w:rsid w:val="00C01008"/>
    <w:rsid w:val="00CA42B9"/>
    <w:rsid w:val="00CB0664"/>
    <w:rsid w:val="00F327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F3BC5"/>
  <w14:defaultImageDpi w14:val="300"/>
  <w15:docId w15:val="{CF42C734-B6B3-4B7C-87DC-2517C673D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13</Pages>
  <Words>6857</Words>
  <Characters>39085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9</cp:revision>
  <dcterms:created xsi:type="dcterms:W3CDTF">2013-12-23T23:15:00Z</dcterms:created>
  <dcterms:modified xsi:type="dcterms:W3CDTF">2026-10-08T10:10:00Z</dcterms:modified>
  <cp:category/>
</cp:coreProperties>
</file>