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586DB" w14:textId="77777777" w:rsidR="004C250E" w:rsidRDefault="00000000">
      <w:pPr>
        <w:pStyle w:val="Title"/>
        <w:spacing w:after="160"/>
      </w:pPr>
      <w:r>
        <w:rPr>
          <w:rFonts w:ascii="Times New Roman" w:hAnsi="Times New Roman"/>
          <w:b/>
        </w:rPr>
        <w:t>Patch-Content Fungibility: Geometry, Functional Transmission, and Operator-Aware Token Compression</w:t>
      </w:r>
    </w:p>
    <w:p w14:paraId="7F333DE5" w14:textId="589422B3" w:rsidR="004C250E" w:rsidRPr="00E32168" w:rsidRDefault="00E32168">
      <w:pPr>
        <w:spacing w:after="100" w:line="259" w:lineRule="auto"/>
        <w:rPr>
          <w:i/>
          <w:iCs/>
        </w:rPr>
      </w:pPr>
      <w:r w:rsidRPr="00E32168">
        <w:rPr>
          <w:i/>
          <w:iCs/>
        </w:rPr>
        <w:t>Nghiem Nhat Minh, Dang Tri Dung, Do Tri Cuong</w:t>
      </w:r>
    </w:p>
    <w:p w14:paraId="384E3E2A" w14:textId="77777777" w:rsidR="004C250E" w:rsidRDefault="00000000">
      <w:pPr>
        <w:pStyle w:val="Heading1"/>
      </w:pPr>
      <w:r>
        <w:rPr>
          <w:rFonts w:ascii="Times New Roman" w:hAnsi="Times New Roman"/>
        </w:rPr>
        <w:t>Abstract</w:t>
      </w:r>
    </w:p>
    <w:p w14:paraId="2CB39020" w14:textId="77777777" w:rsidR="004C250E" w:rsidRDefault="00000000">
      <w:pPr>
        <w:spacing w:after="100" w:line="259" w:lineRule="auto"/>
      </w:pPr>
      <w:r>
        <w:t>Vision transformers represent images as fixed sequences of patch slots, yet the role of each slot’s image-specific content in late layers remains unclear. We causally replace selected late-layer patch activations with class-agnostic calibration surrogates while preserving token positions, sequence length, model weights, and all subsequent computation. Across four tested vision-transformer families, this fixed-slot intervention reveals conditional patch-content fungibility bounded by feature geometry and token-position diversity. Mechanistic analyses associate replaceability with anisotropic functional sensitivity, coherent accumulation and sign-dependent cancellation along the attention Value path, and declining normalized effective rank; near-null expansion at the primary threshold is evident in three models but small in DINOv2. As a bounded application, we evaluate operator-aware compression using an offline, per-image downstream-Jacobian oracle on 1,000 held-out images per architecture. At the most aggressive tested budgets, operator-aware variants improve Top-1 by 4.2–12.0 percentage points over the strongest pruning baseline, but ToMe remains competitive and Full-J is not uniformly better than Group Mean or ToMe. The evidence supports Patch-Content Fungibility as a mechanistic account of the tested interventions and an oracle-level compression opportunity, but does not establish a general deployment advantage.</w:t>
      </w:r>
    </w:p>
    <w:p w14:paraId="7FACDE4F" w14:textId="77777777" w:rsidR="004C250E" w:rsidRDefault="00000000">
      <w:pPr>
        <w:pStyle w:val="Heading1"/>
      </w:pPr>
      <w:r>
        <w:rPr>
          <w:rFonts w:ascii="Times New Roman" w:hAnsi="Times New Roman"/>
        </w:rPr>
        <w:t>1. Introduction</w:t>
      </w:r>
    </w:p>
    <w:p w14:paraId="25D96FDE" w14:textId="77777777" w:rsidR="004C250E" w:rsidRDefault="00000000">
      <w:pPr>
        <w:spacing w:after="100" w:line="259" w:lineRule="auto"/>
      </w:pPr>
      <w:r>
        <w:t>Transformers use self-attention to mix token representations [1], while vision transformers (ViTs) represent an image as a sequence of patch embeddings [2]. Published ViT families include data-efficient supervised training [3], self-supervised representations [4], [5], hierarchical attention [6], masked pretraining [7], scaling [8], training regularization [9], and register tokens [10]. Token-reduction methods lower computation by changing which tokens are processed or how they are combined. We ask a different question: when does the remaining network require the image-specific content carried by a late patch slot?</w:t>
      </w:r>
    </w:p>
    <w:p w14:paraId="21A5522B" w14:textId="77777777" w:rsidR="004C250E" w:rsidRDefault="00000000">
      <w:pPr>
        <w:spacing w:after="100" w:line="259" w:lineRule="auto"/>
      </w:pPr>
      <w:r>
        <w:t>We answer with a controlled content intervention. At a selected late layer, image-specific patch activations are causally removed and replaced with class-agnostic calibration surrogates while token slots, sequence length, model weights, and all downstream computation are held fixed. The intervention isolates content dependence while preserving the structure of the sequence received by later layers. Replaceability is conditional on feature geometry and token diversity; the intervention tests content substitution with fixed token slots rather than token deletion. Figure 1 summarizes the fixed-slot intervention, geometric and diversity constraints, and selective transmission through anisotropic sensitivity and Value-path cancellation.</w:t>
      </w:r>
    </w:p>
    <w:p w14:paraId="5E4E1024" w14:textId="77777777" w:rsidR="004C250E" w:rsidRDefault="00000000">
      <w:pPr>
        <w:keepNext/>
        <w:keepLines/>
        <w:spacing w:after="20"/>
        <w:jc w:val="center"/>
      </w:pPr>
      <w:r>
        <w:rPr>
          <w:noProof/>
        </w:rPr>
        <w:lastRenderedPageBreak/>
        <w:drawing>
          <wp:inline distT="0" distB="0" distL="0" distR="0" wp14:anchorId="31AE1974" wp14:editId="7F133F11">
            <wp:extent cx="6172200" cy="35371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overview.png"/>
                    <pic:cNvPicPr/>
                  </pic:nvPicPr>
                  <pic:blipFill>
                    <a:blip r:embed="rId6"/>
                    <a:stretch>
                      <a:fillRect/>
                    </a:stretch>
                  </pic:blipFill>
                  <pic:spPr>
                    <a:xfrm>
                      <a:off x="0" y="0"/>
                      <a:ext cx="6172200" cy="3537155"/>
                    </a:xfrm>
                    <a:prstGeom prst="rect">
                      <a:avLst/>
                    </a:prstGeom>
                  </pic:spPr>
                </pic:pic>
              </a:graphicData>
            </a:graphic>
          </wp:inline>
        </w:drawing>
      </w:r>
    </w:p>
    <w:p w14:paraId="73CE0AB8" w14:textId="77777777" w:rsidR="004C250E" w:rsidRDefault="00000000">
      <w:pPr>
        <w:keepLines/>
        <w:spacing w:after="80"/>
        <w:jc w:val="center"/>
      </w:pPr>
      <w:r>
        <w:rPr>
          <w:i/>
          <w:color w:val="4C5963"/>
          <w:sz w:val="17"/>
        </w:rPr>
        <w:t>Figure 1. Fixed-slot late-layer patch-content substitution (a), geometric and diversity constraints (b), and anisotropic sensitivity with Value-path cancellation (c).</w:t>
      </w:r>
    </w:p>
    <w:p w14:paraId="427E2649" w14:textId="77777777" w:rsidR="004C250E" w:rsidRDefault="00000000">
      <w:pPr>
        <w:spacing w:after="100" w:line="259" w:lineRule="auto"/>
      </w:pPr>
      <w:r>
        <w:t>This leads to three linked questions: whether a late patch slot needs its image-specific activation or can carry a class-agnostic surrogate; how feature geometry, token-position coherence, and downstream transmission shape observed replacement tolerance; and whether those mechanisms can inform operator-aware compression, including where the translation fails. We study these questions as a ViT-specific account of Patch-Content Fungibility (PCF). The argument proceeds from fixed-slot causal replacement, through geometric and functional mechanisms, to compression as a bounded application whose nonlinear classification and measured throughput must be assessed separately.</w:t>
      </w:r>
    </w:p>
    <w:p w14:paraId="7C8F98A8" w14:textId="77777777" w:rsidR="004C250E" w:rsidRDefault="00000000">
      <w:pPr>
        <w:pStyle w:val="Heading1"/>
      </w:pPr>
      <w:r>
        <w:rPr>
          <w:rFonts w:ascii="Times New Roman" w:hAnsi="Times New Roman"/>
        </w:rPr>
        <w:t>2. Related Work</w:t>
      </w:r>
    </w:p>
    <w:p w14:paraId="2BE05294" w14:textId="77777777" w:rsidR="004C250E" w:rsidRDefault="00000000">
      <w:pPr>
        <w:spacing w:after="100" w:line="259" w:lineRule="auto"/>
      </w:pPr>
      <w:r>
        <w:t>Token-reduction methods such as DynamicViT, EViT, and Token Merging (ToMe) select, reorganize, merge, or otherwise shorten the sequence processed by a ViT [11]–[13]. Diversity-aware pruning also predates PCF: Long et al. jointly preserve attentive tokens and increase global semantic diversity by merging similar inattentive tokens and matching homogeneous attentive tokens [14]. Related work also learns or pools tokens and adapts token computation [15]–[18]; samples, prunes, squeezes, or exits early [19]–[25]; and explores dynamic, structured, or sparse token/activation schemes [26]–[33]. Parameter pruning, pruning of large language models (LLMs), and singular value decomposition (SVD)-based dimension compression form a related efficiency lineage [34]–[41]. PCF's primary causal intervention instead substitutes ordinary spatial patch-token content while preserving token positions, sequence length, model weights, and downstream computation. Under complete class-agnostic patch-content replacement, it controls token-position diversity separately from feature-space direction; token diversity itself is not claimed as a new concept. The later compression application is distinct: it optimizes grouped carrier content under a fixed assignment S and shortens the sequence for subsequent computation.</w:t>
      </w:r>
    </w:p>
    <w:p w14:paraId="57CCC0D2" w14:textId="77777777" w:rsidR="004368BE" w:rsidRDefault="00000000">
      <w:pPr>
        <w:spacing w:after="100" w:line="259" w:lineRule="auto"/>
      </w:pPr>
      <w:r>
        <w:t>Jacobian-sensitive geometry and task-aware token compression also have direct ViT precedents. Bond et al. define a task-induced pullback metric on ViT feature spaces, analyze its spectral and low-rank structure, and use task-sensitive geometry for token pruning and soft merging [42]. Liu et al. study approximate nullspace perturbations in nonlinear ViT blocks and nullspace-noise augmentation for fine-tuning robustness [43]. These works establish prior art for downstream-Jacobian geometry, task-aware compression, and approximate-nullspace analysis. PCF asks how much original image-specific content is needed at an ordinary spatial patch slot under fixed-slot interventions; its compression application optimizes grouped carrier content under a fixed assignment S, rather than recasting importance scoring or token-pair selection as the same optimization problem.</w:t>
      </w:r>
    </w:p>
    <w:p w14:paraId="650E15F3" w14:textId="77777777" w:rsidR="004C250E" w:rsidRDefault="00000000">
      <w:pPr>
        <w:spacing w:after="100" w:line="259" w:lineRule="auto"/>
      </w:pPr>
      <w:r>
        <w:t xml:space="preserve">Surrogate substitution also has a close methodological precedent. Parodi et al. study mean, noise, and cross-image register-shuffling substitutions for specialized DINO register-token content. PCF examines ordinary spatial patch-token activations </w:t>
      </w:r>
      <w:r>
        <w:lastRenderedPageBreak/>
        <w:t>across depth and replacement fractions, and separates feature geometry from token-position diversity; it does not claim to introduce surrogate replacement [44].</w:t>
      </w:r>
    </w:p>
    <w:p w14:paraId="686CE710" w14:textId="77777777" w:rsidR="004C250E" w:rsidRDefault="00000000">
      <w:pPr>
        <w:spacing w:after="100" w:line="259" w:lineRule="auto"/>
      </w:pPr>
      <w:r>
        <w:t>Sensitivity-weighted objectives and Jacobian-based measures of downstream effect are established tools, not a new mathematical Jacobian or general theory introduced here [45], [46]. A recent public preprint, Output-aware Residual Stream Pruning, couples activation statistics with output sensitivity to prune LLM residual-stream dimensions [47]. That work supports the broader precedent for output-aware compression but studies a different model family and dimension-pruning intervention. PCF's bounded contribution is the combination of ViT patch-content interventions, functional-transmission analysis, and an operator-aware carrier update evaluated at controlled token budgets. Its fixed-slot causal studies preserve sequence length; the carrier-compression application reduces the sequence for subsequent computation.</w:t>
      </w:r>
    </w:p>
    <w:p w14:paraId="34E93E35" w14:textId="77777777" w:rsidR="004C250E" w:rsidRDefault="00000000">
      <w:pPr>
        <w:spacing w:after="100" w:line="259" w:lineRule="auto"/>
      </w:pPr>
      <w:r>
        <w:t>Interpretability research cautions that attention weights alone need not explain a model's decision. Controlled studies examine whether attention is explanation and how explanation changes under interventions [48]–[50]. Attention flow, Integrated Gradients, saliency-map sanity checks, and transformer-specific relevance propagation provide complementary methods for tracing or attributing model behavior [51]–[54]. Causal abstraction offers a framework for connecting interventions to model-level causal structure [55]. Our evidence uses direct activation interventions and held-out prediction of perturbation damage; it is bounded to the tested models, readouts, and cohorts.</w:t>
      </w:r>
    </w:p>
    <w:p w14:paraId="73045895" w14:textId="77777777" w:rsidR="004C250E" w:rsidRDefault="00000000">
      <w:pPr>
        <w:pStyle w:val="Heading1"/>
      </w:pPr>
      <w:r>
        <w:rPr>
          <w:rFonts w:ascii="Times New Roman" w:hAnsi="Times New Roman"/>
        </w:rPr>
        <w:t>3. Experimental Setup and Interventions</w:t>
      </w:r>
    </w:p>
    <w:p w14:paraId="08C74A76" w14:textId="77777777" w:rsidR="004C250E" w:rsidRDefault="00000000">
      <w:pPr>
        <w:spacing w:after="100" w:line="259" w:lineRule="auto"/>
      </w:pPr>
      <w:r>
        <w:t>Image-based studies use frozen pretrained models on ImageNet-1k validation data. The principal replacement studies and strict confirmatory compression use disjoint calibration and evaluation cohorts, with calibration-derived quantities estimated from calibration images only. The confirmatory compression protocol freezes a 1,000-image calibration set (seed 9101) and evaluates 1,000 held-out images per architecture, one per class (seed 9201); no tuning uses held-out images. Exploratory mechanistic audits follow protocol-specific cohorts rather than one shared N=100 set. In particular, joint-stream geometry estimates feature directions and measures downstream responses on the same 100 images per model, so those outcomes are within-cohort descriptive results, not held-out estimates. N denotes the sampling unit shown in Table I; image and perturbation cohorts remain distinct. Supplementary Section S13 describes the separate practical-carrier cohorts and operator-space endpoints.</w:t>
      </w:r>
    </w:p>
    <w:p w14:paraId="60804DEF" w14:textId="77777777" w:rsidR="004C250E" w:rsidRDefault="00000000">
      <w:pPr>
        <w:spacing w:after="100" w:line="259" w:lineRule="auto"/>
      </w:pPr>
      <w:r>
        <w:t>TABLE I</w:t>
      </w:r>
    </w:p>
    <w:p w14:paraId="353AA516" w14:textId="77777777" w:rsidR="004C250E" w:rsidRDefault="00000000">
      <w:pPr>
        <w:spacing w:after="100" w:line="259" w:lineRule="auto"/>
      </w:pPr>
      <w:r>
        <w:t>PRIMARY RESULTS AND EVIDENCE SCOPE</w:t>
      </w:r>
    </w:p>
    <w:p w14:paraId="25DC1FF9" w14:textId="77777777" w:rsidR="004C250E" w:rsidRDefault="00000000">
      <w:pPr>
        <w:spacing w:after="100" w:line="259" w:lineRule="auto"/>
      </w:pPr>
      <w:r>
        <w:t>Summary of the primary study families, evaluation units, controls, and main findings. The multi-block unit counts held-out perturbations; cohort and endpoint details remain protocol-specific.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8"/>
        <w:gridCol w:w="2498"/>
        <w:gridCol w:w="2498"/>
        <w:gridCol w:w="2498"/>
      </w:tblGrid>
      <w:tr w:rsidR="004C250E" w:rsidRPr="005D5368" w14:paraId="256366C9" w14:textId="77777777" w:rsidTr="005D5368">
        <w:trPr>
          <w:tblHeader/>
        </w:trPr>
        <w:tc>
          <w:tcPr>
            <w:tcW w:w="2498" w:type="dxa"/>
            <w:tcBorders>
              <w:top w:val="single" w:sz="4" w:space="0" w:color="auto"/>
              <w:bottom w:val="single" w:sz="4" w:space="0" w:color="auto"/>
            </w:tcBorders>
            <w:tcMar>
              <w:top w:w="55" w:type="dxa"/>
              <w:left w:w="65" w:type="dxa"/>
              <w:bottom w:w="55" w:type="dxa"/>
              <w:right w:w="65" w:type="dxa"/>
            </w:tcMar>
            <w:vAlign w:val="center"/>
          </w:tcPr>
          <w:p w14:paraId="08C36B47" w14:textId="77777777" w:rsidR="004C250E" w:rsidRPr="005D5368" w:rsidRDefault="00000000">
            <w:pPr>
              <w:jc w:val="center"/>
              <w:rPr>
                <w:szCs w:val="28"/>
              </w:rPr>
            </w:pPr>
            <w:r w:rsidRPr="005D5368">
              <w:rPr>
                <w:b/>
                <w:color w:val="17232D"/>
                <w:szCs w:val="28"/>
              </w:rPr>
              <w:t>Study family</w:t>
            </w:r>
          </w:p>
        </w:tc>
        <w:tc>
          <w:tcPr>
            <w:tcW w:w="2498" w:type="dxa"/>
            <w:tcBorders>
              <w:top w:val="single" w:sz="4" w:space="0" w:color="auto"/>
              <w:bottom w:val="single" w:sz="4" w:space="0" w:color="auto"/>
            </w:tcBorders>
            <w:tcMar>
              <w:top w:w="55" w:type="dxa"/>
              <w:left w:w="65" w:type="dxa"/>
              <w:bottom w:w="55" w:type="dxa"/>
              <w:right w:w="65" w:type="dxa"/>
            </w:tcMar>
            <w:vAlign w:val="center"/>
          </w:tcPr>
          <w:p w14:paraId="4BF731C6" w14:textId="77777777" w:rsidR="004C250E" w:rsidRPr="005D5368" w:rsidRDefault="00000000">
            <w:pPr>
              <w:jc w:val="center"/>
              <w:rPr>
                <w:szCs w:val="28"/>
              </w:rPr>
            </w:pPr>
            <w:r w:rsidRPr="005D5368">
              <w:rPr>
                <w:b/>
                <w:color w:val="17232D"/>
                <w:szCs w:val="28"/>
              </w:rPr>
              <w:t>Evaluation unit</w:t>
            </w:r>
          </w:p>
        </w:tc>
        <w:tc>
          <w:tcPr>
            <w:tcW w:w="2498" w:type="dxa"/>
            <w:tcBorders>
              <w:top w:val="single" w:sz="4" w:space="0" w:color="auto"/>
              <w:bottom w:val="single" w:sz="4" w:space="0" w:color="auto"/>
            </w:tcBorders>
            <w:tcMar>
              <w:top w:w="55" w:type="dxa"/>
              <w:left w:w="65" w:type="dxa"/>
              <w:bottom w:w="55" w:type="dxa"/>
              <w:right w:w="65" w:type="dxa"/>
            </w:tcMar>
            <w:vAlign w:val="center"/>
          </w:tcPr>
          <w:p w14:paraId="653D4E7F" w14:textId="77777777" w:rsidR="004C250E" w:rsidRPr="005D5368" w:rsidRDefault="00000000">
            <w:pPr>
              <w:jc w:val="center"/>
              <w:rPr>
                <w:szCs w:val="28"/>
              </w:rPr>
            </w:pPr>
            <w:r w:rsidRPr="005D5368">
              <w:rPr>
                <w:b/>
                <w:color w:val="17232D"/>
                <w:szCs w:val="28"/>
              </w:rPr>
              <w:t>Key controls</w:t>
            </w:r>
          </w:p>
        </w:tc>
        <w:tc>
          <w:tcPr>
            <w:tcW w:w="2498" w:type="dxa"/>
            <w:tcBorders>
              <w:top w:val="single" w:sz="4" w:space="0" w:color="auto"/>
              <w:bottom w:val="single" w:sz="4" w:space="0" w:color="auto"/>
            </w:tcBorders>
            <w:tcMar>
              <w:top w:w="55" w:type="dxa"/>
              <w:left w:w="65" w:type="dxa"/>
              <w:bottom w:w="55" w:type="dxa"/>
              <w:right w:w="65" w:type="dxa"/>
            </w:tcMar>
            <w:vAlign w:val="center"/>
          </w:tcPr>
          <w:p w14:paraId="7BF9489B" w14:textId="77777777" w:rsidR="004C250E" w:rsidRPr="005D5368" w:rsidRDefault="00000000">
            <w:pPr>
              <w:jc w:val="center"/>
              <w:rPr>
                <w:szCs w:val="28"/>
              </w:rPr>
            </w:pPr>
            <w:r w:rsidRPr="005D5368">
              <w:rPr>
                <w:b/>
                <w:color w:val="17232D"/>
                <w:szCs w:val="28"/>
              </w:rPr>
              <w:t>Main finding</w:t>
            </w:r>
          </w:p>
        </w:tc>
      </w:tr>
      <w:tr w:rsidR="004C250E" w:rsidRPr="005D5368" w14:paraId="2A1215BB" w14:textId="77777777" w:rsidTr="005D5368">
        <w:tc>
          <w:tcPr>
            <w:tcW w:w="2498" w:type="dxa"/>
            <w:tcBorders>
              <w:top w:val="single" w:sz="4" w:space="0" w:color="auto"/>
            </w:tcBorders>
            <w:tcMar>
              <w:top w:w="55" w:type="dxa"/>
              <w:left w:w="65" w:type="dxa"/>
              <w:bottom w:w="55" w:type="dxa"/>
              <w:right w:w="65" w:type="dxa"/>
            </w:tcMar>
            <w:vAlign w:val="center"/>
          </w:tcPr>
          <w:p w14:paraId="716AE5E3" w14:textId="77777777" w:rsidR="004C250E" w:rsidRPr="005D5368" w:rsidRDefault="00000000">
            <w:pPr>
              <w:rPr>
                <w:szCs w:val="28"/>
              </w:rPr>
            </w:pPr>
            <w:r w:rsidRPr="005D5368">
              <w:rPr>
                <w:szCs w:val="28"/>
              </w:rPr>
              <w:t>Fixed-slot patch replacement</w:t>
            </w:r>
          </w:p>
        </w:tc>
        <w:tc>
          <w:tcPr>
            <w:tcW w:w="2498" w:type="dxa"/>
            <w:tcBorders>
              <w:top w:val="single" w:sz="4" w:space="0" w:color="auto"/>
            </w:tcBorders>
            <w:tcMar>
              <w:top w:w="55" w:type="dxa"/>
              <w:left w:w="65" w:type="dxa"/>
              <w:bottom w:w="55" w:type="dxa"/>
              <w:right w:w="65" w:type="dxa"/>
            </w:tcMar>
            <w:vAlign w:val="center"/>
          </w:tcPr>
          <w:p w14:paraId="2D023080" w14:textId="77777777" w:rsidR="004C250E" w:rsidRPr="005D5368" w:rsidRDefault="00000000">
            <w:pPr>
              <w:jc w:val="center"/>
              <w:rPr>
                <w:szCs w:val="28"/>
              </w:rPr>
            </w:pPr>
            <w:r w:rsidRPr="005D5368">
              <w:rPr>
                <w:szCs w:val="28"/>
              </w:rPr>
              <w:t>N=1,000 images/model per study; cohorts separate</w:t>
            </w:r>
          </w:p>
        </w:tc>
        <w:tc>
          <w:tcPr>
            <w:tcW w:w="2498" w:type="dxa"/>
            <w:tcBorders>
              <w:top w:val="single" w:sz="4" w:space="0" w:color="auto"/>
            </w:tcBorders>
            <w:tcMar>
              <w:top w:w="55" w:type="dxa"/>
              <w:left w:w="65" w:type="dxa"/>
              <w:bottom w:w="55" w:type="dxa"/>
              <w:right w:w="65" w:type="dxa"/>
            </w:tcMar>
            <w:vAlign w:val="center"/>
          </w:tcPr>
          <w:p w14:paraId="480B5BDE" w14:textId="77777777" w:rsidR="004C250E" w:rsidRPr="005D5368" w:rsidRDefault="00000000">
            <w:pPr>
              <w:jc w:val="center"/>
              <w:rPr>
                <w:szCs w:val="28"/>
              </w:rPr>
            </w:pPr>
            <w:r w:rsidRPr="005D5368">
              <w:rPr>
                <w:szCs w:val="28"/>
              </w:rPr>
              <w:t>25%, 50%, and 100% replacement; study-specific calibration</w:t>
            </w:r>
          </w:p>
        </w:tc>
        <w:tc>
          <w:tcPr>
            <w:tcW w:w="2498" w:type="dxa"/>
            <w:tcBorders>
              <w:top w:val="single" w:sz="4" w:space="0" w:color="auto"/>
            </w:tcBorders>
            <w:tcMar>
              <w:top w:w="55" w:type="dxa"/>
              <w:left w:w="65" w:type="dxa"/>
              <w:bottom w:w="55" w:type="dxa"/>
              <w:right w:w="65" w:type="dxa"/>
            </w:tcMar>
            <w:vAlign w:val="center"/>
          </w:tcPr>
          <w:p w14:paraId="76D0246B" w14:textId="77777777" w:rsidR="004C250E" w:rsidRPr="005D5368" w:rsidRDefault="00000000">
            <w:pPr>
              <w:jc w:val="center"/>
              <w:rPr>
                <w:szCs w:val="28"/>
              </w:rPr>
            </w:pPr>
            <w:r w:rsidRPr="005D5368">
              <w:rPr>
                <w:szCs w:val="28"/>
              </w:rPr>
              <w:t>Tolerance varies with depth, surrogate geometry, diversity, and feature direction; directions derived by principal component analysis (PCA) of calibration activations outperform energy-matched random directions in tested settings.</w:t>
            </w:r>
          </w:p>
        </w:tc>
      </w:tr>
      <w:tr w:rsidR="004C250E" w:rsidRPr="005D5368" w14:paraId="02E00E23" w14:textId="77777777" w:rsidTr="005D5368">
        <w:tc>
          <w:tcPr>
            <w:tcW w:w="2498" w:type="dxa"/>
            <w:tcMar>
              <w:top w:w="55" w:type="dxa"/>
              <w:left w:w="65" w:type="dxa"/>
              <w:bottom w:w="55" w:type="dxa"/>
              <w:right w:w="65" w:type="dxa"/>
            </w:tcMar>
            <w:vAlign w:val="center"/>
          </w:tcPr>
          <w:p w14:paraId="12D88053" w14:textId="77777777" w:rsidR="004C250E" w:rsidRPr="005D5368" w:rsidRDefault="00000000">
            <w:pPr>
              <w:rPr>
                <w:szCs w:val="28"/>
              </w:rPr>
            </w:pPr>
            <w:r w:rsidRPr="005D5368">
              <w:rPr>
                <w:szCs w:val="28"/>
              </w:rPr>
              <w:t>Functional and joint-stream geometry</w:t>
            </w:r>
          </w:p>
        </w:tc>
        <w:tc>
          <w:tcPr>
            <w:tcW w:w="2498" w:type="dxa"/>
            <w:tcMar>
              <w:top w:w="55" w:type="dxa"/>
              <w:left w:w="65" w:type="dxa"/>
              <w:bottom w:w="55" w:type="dxa"/>
              <w:right w:w="65" w:type="dxa"/>
            </w:tcMar>
            <w:vAlign w:val="center"/>
          </w:tcPr>
          <w:p w14:paraId="16BFBE61" w14:textId="77777777" w:rsidR="004C250E" w:rsidRPr="005D5368" w:rsidRDefault="00000000">
            <w:pPr>
              <w:jc w:val="center"/>
              <w:rPr>
                <w:szCs w:val="28"/>
              </w:rPr>
            </w:pPr>
            <w:r w:rsidRPr="005D5368">
              <w:rPr>
                <w:szCs w:val="28"/>
              </w:rPr>
              <w:t>Functional geometry: N=100 calibration images/model; joint-stream: N=100 images/model used for both direction estimation and response measurement</w:t>
            </w:r>
          </w:p>
        </w:tc>
        <w:tc>
          <w:tcPr>
            <w:tcW w:w="2498" w:type="dxa"/>
            <w:tcMar>
              <w:top w:w="55" w:type="dxa"/>
              <w:left w:w="65" w:type="dxa"/>
              <w:bottom w:w="55" w:type="dxa"/>
              <w:right w:w="65" w:type="dxa"/>
            </w:tcMar>
            <w:vAlign w:val="center"/>
          </w:tcPr>
          <w:p w14:paraId="54F75AFD" w14:textId="77777777" w:rsidR="004C250E" w:rsidRPr="005D5368" w:rsidRDefault="00000000">
            <w:pPr>
              <w:jc w:val="center"/>
              <w:rPr>
                <w:szCs w:val="28"/>
              </w:rPr>
            </w:pPr>
            <w:r w:rsidRPr="005D5368">
              <w:rPr>
                <w:szCs w:val="28"/>
              </w:rPr>
              <w:t>Margin-gradient feature metric; coherent and sign-varying token patterns</w:t>
            </w:r>
          </w:p>
        </w:tc>
        <w:tc>
          <w:tcPr>
            <w:tcW w:w="2498" w:type="dxa"/>
            <w:tcMar>
              <w:top w:w="55" w:type="dxa"/>
              <w:left w:w="65" w:type="dxa"/>
              <w:bottom w:w="55" w:type="dxa"/>
              <w:right w:w="65" w:type="dxa"/>
            </w:tcMar>
            <w:vAlign w:val="center"/>
          </w:tcPr>
          <w:p w14:paraId="306A8E41" w14:textId="77777777" w:rsidR="004C250E" w:rsidRPr="005D5368" w:rsidRDefault="00000000">
            <w:pPr>
              <w:jc w:val="center"/>
              <w:rPr>
                <w:szCs w:val="28"/>
              </w:rPr>
            </w:pPr>
            <w:r w:rsidRPr="005D5368">
              <w:rPr>
                <w:szCs w:val="28"/>
              </w:rPr>
              <w:t>Normalized effective rank declines across four models; near-null expansion at the primary threshold is strong in three and small for DINOv2. Damage varies with feature direction and token coherence.</w:t>
            </w:r>
          </w:p>
        </w:tc>
      </w:tr>
      <w:tr w:rsidR="004C250E" w:rsidRPr="005D5368" w14:paraId="0896F6F1" w14:textId="77777777" w:rsidTr="005D5368">
        <w:tc>
          <w:tcPr>
            <w:tcW w:w="2498" w:type="dxa"/>
            <w:tcMar>
              <w:top w:w="55" w:type="dxa"/>
              <w:left w:w="65" w:type="dxa"/>
              <w:bottom w:w="55" w:type="dxa"/>
              <w:right w:w="65" w:type="dxa"/>
            </w:tcMar>
            <w:vAlign w:val="center"/>
          </w:tcPr>
          <w:p w14:paraId="688B02DE" w14:textId="77777777" w:rsidR="004C250E" w:rsidRPr="005D5368" w:rsidRDefault="00000000">
            <w:pPr>
              <w:rPr>
                <w:szCs w:val="28"/>
              </w:rPr>
            </w:pPr>
            <w:r w:rsidRPr="005D5368">
              <w:rPr>
                <w:szCs w:val="28"/>
              </w:rPr>
              <w:t>Attention Value-path audit</w:t>
            </w:r>
          </w:p>
        </w:tc>
        <w:tc>
          <w:tcPr>
            <w:tcW w:w="2498" w:type="dxa"/>
            <w:tcMar>
              <w:top w:w="55" w:type="dxa"/>
              <w:left w:w="65" w:type="dxa"/>
              <w:bottom w:w="55" w:type="dxa"/>
              <w:right w:w="65" w:type="dxa"/>
            </w:tcMar>
            <w:vAlign w:val="center"/>
          </w:tcPr>
          <w:p w14:paraId="37F9FAA8" w14:textId="77777777" w:rsidR="004C250E" w:rsidRPr="005D5368" w:rsidRDefault="00000000">
            <w:pPr>
              <w:jc w:val="center"/>
              <w:rPr>
                <w:szCs w:val="28"/>
              </w:rPr>
            </w:pPr>
            <w:r w:rsidRPr="005D5368">
              <w:rPr>
                <w:szCs w:val="28"/>
              </w:rPr>
              <w:t>N=100 images per model</w:t>
            </w:r>
          </w:p>
        </w:tc>
        <w:tc>
          <w:tcPr>
            <w:tcW w:w="2498" w:type="dxa"/>
            <w:tcMar>
              <w:top w:w="55" w:type="dxa"/>
              <w:left w:w="65" w:type="dxa"/>
              <w:bottom w:w="55" w:type="dxa"/>
              <w:right w:w="65" w:type="dxa"/>
            </w:tcMar>
            <w:vAlign w:val="center"/>
          </w:tcPr>
          <w:p w14:paraId="0C11E11E" w14:textId="77777777" w:rsidR="004C250E" w:rsidRPr="005D5368" w:rsidRDefault="00000000">
            <w:pPr>
              <w:jc w:val="center"/>
              <w:rPr>
                <w:szCs w:val="28"/>
              </w:rPr>
            </w:pPr>
            <w:r w:rsidRPr="005D5368">
              <w:rPr>
                <w:szCs w:val="28"/>
              </w:rPr>
              <w:t>Frozen-attention comparison across coherent and sign-varying patterns</w:t>
            </w:r>
          </w:p>
        </w:tc>
        <w:tc>
          <w:tcPr>
            <w:tcW w:w="2498" w:type="dxa"/>
            <w:tcMar>
              <w:top w:w="55" w:type="dxa"/>
              <w:left w:w="65" w:type="dxa"/>
              <w:bottom w:w="55" w:type="dxa"/>
              <w:right w:w="65" w:type="dxa"/>
            </w:tcMar>
            <w:vAlign w:val="center"/>
          </w:tcPr>
          <w:p w14:paraId="24F5E676" w14:textId="77777777" w:rsidR="004C250E" w:rsidRPr="005D5368" w:rsidRDefault="00000000">
            <w:pPr>
              <w:jc w:val="center"/>
              <w:rPr>
                <w:szCs w:val="28"/>
              </w:rPr>
            </w:pPr>
            <w:r w:rsidRPr="005D5368">
              <w:rPr>
                <w:szCs w:val="28"/>
              </w:rPr>
              <w:t>Coherent Value contributions accumulate; sign-varying contributions partially cancel.</w:t>
            </w:r>
          </w:p>
        </w:tc>
      </w:tr>
      <w:tr w:rsidR="004C250E" w:rsidRPr="005D5368" w14:paraId="4090163E" w14:textId="77777777" w:rsidTr="005D5368">
        <w:tc>
          <w:tcPr>
            <w:tcW w:w="2498" w:type="dxa"/>
            <w:tcMar>
              <w:top w:w="55" w:type="dxa"/>
              <w:left w:w="65" w:type="dxa"/>
              <w:bottom w:w="55" w:type="dxa"/>
              <w:right w:w="65" w:type="dxa"/>
            </w:tcMar>
            <w:vAlign w:val="center"/>
          </w:tcPr>
          <w:p w14:paraId="228C2643" w14:textId="77777777" w:rsidR="004C250E" w:rsidRPr="005D5368" w:rsidRDefault="00000000">
            <w:pPr>
              <w:rPr>
                <w:szCs w:val="28"/>
              </w:rPr>
            </w:pPr>
            <w:r w:rsidRPr="005D5368">
              <w:rPr>
                <w:szCs w:val="28"/>
              </w:rPr>
              <w:lastRenderedPageBreak/>
              <w:t>Multi-block operator prediction</w:t>
            </w:r>
          </w:p>
        </w:tc>
        <w:tc>
          <w:tcPr>
            <w:tcW w:w="2498" w:type="dxa"/>
            <w:tcMar>
              <w:top w:w="55" w:type="dxa"/>
              <w:left w:w="65" w:type="dxa"/>
              <w:bottom w:w="55" w:type="dxa"/>
              <w:right w:w="65" w:type="dxa"/>
            </w:tcMar>
            <w:vAlign w:val="center"/>
          </w:tcPr>
          <w:p w14:paraId="75A4A058" w14:textId="77777777" w:rsidR="004C250E" w:rsidRPr="005D5368" w:rsidRDefault="00000000">
            <w:pPr>
              <w:jc w:val="center"/>
              <w:rPr>
                <w:szCs w:val="28"/>
              </w:rPr>
            </w:pPr>
            <w:r w:rsidRPr="005D5368">
              <w:rPr>
                <w:szCs w:val="28"/>
              </w:rPr>
              <w:t>N=100 held-out perturbations (vectors; per model)</w:t>
            </w:r>
          </w:p>
        </w:tc>
        <w:tc>
          <w:tcPr>
            <w:tcW w:w="2498" w:type="dxa"/>
            <w:tcMar>
              <w:top w:w="55" w:type="dxa"/>
              <w:left w:w="65" w:type="dxa"/>
              <w:bottom w:w="55" w:type="dxa"/>
              <w:right w:w="65" w:type="dxa"/>
            </w:tcMar>
            <w:vAlign w:val="center"/>
          </w:tcPr>
          <w:p w14:paraId="47A83F2A" w14:textId="77777777" w:rsidR="004C250E" w:rsidRPr="005D5368" w:rsidRDefault="00000000">
            <w:pPr>
              <w:jc w:val="center"/>
              <w:rPr>
                <w:szCs w:val="28"/>
              </w:rPr>
            </w:pPr>
            <w:r w:rsidRPr="005D5368">
              <w:rPr>
                <w:szCs w:val="28"/>
              </w:rPr>
              <w:t>Single-block vs. end-to-end prediction on a fixed four-family mixture</w:t>
            </w:r>
          </w:p>
        </w:tc>
        <w:tc>
          <w:tcPr>
            <w:tcW w:w="2498" w:type="dxa"/>
            <w:tcMar>
              <w:top w:w="55" w:type="dxa"/>
              <w:left w:w="65" w:type="dxa"/>
              <w:bottom w:w="55" w:type="dxa"/>
              <w:right w:w="65" w:type="dxa"/>
            </w:tcMar>
            <w:vAlign w:val="center"/>
          </w:tcPr>
          <w:p w14:paraId="1C8BF704" w14:textId="77777777" w:rsidR="004C250E" w:rsidRPr="005D5368" w:rsidRDefault="00000000">
            <w:pPr>
              <w:jc w:val="center"/>
              <w:rPr>
                <w:szCs w:val="28"/>
              </w:rPr>
            </w:pPr>
            <w:r w:rsidRPr="005D5368">
              <w:rPr>
                <w:szCs w:val="28"/>
              </w:rPr>
              <w:t>End-to-end Jacobian predictions are more strongly associated with measured damage than single-block predictions under the tested mixture.</w:t>
            </w:r>
          </w:p>
        </w:tc>
      </w:tr>
      <w:tr w:rsidR="004C250E" w:rsidRPr="005D5368" w14:paraId="3E95FF79" w14:textId="77777777" w:rsidTr="005D5368">
        <w:trPr>
          <w:cantSplit/>
        </w:trPr>
        <w:tc>
          <w:tcPr>
            <w:tcW w:w="2498" w:type="dxa"/>
            <w:tcMar>
              <w:top w:w="55" w:type="dxa"/>
              <w:left w:w="65" w:type="dxa"/>
              <w:bottom w:w="55" w:type="dxa"/>
              <w:right w:w="65" w:type="dxa"/>
            </w:tcMar>
            <w:vAlign w:val="center"/>
          </w:tcPr>
          <w:p w14:paraId="72B20E6E" w14:textId="77777777" w:rsidR="004C250E" w:rsidRPr="005D5368" w:rsidRDefault="00000000">
            <w:pPr>
              <w:rPr>
                <w:szCs w:val="28"/>
              </w:rPr>
            </w:pPr>
            <w:r w:rsidRPr="005D5368">
              <w:rPr>
                <w:szCs w:val="28"/>
              </w:rPr>
              <w:t>Strict confirmatory compression</w:t>
            </w:r>
          </w:p>
        </w:tc>
        <w:tc>
          <w:tcPr>
            <w:tcW w:w="2498" w:type="dxa"/>
            <w:tcMar>
              <w:top w:w="55" w:type="dxa"/>
              <w:left w:w="65" w:type="dxa"/>
              <w:bottom w:w="55" w:type="dxa"/>
              <w:right w:w="65" w:type="dxa"/>
            </w:tcMar>
            <w:vAlign w:val="center"/>
          </w:tcPr>
          <w:p w14:paraId="33E07DDC" w14:textId="77777777" w:rsidR="004C250E" w:rsidRPr="005D5368" w:rsidRDefault="00000000">
            <w:pPr>
              <w:jc w:val="center"/>
              <w:rPr>
                <w:szCs w:val="28"/>
              </w:rPr>
            </w:pPr>
            <w:r w:rsidRPr="005D5368">
              <w:rPr>
                <w:szCs w:val="28"/>
              </w:rPr>
              <w:t>N=1,000 held-out images per architecture</w:t>
            </w:r>
          </w:p>
        </w:tc>
        <w:tc>
          <w:tcPr>
            <w:tcW w:w="2498" w:type="dxa"/>
            <w:tcMar>
              <w:top w:w="55" w:type="dxa"/>
              <w:left w:w="65" w:type="dxa"/>
              <w:bottom w:w="55" w:type="dxa"/>
              <w:right w:w="65" w:type="dxa"/>
            </w:tcMar>
            <w:vAlign w:val="center"/>
          </w:tcPr>
          <w:p w14:paraId="464929FA" w14:textId="77777777" w:rsidR="004C250E" w:rsidRPr="005D5368" w:rsidRDefault="00000000">
            <w:pPr>
              <w:jc w:val="center"/>
              <w:rPr>
                <w:szCs w:val="28"/>
              </w:rPr>
            </w:pPr>
            <w:r w:rsidRPr="005D5368">
              <w:rPr>
                <w:szCs w:val="28"/>
              </w:rPr>
              <w:t>Frozen protocol and architecture-specific budgets</w:t>
            </w:r>
          </w:p>
        </w:tc>
        <w:tc>
          <w:tcPr>
            <w:tcW w:w="2498" w:type="dxa"/>
            <w:tcMar>
              <w:top w:w="55" w:type="dxa"/>
              <w:left w:w="65" w:type="dxa"/>
              <w:bottom w:w="55" w:type="dxa"/>
              <w:right w:w="65" w:type="dxa"/>
            </w:tcMar>
            <w:vAlign w:val="center"/>
          </w:tcPr>
          <w:p w14:paraId="7FDC397A" w14:textId="77777777" w:rsidR="004C250E" w:rsidRPr="005D5368" w:rsidRDefault="00000000">
            <w:pPr>
              <w:jc w:val="center"/>
              <w:rPr>
                <w:szCs w:val="28"/>
              </w:rPr>
            </w:pPr>
            <w:r w:rsidRPr="005D5368">
              <w:rPr>
                <w:szCs w:val="28"/>
              </w:rPr>
              <w:t>At the most aggressive tested budgets, operator-aware methods beat the strongest pruning baselines by 4.2–12.0 pp; ToMe remains competitive.</w:t>
            </w:r>
          </w:p>
        </w:tc>
      </w:tr>
    </w:tbl>
    <w:p w14:paraId="1B768C11" w14:textId="77777777" w:rsidR="004C250E" w:rsidRDefault="004C250E">
      <w:pPr>
        <w:spacing w:after="20"/>
      </w:pPr>
    </w:p>
    <w:p w14:paraId="2DE82A1D" w14:textId="77777777" w:rsidR="004C250E" w:rsidRDefault="00000000">
      <w:pPr>
        <w:spacing w:after="100" w:line="259" w:lineRule="auto"/>
      </w:pPr>
      <w:r>
        <w:rPr>
          <w:b/>
        </w:rPr>
        <w:t>Statistical reporting.</w:t>
      </w:r>
      <w:r>
        <w:t xml:space="preserve"> Where conditions share a cohort, paired image-level comparisons use the same image under each condition. Seeded results are summarized at the run level; means and sample standard deviations are reported across runs where shown, and seed–image rows are not treated as independent images. For the grouped-diversity extension, each image’s outcome is first averaged across five seeds, then paired t and Wilcoxon tests are applied. Where specified by protocol, Top-1 differences use exact McNemar tests; margin contrasts use paired Student’s t and Wilcoxon tests, with study-specific bootstrap or t-based intervals and Cohen’s d</w:t>
      </w:r>
      <w:r>
        <w:rPr>
          <w:vertAlign w:val="subscript"/>
        </w:rPr>
        <w:t>z</w:t>
      </w:r>
      <w:r>
        <w:t xml:space="preserve"> where reported. Benjamini–Hochberg correction is applied only within protocol-defined comparison families. Multi-block analyses use perturbations as the sample unit, and operator-space outcomes remain distinct from classifier-image outcomes; Supplementary Section S10 gives the study-specific procedures and seed IDs.</w:t>
      </w:r>
    </w:p>
    <w:p w14:paraId="3EA46E61" w14:textId="77777777" w:rsidR="004C250E" w:rsidRDefault="00000000">
      <w:pPr>
        <w:spacing w:after="100" w:line="259" w:lineRule="auto"/>
      </w:pPr>
      <w:r>
        <w:t>In the equations, N</w:t>
      </w:r>
      <w:r>
        <w:rPr>
          <w:vertAlign w:val="subscript"/>
        </w:rPr>
        <w:t>img</w:t>
      </w:r>
      <w:r>
        <w:t xml:space="preserve"> denotes the number of image samples, </w:t>
      </w:r>
      <m:oMath>
        <m:sSub>
          <m:sSubPr>
            <m:ctrlPr>
              <w:rPr>
                <w:rFonts w:ascii="Cambria Math" w:hAnsi="Cambria Math"/>
              </w:rPr>
            </m:ctrlPr>
          </m:sSubPr>
          <m:e>
            <m:r>
              <w:rPr>
                <w:rFonts w:ascii="Cambria Math" w:hAnsi="Cambria Math"/>
              </w:rPr>
              <m:t>n</m:t>
            </m:r>
          </m:e>
          <m:sub>
            <m:r>
              <w:rPr>
                <w:rFonts w:ascii="Cambria Math" w:hAnsi="Cambria Math"/>
              </w:rPr>
              <m:t>p</m:t>
            </m:r>
          </m:sub>
        </m:sSub>
      </m:oMath>
      <w:r>
        <w:t xml:space="preserve"> the number of spatial patch slots, and D the feature dimension; Table I reports N alongside each study's sampling unit. For the fixed-slot intervention, let </w:t>
      </w:r>
      <m:oMath>
        <m:sSub>
          <m:sSubPr>
            <m:ctrlPr>
              <w:rPr>
                <w:rFonts w:ascii="Cambria Math" w:hAnsi="Cambria Math"/>
              </w:rPr>
            </m:ctrlPr>
          </m:sSubPr>
          <m:e>
            <m:r>
              <w:rPr>
                <w:rFonts w:ascii="Cambria Math" w:hAnsi="Cambria Math"/>
              </w:rPr>
              <m:t>P</m:t>
            </m:r>
          </m:e>
          <m:sub>
            <m:r>
              <m:rPr>
                <m:scr m:val="script"/>
              </m:rPr>
              <w:rPr>
                <w:rFonts w:ascii="Cambria Math" w:hAnsi="Cambria Math"/>
              </w:rPr>
              <m:t>l</m:t>
            </m:r>
          </m:sub>
        </m:sSub>
      </m:oMath>
      <w:r>
        <w:t>∈</w:t>
      </w:r>
      <m:oMath>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×D</m:t>
            </m:r>
          </m:sup>
        </m:sSup>
      </m:oMath>
      <w:r>
        <w:t xml:space="preserve"> contain the patch activations at layer ℓ, with </w:t>
      </w:r>
      <m:oMath>
        <m:sSub>
          <m:sSubPr>
            <m:ctrlPr>
              <w:rPr>
                <w:rFonts w:ascii="Cambria Math" w:hAnsi="Cambria Math"/>
              </w:rPr>
            </m:ctrlPr>
          </m:sSubPr>
          <m:e>
            <m:r>
              <w:rPr>
                <w:rFonts w:ascii="Cambria Math" w:hAnsi="Cambria Math"/>
              </w:rPr>
              <m:t>p</m:t>
            </m:r>
          </m:e>
          <m:sub>
            <m:r>
              <m:rPr>
                <m:scr m:val="script"/>
              </m:rPr>
              <w:rPr>
                <w:rFonts w:ascii="Cambria Math" w:hAnsi="Cambria Math"/>
              </w:rPr>
              <m:t>l,</m:t>
            </m:r>
            <m:r>
              <w:rPr>
                <w:rFonts w:ascii="Cambria Math" w:hAnsi="Cambria Math"/>
              </w:rPr>
              <m:t>i</m:t>
            </m:r>
          </m:sub>
        </m:sSub>
      </m:oMath>
      <w:r>
        <w:t>∈</w:t>
      </w:r>
      <m:oMath>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xml:space="preserve"> as row i and </w:t>
      </w:r>
      <m:oMath>
        <m:sSub>
          <m:sSubPr>
            <m:ctrlPr>
              <w:rPr>
                <w:rFonts w:ascii="Cambria Math" w:hAnsi="Cambria Math"/>
              </w:rPr>
            </m:ctrlPr>
          </m:sSubPr>
          <m:e>
            <m:r>
              <w:rPr>
                <w:rFonts w:ascii="Cambria Math" w:hAnsi="Cambria Math"/>
              </w:rPr>
              <m:t>r</m:t>
            </m:r>
          </m:e>
          <m:sub>
            <m:r>
              <m:rPr>
                <m:scr m:val="script"/>
              </m:rPr>
              <w:rPr>
                <w:rFonts w:ascii="Cambria Math" w:hAnsi="Cambria Math"/>
              </w:rPr>
              <m:t>l,</m:t>
            </m:r>
            <m:r>
              <w:rPr>
                <w:rFonts w:ascii="Cambria Math" w:hAnsi="Cambria Math"/>
              </w:rPr>
              <m:t>i</m:t>
            </m:r>
          </m:sub>
        </m:sSub>
      </m:oMath>
      <w:r>
        <w:t xml:space="preserve"> its class-agnostic calibration surrogate. The binary indicator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selects the slots to replace:</w:t>
      </w:r>
    </w:p>
    <w:tbl>
      <w:tblPr>
        <w:tblW w:w="9994" w:type="dxa"/>
        <w:jc w:val="center"/>
        <w:tblBorders>
          <w:top w:val="nil"/>
          <w:left w:val="nil"/>
          <w:bottom w:val="nil"/>
          <w:right w:val="nil"/>
          <w:insideH w:val="nil"/>
          <w:insideV w:val="nil"/>
        </w:tblBorders>
        <w:tblLayout w:type="fixed"/>
        <w:tblLook w:val="04A0" w:firstRow="1" w:lastRow="0" w:firstColumn="1" w:lastColumn="0" w:noHBand="0" w:noVBand="1"/>
      </w:tblPr>
      <w:tblGrid>
        <w:gridCol w:w="518"/>
        <w:gridCol w:w="8958"/>
        <w:gridCol w:w="518"/>
      </w:tblGrid>
      <w:tr w:rsidR="004C250E" w14:paraId="1926A38E" w14:textId="77777777">
        <w:trPr>
          <w:cantSplit/>
          <w:jc w:val="center"/>
        </w:trPr>
        <w:tc>
          <w:tcPr>
            <w:tcW w:w="518" w:type="dxa"/>
            <w:tcMar>
              <w:top w:w="0" w:type="dxa"/>
              <w:left w:w="0" w:type="dxa"/>
              <w:bottom w:w="0" w:type="dxa"/>
              <w:right w:w="0" w:type="dxa"/>
            </w:tcMar>
            <w:vAlign w:val="center"/>
          </w:tcPr>
          <w:p w14:paraId="452B62E5" w14:textId="77777777" w:rsidR="004C250E" w:rsidRDefault="004C250E">
            <w:pPr>
              <w:keepLines/>
              <w:spacing w:before="40" w:after="80" w:line="240" w:lineRule="auto"/>
            </w:pPr>
          </w:p>
        </w:tc>
        <w:tc>
          <w:tcPr>
            <w:tcW w:w="8957" w:type="dxa"/>
            <w:tcMar>
              <w:top w:w="0" w:type="dxa"/>
              <w:left w:w="0" w:type="dxa"/>
              <w:bottom w:w="0" w:type="dxa"/>
              <w:right w:w="0" w:type="dxa"/>
            </w:tcMar>
            <w:vAlign w:val="center"/>
          </w:tcPr>
          <w:p w14:paraId="2C7DB4FF" w14:textId="77777777" w:rsidR="004C250E" w:rsidRDefault="00000000">
            <w:pPr>
              <w:keepLines/>
              <w:spacing w:after="0" w:line="240" w:lineRule="auto"/>
              <w:jc w:val="center"/>
            </w:pPr>
            <m:oMathPara>
              <m:oMath>
                <m:r>
                  <w:rPr>
                    <w:rFonts w:ascii="Cambria Math" w:hAnsi="Cambria Math"/>
                  </w:rPr>
                  <m:t>p</m:t>
                </m:r>
                <m:sSub>
                  <m:sSubPr>
                    <m:ctrlPr>
                      <w:rPr>
                        <w:rFonts w:ascii="Cambria Math" w:hAnsi="Cambria Math"/>
                      </w:rPr>
                    </m:ctrlPr>
                  </m:sSubPr>
                  <m:e>
                    <m:r>
                      <w:rPr>
                        <w:rFonts w:ascii="Cambria Math" w:hAnsi="Cambria Math"/>
                      </w:rPr>
                      <m:t>~</m:t>
                    </m:r>
                  </m:e>
                  <m:sub>
                    <m:r>
                      <w:rPr>
                        <w:rFonts w:ascii="Cambria Math" w:hAnsi="Cambria Math"/>
                      </w:rPr>
                      <m:t>l,i</m:t>
                    </m:r>
                  </m:sub>
                </m:sSub>
                <m:r>
                  <w:rPr>
                    <w:rFonts w:ascii="Cambria Math" w:hAnsi="Cambria Math"/>
                  </w:rPr>
                  <m:t>=(1-</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l,i</m:t>
                    </m:r>
                  </m:sub>
                </m:sSub>
                <m: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 xml:space="preserve">∈{0,1}, i=1, …, </m:t>
                </m:r>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m:t>
                </m:r>
              </m:oMath>
            </m:oMathPara>
          </w:p>
        </w:tc>
        <w:tc>
          <w:tcPr>
            <w:tcW w:w="518" w:type="dxa"/>
            <w:tcMar>
              <w:top w:w="0" w:type="dxa"/>
              <w:left w:w="0" w:type="dxa"/>
              <w:bottom w:w="0" w:type="dxa"/>
              <w:right w:w="0" w:type="dxa"/>
            </w:tcMar>
            <w:vAlign w:val="center"/>
          </w:tcPr>
          <w:p w14:paraId="6D957140" w14:textId="77777777" w:rsidR="004C250E" w:rsidRDefault="00000000">
            <w:pPr>
              <w:keepLines/>
              <w:spacing w:before="40" w:after="80" w:line="240" w:lineRule="auto"/>
              <w:jc w:val="right"/>
            </w:pPr>
            <w:r>
              <w:rPr>
                <w:sz w:val="18"/>
              </w:rPr>
              <w:t>(1)</w:t>
            </w:r>
          </w:p>
        </w:tc>
      </w:tr>
    </w:tbl>
    <w:p w14:paraId="7A5D4970" w14:textId="77777777" w:rsidR="004C250E" w:rsidRDefault="00000000">
      <w:pPr>
        <w:spacing w:after="100" w:line="259" w:lineRule="auto"/>
      </w:pPr>
      <w:r>
        <w:t xml:space="preserve">Thus, when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=0 the original activation remains, and when </w:t>
      </w:r>
      <m:oMath>
        <m:sSub>
          <m:sSubPr>
            <m:ctrlPr>
              <w:rPr>
                <w:rFonts w:ascii="Cambria Math" w:hAnsi="Cambria Math"/>
              </w:rPr>
            </m:ctrlPr>
          </m:sSubPr>
          <m:e>
            <m:r>
              <w:rPr>
                <w:rFonts w:ascii="Cambria Math" w:hAnsi="Cambria Math"/>
              </w:rPr>
              <m:t>u</m:t>
            </m:r>
          </m:e>
          <m:sub>
            <m:r>
              <w:rPr>
                <w:rFonts w:ascii="Cambria Math" w:hAnsi="Cambria Math"/>
              </w:rPr>
              <m:t>i</m:t>
            </m:r>
          </m:sub>
        </m:sSub>
      </m:oMath>
      <w:r>
        <w:t>=1 it is replaced by the corresponding surrogate. The class token, position indices, number of rows, model weights, and subsequent computation remain unchanged. The intervention isolates dependence on image-specific content while keeping token slots fixed.</w:t>
      </w:r>
    </w:p>
    <w:p w14:paraId="67D73922" w14:textId="77777777" w:rsidR="004C250E" w:rsidRDefault="00000000">
      <w:pPr>
        <w:spacing w:after="100" w:line="259" w:lineRule="auto"/>
      </w:pPr>
      <w:r>
        <w:t>Surrogate values and replacement masks are protocol-specific: audited controls include calibration centroids, diagonal-Gaussian samples, and geometry or PCA-aligned variants. The mask identifies the selected patch positions and replacement fraction; calibration-derived quantities are estimated only from calibration data. Section 4 reports the layer, fraction, and control used in each replacement study.</w:t>
      </w:r>
    </w:p>
    <w:p w14:paraId="46B7B979" w14:textId="77777777" w:rsidR="004C250E" w:rsidRDefault="00000000">
      <w:pPr>
        <w:spacing w:after="100" w:line="259" w:lineRule="auto"/>
      </w:pPr>
      <w:r>
        <w:t>For compression, the end-to-end Jacobian maps a patch-matrix perturbation at layer ℓ to the pre-classifier readout u defined in Section 6, not directly to Top-1 accuracy. Evaluated at the unperturbed activation, its product with a flattened perturbation predicts the readout change to first order; classification outcomes are measured by applying the actual classifier to the compressed model output. The full-J oracle uses a per-image Jacobian as an offline reference, not a deployable inference procedure. Section 6 defines the operator objective and grouping variables.</w:t>
      </w:r>
    </w:p>
    <w:p w14:paraId="115334EC" w14:textId="77777777" w:rsidR="004C250E" w:rsidRDefault="00000000">
      <w:pPr>
        <w:spacing w:after="100" w:line="259" w:lineRule="auto"/>
      </w:pPr>
      <w:r>
        <w:t>Practical-carrier classifier, operator-space, and throughput procedures are described separately in Supplementary Section S13.</w:t>
      </w:r>
    </w:p>
    <w:p w14:paraId="4021ECAB" w14:textId="77777777" w:rsidR="004C250E" w:rsidRDefault="00000000">
      <w:pPr>
        <w:pStyle w:val="Heading1"/>
      </w:pPr>
      <w:r>
        <w:rPr>
          <w:rFonts w:ascii="Times New Roman" w:hAnsi="Times New Roman"/>
        </w:rPr>
        <w:t>4. Geometric and Diversity Constraints on Patch-Content Fungibility</w:t>
      </w:r>
    </w:p>
    <w:p w14:paraId="70813908" w14:textId="77777777" w:rsidR="004C250E" w:rsidRDefault="00000000">
      <w:pPr>
        <w:pStyle w:val="Heading2"/>
      </w:pPr>
      <w:r>
        <w:rPr>
          <w:rFonts w:ascii="Times New Roman" w:hAnsi="Times New Roman"/>
        </w:rPr>
        <w:t>4.1 Depth-Dependent Replacement Tolerance</w:t>
      </w:r>
    </w:p>
    <w:p w14:paraId="2875CABD" w14:textId="77777777" w:rsidR="004C250E" w:rsidRDefault="00000000">
      <w:pPr>
        <w:spacing w:after="100" w:line="259" w:lineRule="auto"/>
      </w:pPr>
      <w:r>
        <w:t>Figure 2 shows a pronounced distinction between zeroing patch activations and replacing their image-specific content with calibration-derived surrogates. On DINOv2 ViT-S/14, zero replacement reduces accuracy to 60.2% at depth 5 and 4.5% at depth 9, whereas centroid replacement retains 73.2% and 74.1%, respectively. The contrast also appears at depth 8 in DeiT-Tiny (59.1% vs. 67.2%) and DeiT-Small (69.6% vs. 76.1%), and at depth 7 in ViT-B/16 AugReg (70.4% vs. 74.5%). Gaussian replacement exhibits similar preservation in several settings, achieving 75.3% accuracy on DeiT-Small at depth 8.</w:t>
      </w:r>
    </w:p>
    <w:p w14:paraId="49EF7E9D" w14:textId="77777777" w:rsidR="004C250E" w:rsidRDefault="00000000">
      <w:pPr>
        <w:spacing w:after="100" w:line="259" w:lineRule="auto"/>
      </w:pPr>
      <w:r>
        <w:lastRenderedPageBreak/>
        <w:t>Together, these results distinguish the functional consequences of removing patch activations from those of replacing image-specific content with compatible surrogate representations. The magnitude and depth profile of this distinction vary across architectures, with no common transition depth or uniformly monotonic trend across the tested models. Thus, sensitivity to zero ablation does not necessarily imply that downstream classification requires the original image-specific patch content.</w:t>
      </w:r>
    </w:p>
    <w:p w14:paraId="03D93198" w14:textId="77777777" w:rsidR="004C250E" w:rsidRDefault="00000000">
      <w:pPr>
        <w:keepNext/>
        <w:keepLines/>
        <w:spacing w:after="20"/>
        <w:jc w:val="center"/>
      </w:pPr>
      <w:r>
        <w:rPr>
          <w:noProof/>
        </w:rPr>
        <w:drawing>
          <wp:inline distT="0" distB="0" distL="0" distR="0" wp14:anchorId="20677DC4" wp14:editId="3D509528">
            <wp:extent cx="6172200" cy="37692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depthwise.png"/>
                    <pic:cNvPicPr/>
                  </pic:nvPicPr>
                  <pic:blipFill>
                    <a:blip r:embed="rId7"/>
                    <a:stretch>
                      <a:fillRect/>
                    </a:stretch>
                  </pic:blipFill>
                  <pic:spPr>
                    <a:xfrm>
                      <a:off x="0" y="0"/>
                      <a:ext cx="6172200" cy="3769282"/>
                    </a:xfrm>
                    <a:prstGeom prst="rect">
                      <a:avLst/>
                    </a:prstGeom>
                  </pic:spPr>
                </pic:pic>
              </a:graphicData>
            </a:graphic>
          </wp:inline>
        </w:drawing>
      </w:r>
    </w:p>
    <w:p w14:paraId="3E503E8E" w14:textId="77777777" w:rsidR="004C250E" w:rsidRDefault="00000000">
      <w:pPr>
        <w:keepLines/>
        <w:spacing w:after="80"/>
        <w:jc w:val="center"/>
      </w:pPr>
      <w:r>
        <w:rPr>
          <w:i/>
          <w:color w:val="4C5963"/>
          <w:sz w:val="17"/>
        </w:rPr>
        <w:t>Figure 2. Depth-wise Top-1 accuracy under 25% spatial-patch replacement across four architectures. Each model uses 1,000 held-out evaluation images and a disjoint 1,000-image calibration set. Panels (a,b) show DeiT-Tiny and DeiT-Small, with calibration-derived global-mean centroids and Gaussian results averaged over five seeds. Panels (c,d) show ViT-B/16 AugReg and DINOv2 ViT-S/14, including a post hoc depth-6 follow-up, with Gaussian results averaged over three seeds. Error bars indicate sample standard deviation across Gaussian seeds; gray dashed lines indicate clean accuracy.</w:t>
      </w:r>
    </w:p>
    <w:p w14:paraId="277C991E" w14:textId="77777777" w:rsidR="004C250E" w:rsidRDefault="00000000">
      <w:pPr>
        <w:pStyle w:val="Heading2"/>
      </w:pPr>
      <w:r>
        <w:rPr>
          <w:rFonts w:ascii="Times New Roman" w:hAnsi="Times New Roman"/>
        </w:rPr>
        <w:t>4.2 Geometric and Diversity Constraints</w:t>
      </w:r>
    </w:p>
    <w:p w14:paraId="720ACAF8" w14:textId="77777777" w:rsidR="004C250E" w:rsidRDefault="00000000">
      <w:pPr>
        <w:spacing w:after="100" w:line="259" w:lineRule="auto"/>
      </w:pPr>
      <w:r>
        <w:rPr>
          <w:b/>
        </w:rPr>
        <w:t>Geometry.</w:t>
      </w:r>
      <w:r>
        <w:t xml:space="preserve"> At Block 8 with 50% replacement, coordinate-permuted calibration centroids yield mean Top-1 accuracy ± sample SD of 50.1% ± 7.9% (DeiT-Tiny), 57.6% ± 5.9% (DeiT-Small), 66.7% ± 3.3% (ViT-B/16 AugReg), and 7.7% ± 8.9% (DINOv2 ViT-S/14). The corresponding calibration-centroid controls are 66.3%, 75.6%, 73.2%, and 55.5%; sign-inverted controls are 0.7%, 10.5%, 67.5%, and 0.1% (Figure 3(a)). Coordinate permutation preserves the centroid’s norm and coordinate-value multiset while changing channel assignment; sign inversion preserves its norm while reversing direction. These contrasts show that feature geometry matters in the tested settings, with architecture-dependent effects.</w:t>
      </w:r>
    </w:p>
    <w:p w14:paraId="23197957" w14:textId="77777777" w:rsidR="004C250E" w:rsidRDefault="00000000">
      <w:pPr>
        <w:spacing w:after="100" w:line="259" w:lineRule="auto"/>
      </w:pPr>
      <w:r>
        <w:rPr>
          <w:b/>
        </w:rPr>
        <w:t>Token diversity.</w:t>
      </w:r>
      <w:r>
        <w:t xml:space="preserve"> Under complete grouped-Gaussian replacement at Block 8, mean Top-1 rises at every tested K for DeiT-Tiny, DeiT-Small, and ViT-B/16 AugReg (Figure 3(b)). From K=1 to K=196, accuracy increases from 1.2% to 26.4%, 10.4% to 46.5%, and 3.24% to 14.58%, respectively. For ViT-B, the paired image-level endpoint gain is 11.34 percentage points (95% CI 9.55–13.13; N=1,000 paired images). This graded pattern appears in three architectures; it does not imply that every adjacent K increment is significant. K counts distinct surrogate vectors across token positions, not feature-space dimensionality.</w:t>
      </w:r>
    </w:p>
    <w:p w14:paraId="2350D227" w14:textId="77777777" w:rsidR="004C250E" w:rsidRDefault="00000000">
      <w:pPr>
        <w:spacing w:after="100" w:line="259" w:lineRule="auto"/>
      </w:pPr>
      <w:r>
        <w:t>DINOv2 ViT-S/14 differs: Top-1 remains between 0.06% and 0.18% across K, with a paired K=1-to-256 change of −0.02 percentage points (95% CI −0.16 to 0.12; N=1,000). Its official readout includes a mean normalized-patch representation, so we report the true-class margin alongside accuracy. The mean margin changes from −9.233 to −7.982 (paired change +1.250, 95% CI 1.091–1.410; Supplementary Figure S10); this margin shift is not Top-1 recovery.</w:t>
      </w:r>
    </w:p>
    <w:p w14:paraId="6E9AE9F2" w14:textId="77777777" w:rsidR="004C250E" w:rsidRDefault="00000000">
      <w:pPr>
        <w:keepNext/>
        <w:keepLines/>
        <w:spacing w:after="20"/>
        <w:jc w:val="center"/>
      </w:pPr>
      <w:r>
        <w:rPr>
          <w:noProof/>
        </w:rPr>
        <w:lastRenderedPageBreak/>
        <w:drawing>
          <wp:inline distT="0" distB="0" distL="0" distR="0" wp14:anchorId="5776E7E9" wp14:editId="07ABC152">
            <wp:extent cx="6172200" cy="37732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geometry_diversity.png"/>
                    <pic:cNvPicPr/>
                  </pic:nvPicPr>
                  <pic:blipFill>
                    <a:blip r:embed="rId8"/>
                    <a:stretch>
                      <a:fillRect/>
                    </a:stretch>
                  </pic:blipFill>
                  <pic:spPr>
                    <a:xfrm>
                      <a:off x="0" y="0"/>
                      <a:ext cx="6172200" cy="3773228"/>
                    </a:xfrm>
                    <a:prstGeom prst="rect">
                      <a:avLst/>
                    </a:prstGeom>
                  </pic:spPr>
                </pic:pic>
              </a:graphicData>
            </a:graphic>
          </wp:inline>
        </w:drawing>
      </w:r>
    </w:p>
    <w:p w14:paraId="480DE991" w14:textId="77777777" w:rsidR="004C250E" w:rsidRDefault="00000000">
      <w:pPr>
        <w:keepLines/>
        <w:spacing w:after="80"/>
        <w:jc w:val="center"/>
      </w:pPr>
      <w:r>
        <w:rPr>
          <w:i/>
          <w:color w:val="4C5963"/>
          <w:sz w:val="17"/>
        </w:rPr>
        <w:t>Figure 3. (a) Top-1 accuracy for centroid, coordinate-permuted, and sign-inverted replacement at Block 8 (50% of spatial patches) across four architectures. Coordinate-permutation bars show three-seed means ± sample SD with individual outcomes; centroid and sign-inversion are single runs. Gray dashed lines mark clean accuracy. (b) Top-1 accuracy under complete grouped-Gaussian replacement as K distinct surrogate vectors across token positions varies (196 positions for DeiT/ViT-B; 256 for DINOv2). Points show seed means ± sample SD (three seeds for DeiT; five for ViT-B/DINOv2); dashed lines mark clean accuracy. (c) Top-1 accuracy under complete replacement at Block 8 for calibration-derived PC1 and an energy-matched random one-dimensional direction. Bars show seed means with individual outcomes (five seeds for DeiT; three for ViT-B/DINOv2). DINOv2 remains near the accuracy floor (0.17% vs. 0.00%). All panels use 1,000 held-out images and disjoint 1,000-image calibration sets per architecture.</w:t>
      </w:r>
    </w:p>
    <w:p w14:paraId="58C634DE" w14:textId="77777777" w:rsidR="004C250E" w:rsidRDefault="00000000">
      <w:pPr>
        <w:spacing w:after="100" w:line="259" w:lineRule="auto"/>
      </w:pPr>
      <w:r>
        <w:rPr>
          <w:b/>
        </w:rPr>
        <w:t>PCA-aligned variation.</w:t>
      </w:r>
      <w:r>
        <w:t xml:space="preserve"> Under complete replacement at Block 8, calibration-derived PC1 outperforms an energy-matched random one-dimensional direction in the tested settings with measurable Top-1 (Figure 3(c)): 18.64% versus 10.80% for DeiT-Tiny and 28.08% versus 20.78% for DeiT-Small (five seeds each), and 40.10% versus 6.70% for ViT-B/16 AugReg (three seeds). Figure 3(b) varies diversity across token positions by changing K, the number of distinct surrogate vectors; Figure 3(c) holds the variation one-dimensional and tests its feature-space direction. In both PC1 and random-direction conditions, independently sampled scalar coefficients allow variation across token positions. DINOv2 remains near the Top-1 floor (0.17% versus 0.00%), with mean true-class margins of −8.438 for PC1 and −8.654 for the random direction. PC1 is the leading eigenvector of centered calibration-activation covariance, not a learned model parameter. These results show that feature-space direction and token-position diversity are distinct constraints; they do not establish rank-1 sufficiency or full accuracy recovery. Together, the controls motivate the directional functional-sensitivity analysis in Section 5.1.</w:t>
      </w:r>
    </w:p>
    <w:p>
      <w:pPr>
        <w:spacing w:after="100" w:line="259" w:lineRule="auto"/>
      </w:pPr>
      <w:r>
        <w:rPr>
          <w:b/>
        </w:rPr>
        <w:t xml:space="preserve">CLS–patch stream asymmetry. </w:t>
      </w:r>
      <w:r>
        <w:t xml:space="preserve">We tested a complementary Block-8 control in DeiT-Tiny and DeiT-Small (1,000 held-out images per model). Replacing the CLS activation with its calibration mean, while leaving all 196 spatial patches unchanged, retained 66.4% and 74.8% Top-1 accuracy, compared with clean baselines of 67.9% and 76.1%. Conversely, retaining the original CLS while replacing every patch with an identical calibration centroid reduced accuracy to 10.2% and 17.0%. Thus, the original image-specific CLS activation is not required for near-baseline classification when the patch stream remains intact, whereas preserving CLS does not prevent degradation under this complete patch intervention. These interventions differ in scale (one versus 196 tokens), and identical-centroid replacement also eliminates patch-token diversity. Consequently, this exploratory comparison does not isolate information transfer to CLS or establish CLS sufficiency as an explanation for patch-content fungibility (Supplementary Section S4).</w:t>
      </w:r>
    </w:p>
    <w:p w14:paraId="46E716A5" w14:textId="77777777" w:rsidR="004368BE" w:rsidRDefault="00000000">
      <w:pPr>
        <w:spacing w:after="100" w:line="259" w:lineRule="auto"/>
      </w:pPr>
      <w:r>
        <w:t>The controlled endpoint differences are summarized in Table II.</w:t>
      </w:r>
    </w:p>
    <w:p w14:paraId="2A5C844C" w14:textId="77777777" w:rsidR="004368BE" w:rsidRDefault="00000000">
      <w:pPr>
        <w:keepNext/>
        <w:spacing w:after="100" w:line="259" w:lineRule="auto"/>
      </w:pPr>
      <w:r>
        <w:t>TABLE II</w:t>
      </w:r>
    </w:p>
    <w:p w14:paraId="3A4C0E9B" w14:textId="77777777" w:rsidR="004368BE" w:rsidRDefault="00000000">
      <w:pPr>
        <w:keepNext/>
        <w:spacing w:after="100" w:line="259" w:lineRule="auto"/>
      </w:pPr>
      <w:r>
        <w:t>CONTROLLED PATCH-CONTENT REPLACEMENT EFFECTS ACROSS ARCHITECTURES</w:t>
      </w:r>
    </w:p>
    <w:p w14:paraId="12D93697" w14:textId="77777777" w:rsidR="004368BE" w:rsidRDefault="00000000">
      <w:pPr>
        <w:keepNext/>
        <w:spacing w:after="100" w:line="259" w:lineRule="auto"/>
      </w:pPr>
      <w:r>
        <w:t>Top-1 differences in percentage points; each contrast is first condition minus second condition. Positive values favor the first condition. Columns summarize distinct protocols, not a common treatment effect.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57"/>
        <w:gridCol w:w="1930"/>
        <w:gridCol w:w="1930"/>
        <w:gridCol w:w="2218"/>
        <w:gridCol w:w="1886"/>
      </w:tblGrid>
      <w:tr w:rsidR="004368BE" w:rsidRPr="00B63702" w14:paraId="72799F98" w14:textId="77777777" w:rsidTr="00B63702">
        <w:trPr>
          <w:cantSplit/>
          <w:tblHeader/>
          <w:jc w:val="center"/>
        </w:trPr>
        <w:tc>
          <w:tcPr>
            <w:tcW w:w="1757" w:type="dxa"/>
            <w:tcBorders>
              <w:top w:val="single" w:sz="4" w:space="0" w:color="auto"/>
              <w:bottom w:val="single" w:sz="4" w:space="0" w:color="auto"/>
            </w:tcBorders>
            <w:tcMar>
              <w:top w:w="55" w:type="dxa"/>
              <w:left w:w="65" w:type="dxa"/>
              <w:bottom w:w="55" w:type="dxa"/>
              <w:right w:w="65" w:type="dxa"/>
            </w:tcMar>
            <w:vAlign w:val="center"/>
          </w:tcPr>
          <w:p w14:paraId="320FF002" w14:textId="77777777" w:rsidR="004368BE" w:rsidRPr="00B63702" w:rsidRDefault="00000000">
            <w:pPr>
              <w:jc w:val="center"/>
              <w:rPr>
                <w:szCs w:val="32"/>
              </w:rPr>
            </w:pPr>
            <w:r w:rsidRPr="00B63702">
              <w:rPr>
                <w:b/>
                <w:color w:val="17232D"/>
                <w:szCs w:val="32"/>
              </w:rPr>
              <w:t>Architecture</w:t>
            </w:r>
          </w:p>
        </w:tc>
        <w:tc>
          <w:tcPr>
            <w:tcW w:w="1930" w:type="dxa"/>
            <w:tcBorders>
              <w:top w:val="single" w:sz="4" w:space="0" w:color="auto"/>
              <w:bottom w:val="single" w:sz="4" w:space="0" w:color="auto"/>
            </w:tcBorders>
            <w:tcMar>
              <w:top w:w="55" w:type="dxa"/>
              <w:left w:w="65" w:type="dxa"/>
              <w:bottom w:w="55" w:type="dxa"/>
              <w:right w:w="65" w:type="dxa"/>
            </w:tcMar>
            <w:vAlign w:val="center"/>
          </w:tcPr>
          <w:p w14:paraId="28775C90" w14:textId="77777777" w:rsidR="004368BE" w:rsidRPr="00B63702" w:rsidRDefault="00000000">
            <w:pPr>
              <w:jc w:val="center"/>
              <w:rPr>
                <w:szCs w:val="32"/>
              </w:rPr>
            </w:pPr>
            <w:r w:rsidRPr="00B63702">
              <w:rPr>
                <w:b/>
                <w:color w:val="17232D"/>
                <w:szCs w:val="32"/>
              </w:rPr>
              <w:t>Centroid − coordinate-permuted (50%)</w:t>
            </w:r>
          </w:p>
        </w:tc>
        <w:tc>
          <w:tcPr>
            <w:tcW w:w="1930" w:type="dxa"/>
            <w:tcBorders>
              <w:top w:val="single" w:sz="4" w:space="0" w:color="auto"/>
              <w:bottom w:val="single" w:sz="4" w:space="0" w:color="auto"/>
            </w:tcBorders>
            <w:tcMar>
              <w:top w:w="55" w:type="dxa"/>
              <w:left w:w="65" w:type="dxa"/>
              <w:bottom w:w="55" w:type="dxa"/>
              <w:right w:w="65" w:type="dxa"/>
            </w:tcMar>
            <w:vAlign w:val="center"/>
          </w:tcPr>
          <w:p w14:paraId="0626C001" w14:textId="77777777" w:rsidR="004368BE" w:rsidRPr="00B63702" w:rsidRDefault="00000000">
            <w:pPr>
              <w:jc w:val="center"/>
              <w:rPr>
                <w:szCs w:val="32"/>
              </w:rPr>
            </w:pPr>
            <w:r w:rsidRPr="00B63702">
              <w:rPr>
                <w:b/>
                <w:color w:val="17232D"/>
                <w:szCs w:val="32"/>
              </w:rPr>
              <w:t>Centroid − sign-inverted (50%)</w:t>
            </w:r>
          </w:p>
        </w:tc>
        <w:tc>
          <w:tcPr>
            <w:tcW w:w="2218" w:type="dxa"/>
            <w:tcBorders>
              <w:top w:val="single" w:sz="4" w:space="0" w:color="auto"/>
              <w:bottom w:val="single" w:sz="4" w:space="0" w:color="auto"/>
            </w:tcBorders>
            <w:tcMar>
              <w:top w:w="55" w:type="dxa"/>
              <w:left w:w="65" w:type="dxa"/>
              <w:bottom w:w="55" w:type="dxa"/>
              <w:right w:w="65" w:type="dxa"/>
            </w:tcMar>
            <w:vAlign w:val="center"/>
          </w:tcPr>
          <w:p w14:paraId="17A0A8FA" w14:textId="77777777" w:rsidR="004368BE" w:rsidRPr="00B63702" w:rsidRDefault="00000000">
            <w:pPr>
              <w:jc w:val="center"/>
              <w:rPr>
                <w:szCs w:val="32"/>
              </w:rPr>
            </w:pPr>
            <w:r w:rsidRPr="00B63702">
              <w:rPr>
                <w:b/>
                <w:color w:val="17232D"/>
                <w:szCs w:val="32"/>
              </w:rPr>
              <w:t>Grouped Kmax − K1</w:t>
            </w:r>
          </w:p>
        </w:tc>
        <w:tc>
          <w:tcPr>
            <w:tcW w:w="1886" w:type="dxa"/>
            <w:tcBorders>
              <w:top w:val="single" w:sz="4" w:space="0" w:color="auto"/>
              <w:bottom w:val="single" w:sz="4" w:space="0" w:color="auto"/>
            </w:tcBorders>
            <w:tcMar>
              <w:top w:w="55" w:type="dxa"/>
              <w:left w:w="65" w:type="dxa"/>
              <w:bottom w:w="55" w:type="dxa"/>
              <w:right w:w="65" w:type="dxa"/>
            </w:tcMar>
            <w:vAlign w:val="center"/>
          </w:tcPr>
          <w:p w14:paraId="097F44A8" w14:textId="77777777" w:rsidR="004368BE" w:rsidRPr="00B63702" w:rsidRDefault="00000000">
            <w:pPr>
              <w:jc w:val="center"/>
              <w:rPr>
                <w:szCs w:val="32"/>
              </w:rPr>
            </w:pPr>
            <w:r w:rsidRPr="00B63702">
              <w:rPr>
                <w:b/>
                <w:color w:val="17232D"/>
                <w:szCs w:val="32"/>
              </w:rPr>
              <w:t>PC1 − random 1D (100%)</w:t>
            </w:r>
          </w:p>
        </w:tc>
      </w:tr>
      <w:tr w:rsidR="004368BE" w:rsidRPr="00B63702" w14:paraId="1729CE69" w14:textId="77777777" w:rsidTr="00B63702">
        <w:trPr>
          <w:cantSplit/>
          <w:jc w:val="center"/>
        </w:trPr>
        <w:tc>
          <w:tcPr>
            <w:tcW w:w="1757" w:type="dxa"/>
            <w:tcBorders>
              <w:top w:val="single" w:sz="4" w:space="0" w:color="auto"/>
            </w:tcBorders>
            <w:tcMar>
              <w:top w:w="55" w:type="dxa"/>
              <w:left w:w="65" w:type="dxa"/>
              <w:bottom w:w="55" w:type="dxa"/>
              <w:right w:w="65" w:type="dxa"/>
            </w:tcMar>
            <w:vAlign w:val="center"/>
          </w:tcPr>
          <w:p w14:paraId="3EEC7DC2" w14:textId="77777777" w:rsidR="004368BE" w:rsidRPr="00B63702" w:rsidRDefault="00000000">
            <w:pPr>
              <w:rPr>
                <w:szCs w:val="32"/>
              </w:rPr>
            </w:pPr>
            <w:r w:rsidRPr="00B63702">
              <w:rPr>
                <w:szCs w:val="32"/>
              </w:rPr>
              <w:t>DeiT-Tiny</w:t>
            </w:r>
          </w:p>
        </w:tc>
        <w:tc>
          <w:tcPr>
            <w:tcW w:w="1930" w:type="dxa"/>
            <w:tcBorders>
              <w:top w:val="single" w:sz="4" w:space="0" w:color="auto"/>
            </w:tcBorders>
            <w:tcMar>
              <w:top w:w="55" w:type="dxa"/>
              <w:left w:w="65" w:type="dxa"/>
              <w:bottom w:w="55" w:type="dxa"/>
              <w:right w:w="65" w:type="dxa"/>
            </w:tcMar>
            <w:vAlign w:val="center"/>
          </w:tcPr>
          <w:p w14:paraId="11A158EA" w14:textId="77777777" w:rsidR="004368BE" w:rsidRPr="00B63702" w:rsidRDefault="00000000">
            <w:pPr>
              <w:jc w:val="center"/>
              <w:rPr>
                <w:szCs w:val="32"/>
              </w:rPr>
            </w:pPr>
            <w:r w:rsidRPr="00B63702">
              <w:rPr>
                <w:szCs w:val="32"/>
              </w:rPr>
              <w:t>+16.2</w:t>
            </w:r>
          </w:p>
        </w:tc>
        <w:tc>
          <w:tcPr>
            <w:tcW w:w="1930" w:type="dxa"/>
            <w:tcBorders>
              <w:top w:val="single" w:sz="4" w:space="0" w:color="auto"/>
            </w:tcBorders>
            <w:tcMar>
              <w:top w:w="55" w:type="dxa"/>
              <w:left w:w="65" w:type="dxa"/>
              <w:bottom w:w="55" w:type="dxa"/>
              <w:right w:w="65" w:type="dxa"/>
            </w:tcMar>
            <w:vAlign w:val="center"/>
          </w:tcPr>
          <w:p w14:paraId="75DCCFE3" w14:textId="77777777" w:rsidR="004368BE" w:rsidRPr="00B63702" w:rsidRDefault="00000000">
            <w:pPr>
              <w:jc w:val="center"/>
              <w:rPr>
                <w:szCs w:val="32"/>
              </w:rPr>
            </w:pPr>
            <w:r w:rsidRPr="00B63702">
              <w:rPr>
                <w:szCs w:val="32"/>
              </w:rPr>
              <w:t>+65.6</w:t>
            </w:r>
          </w:p>
        </w:tc>
        <w:tc>
          <w:tcPr>
            <w:tcW w:w="2218" w:type="dxa"/>
            <w:tcBorders>
              <w:top w:val="single" w:sz="4" w:space="0" w:color="auto"/>
            </w:tcBorders>
            <w:tcMar>
              <w:top w:w="55" w:type="dxa"/>
              <w:left w:w="65" w:type="dxa"/>
              <w:bottom w:w="55" w:type="dxa"/>
              <w:right w:w="65" w:type="dxa"/>
            </w:tcMar>
            <w:vAlign w:val="center"/>
          </w:tcPr>
          <w:p w14:paraId="33203139" w14:textId="77777777" w:rsidR="004368BE" w:rsidRPr="00B63702" w:rsidRDefault="00000000">
            <w:pPr>
              <w:jc w:val="center"/>
              <w:rPr>
                <w:szCs w:val="32"/>
              </w:rPr>
            </w:pPr>
            <w:r w:rsidRPr="00B63702">
              <w:rPr>
                <w:szCs w:val="32"/>
              </w:rPr>
              <w:t>+25.2</w:t>
            </w:r>
          </w:p>
        </w:tc>
        <w:tc>
          <w:tcPr>
            <w:tcW w:w="1886" w:type="dxa"/>
            <w:tcBorders>
              <w:top w:val="single" w:sz="4" w:space="0" w:color="auto"/>
            </w:tcBorders>
            <w:tcMar>
              <w:top w:w="55" w:type="dxa"/>
              <w:left w:w="65" w:type="dxa"/>
              <w:bottom w:w="55" w:type="dxa"/>
              <w:right w:w="65" w:type="dxa"/>
            </w:tcMar>
            <w:vAlign w:val="center"/>
          </w:tcPr>
          <w:p w14:paraId="750D37FD" w14:textId="77777777" w:rsidR="004368BE" w:rsidRPr="00B63702" w:rsidRDefault="00000000">
            <w:pPr>
              <w:jc w:val="center"/>
              <w:rPr>
                <w:szCs w:val="32"/>
              </w:rPr>
            </w:pPr>
            <w:r w:rsidRPr="00B63702">
              <w:rPr>
                <w:szCs w:val="32"/>
              </w:rPr>
              <w:t>+7.84</w:t>
            </w:r>
          </w:p>
        </w:tc>
      </w:tr>
      <w:tr w:rsidR="004368BE" w:rsidRPr="00B63702" w14:paraId="5DD9F32B" w14:textId="77777777" w:rsidTr="00B63702">
        <w:trPr>
          <w:cantSplit/>
          <w:jc w:val="center"/>
        </w:trPr>
        <w:tc>
          <w:tcPr>
            <w:tcW w:w="1757" w:type="dxa"/>
            <w:tcMar>
              <w:top w:w="55" w:type="dxa"/>
              <w:left w:w="65" w:type="dxa"/>
              <w:bottom w:w="55" w:type="dxa"/>
              <w:right w:w="65" w:type="dxa"/>
            </w:tcMar>
            <w:vAlign w:val="center"/>
          </w:tcPr>
          <w:p w14:paraId="39E06265" w14:textId="77777777" w:rsidR="004368BE" w:rsidRPr="00B63702" w:rsidRDefault="00000000">
            <w:pPr>
              <w:rPr>
                <w:szCs w:val="32"/>
              </w:rPr>
            </w:pPr>
            <w:r w:rsidRPr="00B63702">
              <w:rPr>
                <w:szCs w:val="32"/>
              </w:rPr>
              <w:t>DeiT-Small</w:t>
            </w:r>
          </w:p>
        </w:tc>
        <w:tc>
          <w:tcPr>
            <w:tcW w:w="1930" w:type="dxa"/>
            <w:tcMar>
              <w:top w:w="55" w:type="dxa"/>
              <w:left w:w="65" w:type="dxa"/>
              <w:bottom w:w="55" w:type="dxa"/>
              <w:right w:w="65" w:type="dxa"/>
            </w:tcMar>
            <w:vAlign w:val="center"/>
          </w:tcPr>
          <w:p w14:paraId="702B84C5" w14:textId="77777777" w:rsidR="004368BE" w:rsidRPr="00B63702" w:rsidRDefault="00000000">
            <w:pPr>
              <w:jc w:val="center"/>
              <w:rPr>
                <w:szCs w:val="32"/>
              </w:rPr>
            </w:pPr>
            <w:r w:rsidRPr="00B63702">
              <w:rPr>
                <w:szCs w:val="32"/>
              </w:rPr>
              <w:t>+18.0</w:t>
            </w:r>
          </w:p>
        </w:tc>
        <w:tc>
          <w:tcPr>
            <w:tcW w:w="1930" w:type="dxa"/>
            <w:tcMar>
              <w:top w:w="55" w:type="dxa"/>
              <w:left w:w="65" w:type="dxa"/>
              <w:bottom w:w="55" w:type="dxa"/>
              <w:right w:w="65" w:type="dxa"/>
            </w:tcMar>
            <w:vAlign w:val="center"/>
          </w:tcPr>
          <w:p w14:paraId="50916FBA" w14:textId="77777777" w:rsidR="004368BE" w:rsidRPr="00B63702" w:rsidRDefault="00000000">
            <w:pPr>
              <w:jc w:val="center"/>
              <w:rPr>
                <w:szCs w:val="32"/>
              </w:rPr>
            </w:pPr>
            <w:r w:rsidRPr="00B63702">
              <w:rPr>
                <w:szCs w:val="32"/>
              </w:rPr>
              <w:t>+65.1</w:t>
            </w:r>
          </w:p>
        </w:tc>
        <w:tc>
          <w:tcPr>
            <w:tcW w:w="2218" w:type="dxa"/>
            <w:tcMar>
              <w:top w:w="55" w:type="dxa"/>
              <w:left w:w="65" w:type="dxa"/>
              <w:bottom w:w="55" w:type="dxa"/>
              <w:right w:w="65" w:type="dxa"/>
            </w:tcMar>
            <w:vAlign w:val="center"/>
          </w:tcPr>
          <w:p w14:paraId="76781DA4" w14:textId="77777777" w:rsidR="004368BE" w:rsidRPr="00B63702" w:rsidRDefault="00000000">
            <w:pPr>
              <w:jc w:val="center"/>
              <w:rPr>
                <w:szCs w:val="32"/>
              </w:rPr>
            </w:pPr>
            <w:r w:rsidRPr="00B63702">
              <w:rPr>
                <w:szCs w:val="32"/>
              </w:rPr>
              <w:t>+36.1</w:t>
            </w:r>
          </w:p>
        </w:tc>
        <w:tc>
          <w:tcPr>
            <w:tcW w:w="1886" w:type="dxa"/>
            <w:tcMar>
              <w:top w:w="55" w:type="dxa"/>
              <w:left w:w="65" w:type="dxa"/>
              <w:bottom w:w="55" w:type="dxa"/>
              <w:right w:w="65" w:type="dxa"/>
            </w:tcMar>
            <w:vAlign w:val="center"/>
          </w:tcPr>
          <w:p w14:paraId="79160C11" w14:textId="77777777" w:rsidR="004368BE" w:rsidRPr="00B63702" w:rsidRDefault="00000000">
            <w:pPr>
              <w:jc w:val="center"/>
              <w:rPr>
                <w:szCs w:val="32"/>
              </w:rPr>
            </w:pPr>
            <w:r w:rsidRPr="00B63702">
              <w:rPr>
                <w:szCs w:val="32"/>
              </w:rPr>
              <w:t>+7.30</w:t>
            </w:r>
          </w:p>
        </w:tc>
      </w:tr>
      <w:tr w:rsidR="004368BE" w:rsidRPr="00B63702" w14:paraId="6D60E2F0" w14:textId="77777777" w:rsidTr="00B63702">
        <w:trPr>
          <w:cantSplit/>
          <w:jc w:val="center"/>
        </w:trPr>
        <w:tc>
          <w:tcPr>
            <w:tcW w:w="1757" w:type="dxa"/>
            <w:tcMar>
              <w:top w:w="55" w:type="dxa"/>
              <w:left w:w="65" w:type="dxa"/>
              <w:bottom w:w="55" w:type="dxa"/>
              <w:right w:w="65" w:type="dxa"/>
            </w:tcMar>
            <w:vAlign w:val="center"/>
          </w:tcPr>
          <w:p w14:paraId="0D52905E" w14:textId="77777777" w:rsidR="004368BE" w:rsidRPr="00B63702" w:rsidRDefault="00000000">
            <w:pPr>
              <w:rPr>
                <w:szCs w:val="32"/>
              </w:rPr>
            </w:pPr>
            <w:r w:rsidRPr="00B63702">
              <w:rPr>
                <w:szCs w:val="32"/>
              </w:rPr>
              <w:lastRenderedPageBreak/>
              <w:t>ViT-B/16 AugReg</w:t>
            </w:r>
          </w:p>
        </w:tc>
        <w:tc>
          <w:tcPr>
            <w:tcW w:w="1930" w:type="dxa"/>
            <w:tcMar>
              <w:top w:w="55" w:type="dxa"/>
              <w:left w:w="65" w:type="dxa"/>
              <w:bottom w:w="55" w:type="dxa"/>
              <w:right w:w="65" w:type="dxa"/>
            </w:tcMar>
            <w:vAlign w:val="center"/>
          </w:tcPr>
          <w:p w14:paraId="33790E29" w14:textId="77777777" w:rsidR="004368BE" w:rsidRPr="00B63702" w:rsidRDefault="00000000">
            <w:pPr>
              <w:jc w:val="center"/>
              <w:rPr>
                <w:szCs w:val="32"/>
              </w:rPr>
            </w:pPr>
            <w:r w:rsidRPr="00B63702">
              <w:rPr>
                <w:szCs w:val="32"/>
              </w:rPr>
              <w:t>+6.5</w:t>
            </w:r>
          </w:p>
        </w:tc>
        <w:tc>
          <w:tcPr>
            <w:tcW w:w="1930" w:type="dxa"/>
            <w:tcMar>
              <w:top w:w="55" w:type="dxa"/>
              <w:left w:w="65" w:type="dxa"/>
              <w:bottom w:w="55" w:type="dxa"/>
              <w:right w:w="65" w:type="dxa"/>
            </w:tcMar>
            <w:vAlign w:val="center"/>
          </w:tcPr>
          <w:p w14:paraId="46211495" w14:textId="77777777" w:rsidR="004368BE" w:rsidRPr="00B63702" w:rsidRDefault="00000000">
            <w:pPr>
              <w:jc w:val="center"/>
              <w:rPr>
                <w:szCs w:val="32"/>
              </w:rPr>
            </w:pPr>
            <w:r w:rsidRPr="00B63702">
              <w:rPr>
                <w:szCs w:val="32"/>
              </w:rPr>
              <w:t>+5.7</w:t>
            </w:r>
          </w:p>
        </w:tc>
        <w:tc>
          <w:tcPr>
            <w:tcW w:w="2218" w:type="dxa"/>
            <w:tcMar>
              <w:top w:w="55" w:type="dxa"/>
              <w:left w:w="65" w:type="dxa"/>
              <w:bottom w:w="55" w:type="dxa"/>
              <w:right w:w="65" w:type="dxa"/>
            </w:tcMar>
            <w:vAlign w:val="center"/>
          </w:tcPr>
          <w:p w14:paraId="7E1F8239" w14:textId="77777777" w:rsidR="004368BE" w:rsidRPr="00B63702" w:rsidRDefault="00000000">
            <w:pPr>
              <w:jc w:val="center"/>
              <w:rPr>
                <w:szCs w:val="32"/>
              </w:rPr>
            </w:pPr>
            <w:r w:rsidRPr="00B63702">
              <w:rPr>
                <w:szCs w:val="32"/>
              </w:rPr>
              <w:t>+11.34</w:t>
            </w:r>
          </w:p>
        </w:tc>
        <w:tc>
          <w:tcPr>
            <w:tcW w:w="1886" w:type="dxa"/>
            <w:tcMar>
              <w:top w:w="55" w:type="dxa"/>
              <w:left w:w="65" w:type="dxa"/>
              <w:bottom w:w="55" w:type="dxa"/>
              <w:right w:w="65" w:type="dxa"/>
            </w:tcMar>
            <w:vAlign w:val="center"/>
          </w:tcPr>
          <w:p w14:paraId="19D3CCB4" w14:textId="77777777" w:rsidR="004368BE" w:rsidRPr="00B63702" w:rsidRDefault="00000000">
            <w:pPr>
              <w:jc w:val="center"/>
              <w:rPr>
                <w:szCs w:val="32"/>
              </w:rPr>
            </w:pPr>
            <w:r w:rsidRPr="00B63702">
              <w:rPr>
                <w:szCs w:val="32"/>
              </w:rPr>
              <w:t>+33.40</w:t>
            </w:r>
          </w:p>
        </w:tc>
      </w:tr>
      <w:tr w:rsidR="004368BE" w:rsidRPr="00B63702" w14:paraId="1E47EA6B" w14:textId="77777777" w:rsidTr="00B63702">
        <w:trPr>
          <w:cantSplit/>
          <w:jc w:val="center"/>
        </w:trPr>
        <w:tc>
          <w:tcPr>
            <w:tcW w:w="1757" w:type="dxa"/>
            <w:tcBorders>
              <w:bottom w:val="single" w:sz="4" w:space="0" w:color="auto"/>
            </w:tcBorders>
            <w:tcMar>
              <w:top w:w="55" w:type="dxa"/>
              <w:left w:w="65" w:type="dxa"/>
              <w:bottom w:w="55" w:type="dxa"/>
              <w:right w:w="65" w:type="dxa"/>
            </w:tcMar>
            <w:vAlign w:val="center"/>
          </w:tcPr>
          <w:p w14:paraId="38EF1151" w14:textId="77777777" w:rsidR="004368BE" w:rsidRPr="00B63702" w:rsidRDefault="00000000">
            <w:pPr>
              <w:rPr>
                <w:szCs w:val="32"/>
              </w:rPr>
            </w:pPr>
            <w:r w:rsidRPr="00B63702">
              <w:rPr>
                <w:szCs w:val="32"/>
              </w:rPr>
              <w:t>DINOv2 ViT-S/14</w:t>
            </w:r>
          </w:p>
        </w:tc>
        <w:tc>
          <w:tcPr>
            <w:tcW w:w="1930" w:type="dxa"/>
            <w:tcBorders>
              <w:bottom w:val="single" w:sz="4" w:space="0" w:color="auto"/>
            </w:tcBorders>
            <w:tcMar>
              <w:top w:w="55" w:type="dxa"/>
              <w:left w:w="65" w:type="dxa"/>
              <w:bottom w:w="55" w:type="dxa"/>
              <w:right w:w="65" w:type="dxa"/>
            </w:tcMar>
            <w:vAlign w:val="center"/>
          </w:tcPr>
          <w:p w14:paraId="46781B47" w14:textId="77777777" w:rsidR="004368BE" w:rsidRPr="00B63702" w:rsidRDefault="00000000">
            <w:pPr>
              <w:jc w:val="center"/>
              <w:rPr>
                <w:szCs w:val="32"/>
              </w:rPr>
            </w:pPr>
            <w:r w:rsidRPr="00B63702">
              <w:rPr>
                <w:szCs w:val="32"/>
              </w:rPr>
              <w:t>+47.8</w:t>
            </w:r>
          </w:p>
        </w:tc>
        <w:tc>
          <w:tcPr>
            <w:tcW w:w="1930" w:type="dxa"/>
            <w:tcBorders>
              <w:bottom w:val="single" w:sz="4" w:space="0" w:color="auto"/>
            </w:tcBorders>
            <w:tcMar>
              <w:top w:w="55" w:type="dxa"/>
              <w:left w:w="65" w:type="dxa"/>
              <w:bottom w:w="55" w:type="dxa"/>
              <w:right w:w="65" w:type="dxa"/>
            </w:tcMar>
            <w:vAlign w:val="center"/>
          </w:tcPr>
          <w:p w14:paraId="08BB5E3E" w14:textId="77777777" w:rsidR="004368BE" w:rsidRPr="00B63702" w:rsidRDefault="00000000">
            <w:pPr>
              <w:jc w:val="center"/>
              <w:rPr>
                <w:szCs w:val="32"/>
              </w:rPr>
            </w:pPr>
            <w:r w:rsidRPr="00B63702">
              <w:rPr>
                <w:szCs w:val="32"/>
              </w:rPr>
              <w:t>+55.4</w:t>
            </w:r>
          </w:p>
        </w:tc>
        <w:tc>
          <w:tcPr>
            <w:tcW w:w="2218" w:type="dxa"/>
            <w:tcBorders>
              <w:bottom w:val="single" w:sz="4" w:space="0" w:color="auto"/>
            </w:tcBorders>
            <w:tcMar>
              <w:top w:w="55" w:type="dxa"/>
              <w:left w:w="65" w:type="dxa"/>
              <w:bottom w:w="55" w:type="dxa"/>
              <w:right w:w="65" w:type="dxa"/>
            </w:tcMar>
            <w:vAlign w:val="center"/>
          </w:tcPr>
          <w:p w14:paraId="171B3622" w14:textId="77777777" w:rsidR="004368BE" w:rsidRPr="00B63702" w:rsidRDefault="00000000">
            <w:pPr>
              <w:jc w:val="center"/>
              <w:rPr>
                <w:szCs w:val="32"/>
              </w:rPr>
            </w:pPr>
            <w:r w:rsidRPr="00B63702">
              <w:rPr>
                <w:szCs w:val="32"/>
              </w:rPr>
              <w:t>−0.02</w:t>
            </w:r>
          </w:p>
        </w:tc>
        <w:tc>
          <w:tcPr>
            <w:tcW w:w="1886" w:type="dxa"/>
            <w:tcBorders>
              <w:bottom w:val="single" w:sz="4" w:space="0" w:color="auto"/>
            </w:tcBorders>
            <w:tcMar>
              <w:top w:w="55" w:type="dxa"/>
              <w:left w:w="65" w:type="dxa"/>
              <w:bottom w:w="55" w:type="dxa"/>
              <w:right w:w="65" w:type="dxa"/>
            </w:tcMar>
            <w:vAlign w:val="center"/>
          </w:tcPr>
          <w:p w14:paraId="09F88661" w14:textId="77777777" w:rsidR="004368BE" w:rsidRPr="00B63702" w:rsidRDefault="00000000">
            <w:pPr>
              <w:jc w:val="center"/>
              <w:rPr>
                <w:szCs w:val="32"/>
              </w:rPr>
            </w:pPr>
            <w:r w:rsidRPr="00B63702">
              <w:rPr>
                <w:szCs w:val="32"/>
              </w:rPr>
              <w:t>+0.17</w:t>
            </w:r>
          </w:p>
        </w:tc>
      </w:tr>
    </w:tbl>
    <w:p w14:paraId="47F8C0AB" w14:textId="77777777" w:rsidR="004368BE" w:rsidRDefault="004368BE">
      <w:pPr>
        <w:spacing w:after="20"/>
      </w:pPr>
    </w:p>
    <w:p w14:paraId="2D0449FF" w14:textId="77777777" w:rsidR="004368BE" w:rsidRDefault="00000000">
      <w:pPr>
        <w:spacing w:after="100" w:line="259" w:lineRule="auto"/>
      </w:pPr>
      <w:r>
        <w:t>Note (Table II). All interventions are at Block 8. Geometry contrasts replace 50% of spatial patches; coordinate-permutation values are three-seed means, while centroid and sign-inversion endpoints are single runs. Grouped-K and PC1/random contrasts replace all spatial patches; Kmax is 196 for DeiT/ViT-B and 256 for DINOv2. Grouped-K uses three seeds for DeiT and five for ViT-B/DINOv2; PC1/random uses five seeds for DeiT and three for ViT-B/DINOv2. Each architecture uses N=1,000 held-out images and a disjoint N=1,000 calibration cohort. DINOv2 remains near the Top-1 floor for both complete-replacement contrasts; its +0.17 pp PC1 contrast is not meaningful accuracy recovery. See Figure 3 and the source-linked calculations in the validation script for protocol-level values.</w:t>
      </w:r>
    </w:p>
    <w:p w14:paraId="1897885E" w14:textId="77777777" w:rsidR="004C250E" w:rsidRDefault="00000000">
      <w:pPr>
        <w:pStyle w:val="Heading1"/>
      </w:pPr>
      <w:r>
        <w:rPr>
          <w:rFonts w:ascii="Times New Roman" w:hAnsi="Times New Roman"/>
        </w:rPr>
        <w:t>5. Functional Geometry and Attention-Mediated Transmission</w:t>
      </w:r>
    </w:p>
    <w:p w14:paraId="085731A1" w14:textId="77777777" w:rsidR="004C250E" w:rsidRDefault="00000000">
      <w:pPr>
        <w:pStyle w:val="Heading2"/>
      </w:pPr>
      <w:r>
        <w:rPr>
          <w:rFonts w:ascii="Times New Roman" w:hAnsi="Times New Roman"/>
        </w:rPr>
        <w:t>5.1 Anisotropy and Functional Geometry</w:t>
      </w:r>
    </w:p>
    <w:p w14:paraId="141798CD" w14:textId="77777777" w:rsidR="004C250E" w:rsidRDefault="00000000">
      <w:pPr>
        <w:spacing w:after="100" w:line="259" w:lineRule="auto"/>
      </w:pPr>
      <w:r>
        <w:t xml:space="preserve">Equal-norm feature perturbations can have different functional effects because margin sensitivity depends on direction. For image </w:t>
      </w:r>
      <m:oMath>
        <m:r>
          <w:rPr>
            <w:rFonts w:ascii="Cambria Math" w:hAnsi="Cambria Math"/>
          </w:rPr>
          <m:t>s</m:t>
        </m:r>
      </m:oMath>
      <w:r>
        <w:t xml:space="preserve">, let </w:t>
      </w:r>
      <m:oMath>
        <m:sSub>
          <m:sSubPr>
            <m:ctrlPr>
              <w:rPr>
                <w:rFonts w:ascii="Cambria Math" w:hAnsi="Cambria Math"/>
              </w:rPr>
            </m:ctrlPr>
          </m:sSubPr>
          <m:e>
            <m:r>
              <w:rPr>
                <w:rFonts w:ascii="Cambria Math" w:hAnsi="Cambria Math"/>
              </w:rPr>
              <m:t>y</m:t>
            </m:r>
          </m:e>
          <m:sub>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s</m:t>
            </m:r>
          </m:sub>
        </m:sSub>
      </m:oMath>
      <w:r>
        <w:t xml:space="preserve"> denote its clean predicted and runner-up classes, held fixed at the unperturbed input, and let </w:t>
      </w:r>
      <m:oMath>
        <m:sSub>
          <m:sSubPr>
            <m:ctrlPr>
              <w:rPr>
                <w:rFonts w:ascii="Cambria Math" w:hAnsi="Cambria Math"/>
              </w:rPr>
            </m:ctrlPr>
          </m:sSubPr>
          <m:e>
            <m:r>
              <w:rPr>
                <w:rFonts w:ascii="Cambria Math" w:hAnsi="Cambria Math"/>
              </w:rPr>
              <m:t>p</m:t>
            </m:r>
          </m:e>
          <m:sub>
            <m:r>
              <m:rPr>
                <m:scr m:val="script"/>
              </m:rPr>
              <w:rPr>
                <w:rFonts w:ascii="Cambria Math" w:hAnsi="Cambria Math"/>
              </w:rPr>
              <m:t>l,</m:t>
            </m:r>
            <m:r>
              <w:rPr>
                <w:rFonts w:ascii="Cambria Math" w:hAnsi="Cambria Math"/>
              </w:rPr>
              <m:t>s,i</m:t>
            </m:r>
          </m:sub>
        </m:sSub>
      </m:oMath>
      <w:r>
        <w:t xml:space="preserve"> denote the activation at spatial-patch position </w:t>
      </w:r>
      <m:oMath>
        <m:r>
          <w:rPr>
            <w:rFonts w:ascii="Cambria Math" w:hAnsi="Cambria Math"/>
          </w:rPr>
          <m:t>i</m:t>
        </m:r>
      </m:oMath>
      <w:r>
        <w:t xml:space="preserve"> in layer </w:t>
      </w:r>
      <m:oMath>
        <m:r>
          <m:rPr>
            <m:scr m:val="script"/>
          </m:rPr>
          <w:rPr>
            <w:rFonts w:ascii="Cambria Math" w:hAnsi="Cambria Math"/>
          </w:rPr>
          <m:t>l</m:t>
        </m:r>
      </m:oMath>
      <w:r>
        <w:t xml:space="preserve">. We use </w:t>
      </w:r>
      <m:oMath>
        <m:sSub>
          <m:sSubPr>
            <m:ctrlPr>
              <w:rPr>
                <w:rFonts w:ascii="Cambria Math" w:hAnsi="Cambria Math"/>
              </w:rPr>
            </m:ctrlPr>
          </m:sSubPr>
          <m:e>
            <m:r>
              <w:rPr>
                <w:rFonts w:ascii="Cambria Math" w:hAnsi="Cambria Math"/>
              </w:rPr>
              <m:t>g</m:t>
            </m:r>
          </m:e>
          <m:sub>
            <m:r>
              <w:rPr>
                <w:rFonts w:ascii="Cambria Math" w:hAnsi="Cambria Math"/>
              </w:rPr>
              <m:t>s,i</m:t>
            </m:r>
          </m:sub>
        </m:sSub>
      </m:oMath>
      <w:r>
        <w:t xml:space="preserve"> for the gradient of this clean margin with respect to </w:t>
      </w:r>
      <m:oMath>
        <m:sSub>
          <m:sSubPr>
            <m:ctrlPr>
              <w:rPr>
                <w:rFonts w:ascii="Cambria Math" w:hAnsi="Cambria Math"/>
              </w:rPr>
            </m:ctrlPr>
          </m:sSubPr>
          <m:e>
            <m:r>
              <w:rPr>
                <w:rFonts w:ascii="Cambria Math" w:hAnsi="Cambria Math"/>
              </w:rPr>
              <m:t>p</m:t>
            </m:r>
          </m:e>
          <m:sub>
            <m:r>
              <m:rPr>
                <m:scr m:val="script"/>
              </m:rPr>
              <w:rPr>
                <w:rFonts w:ascii="Cambria Math" w:hAnsi="Cambria Math"/>
              </w:rPr>
              <m:t>l,</m:t>
            </m:r>
            <m:r>
              <w:rPr>
                <w:rFonts w:ascii="Cambria Math" w:hAnsi="Cambria Math"/>
              </w:rPr>
              <m:t>s,i</m:t>
            </m:r>
          </m:sub>
        </m:sSub>
      </m:oMath>
      <w:r>
        <w:t xml:space="preserve"> and define </w:t>
      </w:r>
      <m:oMath>
        <m:sSub>
          <m:sSubPr>
            <m:ctrlPr>
              <w:rPr>
                <w:rFonts w:ascii="Cambria Math" w:hAnsi="Cambria Math"/>
              </w:rPr>
            </m:ctrlPr>
          </m:sSubPr>
          <m:e>
            <m:r>
              <w:rPr>
                <w:rFonts w:ascii="Cambria Math" w:hAnsi="Cambria Math"/>
              </w:rPr>
              <m:t>M</m:t>
            </m:r>
          </m:e>
          <m:sub>
            <m:r>
              <m:rPr>
                <m:scr m:val="script"/>
              </m:rPr>
              <w:rPr>
                <w:rFonts w:ascii="Cambria Math" w:hAnsi="Cambria Math"/>
              </w:rPr>
              <m:t>l</m:t>
            </m:r>
          </m:sub>
        </m:sSub>
      </m:oMath>
      <w:r>
        <w:t xml:space="preserve"> as the empirical uncentered second moment of scalar margin gradients:</w:t>
      </w:r>
    </w:p>
    <w:tbl>
      <w:tblPr>
        <w:tblW w:w="9994" w:type="dxa"/>
        <w:jc w:val="center"/>
        <w:tblBorders>
          <w:top w:val="nil"/>
          <w:left w:val="nil"/>
          <w:bottom w:val="nil"/>
          <w:right w:val="nil"/>
          <w:insideH w:val="nil"/>
          <w:insideV w:val="nil"/>
        </w:tblBorders>
        <w:tblLayout w:type="fixed"/>
        <w:tblLook w:val="04A0" w:firstRow="1" w:lastRow="0" w:firstColumn="1" w:lastColumn="0" w:noHBand="0" w:noVBand="1"/>
      </w:tblPr>
      <w:tblGrid>
        <w:gridCol w:w="518"/>
        <w:gridCol w:w="8958"/>
        <w:gridCol w:w="518"/>
      </w:tblGrid>
      <w:tr w:rsidR="004C250E" w14:paraId="1CC8E0DF" w14:textId="77777777">
        <w:trPr>
          <w:cantSplit/>
          <w:jc w:val="center"/>
        </w:trPr>
        <w:tc>
          <w:tcPr>
            <w:tcW w:w="518" w:type="dxa"/>
            <w:tcMar>
              <w:top w:w="0" w:type="dxa"/>
              <w:left w:w="0" w:type="dxa"/>
              <w:bottom w:w="0" w:type="dxa"/>
              <w:right w:w="0" w:type="dxa"/>
            </w:tcMar>
            <w:vAlign w:val="center"/>
          </w:tcPr>
          <w:p w14:paraId="684DA37F" w14:textId="77777777" w:rsidR="004C250E" w:rsidRDefault="004C250E">
            <w:pPr>
              <w:keepLines/>
              <w:spacing w:before="40" w:after="80" w:line="240" w:lineRule="auto"/>
            </w:pPr>
          </w:p>
        </w:tc>
        <w:tc>
          <w:tcPr>
            <w:tcW w:w="8957" w:type="dxa"/>
            <w:tcMar>
              <w:top w:w="0" w:type="dxa"/>
              <w:left w:w="0" w:type="dxa"/>
              <w:bottom w:w="0" w:type="dxa"/>
              <w:right w:w="0" w:type="dxa"/>
            </w:tcMar>
            <w:vAlign w:val="center"/>
          </w:tcPr>
          <w:p w14:paraId="058633BB" w14:textId="77777777" w:rsidR="004C250E" w:rsidRDefault="00000000">
            <w:pPr>
              <w:keepLines/>
              <w:spacing w:after="0" w:line="240" w:lineRule="auto"/>
              <w:jc w:val="center"/>
            </w:pPr>
            <m:oMathPara>
              <m:oMath>
                <m:sSub>
                  <m:sSubPr>
                    <m:ctrlPr>
                      <w:rPr>
                        <w:rFonts w:ascii="Cambria Math" w:hAnsi="Cambria Math"/>
                      </w:rPr>
                    </m:ctrlPr>
                  </m:sSubPr>
                  <m:e>
                    <m:r>
                      <w:rPr>
                        <w:rFonts w:ascii="Cambria Math" w:hAnsi="Cambria Math"/>
                      </w:rPr>
                      <m:t>g</m:t>
                    </m:r>
                  </m:e>
                  <m:sub>
                    <m:r>
                      <w:rPr>
                        <w:rFonts w:ascii="Cambria Math" w:hAnsi="Cambria Math"/>
                      </w:rPr>
                      <m:t>s,i</m:t>
                    </m:r>
                  </m:sub>
                </m:sSub>
                <m:r>
                  <w:rPr>
                    <w:rFonts w:ascii="Cambria Math" w:hAnsi="Cambria Math"/>
                  </w:rPr>
                  <m:t>=</m:t>
                </m:r>
                <m:sSub>
                  <m:sSubPr>
                    <m:ctrlPr>
                      <w:rPr>
                        <w:rFonts w:ascii="Cambria Math" w:hAnsi="Cambria Math"/>
                      </w:rPr>
                    </m:ctrlPr>
                  </m:sSubPr>
                  <m:e>
                    <m:r>
                      <w:rPr>
                        <w:rFonts w:ascii="Cambria Math" w:hAnsi="Cambria Math"/>
                      </w:rPr>
                      <m:t>grad</m:t>
                    </m:r>
                  </m:e>
                  <m:sub>
                    <m:sSub>
                      <m:sSubPr>
                        <m:ctrlPr>
                          <w:rPr>
                            <w:rFonts w:ascii="Cambria Math" w:hAnsi="Cambria Math"/>
                          </w:rPr>
                        </m:ctrlPr>
                      </m:sSubPr>
                      <m:e>
                        <m:r>
                          <w:rPr>
                            <w:rFonts w:ascii="Cambria Math" w:hAnsi="Cambria Math"/>
                          </w:rPr>
                          <m:t>p</m:t>
                        </m:r>
                      </m:e>
                      <m:sub>
                        <m:r>
                          <w:rPr>
                            <w:rFonts w:ascii="Cambria Math" w:hAnsi="Cambria Math"/>
                          </w:rPr>
                          <m:t>l,s,i</m:t>
                        </m:r>
                      </m:sub>
                    </m:sSub>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m:t>
                    </m:r>
                    <m:sSub>
                      <m:sSubPr>
                        <m:ctrlPr>
                          <w:rPr>
                            <w:rFonts w:ascii="Cambria Math" w:hAnsi="Cambria Math"/>
                          </w:rPr>
                        </m:ctrlPr>
                      </m:sSubPr>
                      <m:e>
                        <m:r>
                          <w:rPr>
                            <w:rFonts w:ascii="Cambria Math" w:hAnsi="Cambria Math"/>
                          </w:rPr>
                          <m:t>y</m:t>
                        </m:r>
                      </m:e>
                      <m:sub>
                        <m:r>
                          <w:rPr>
                            <w:rFonts w:ascii="Cambria Math" w:hAnsi="Cambria Math"/>
                          </w:rPr>
                          <m:t>s</m:t>
                        </m:r>
                      </m:sub>
                    </m:sSub>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s</m:t>
                        </m:r>
                      </m:sub>
                    </m:sSub>
                  </m:sub>
                </m:sSub>
                <m:r>
                  <w:rPr>
                    <w:rFonts w:ascii="Cambria Math" w:hAnsi="Cambria Math"/>
                  </w:rPr>
                  <m:t>),</m:t>
                </m:r>
              </m:oMath>
            </m:oMathPara>
          </w:p>
          <w:p w14:paraId="087B3254" w14:textId="77777777" w:rsidR="004C250E" w:rsidRDefault="00000000">
            <w:pPr>
              <w:keepLines/>
              <w:spacing w:after="0" w:line="240" w:lineRule="auto"/>
              <w:jc w:val="center"/>
            </w:pPr>
            <m:oMathPara>
              <m:oMath>
                <m:sSub>
                  <m:sSubPr>
                    <m:ctrlPr>
                      <w:rPr>
                        <w:rFonts w:ascii="Cambria Math" w:hAnsi="Cambria Math"/>
                      </w:rPr>
                    </m:ctrlPr>
                  </m:sSubPr>
                  <m:e>
                    <m:r>
                      <w:rPr>
                        <w:rFonts w:ascii="Cambria Math" w:hAnsi="Cambria Math"/>
                      </w:rPr>
                      <m:t>M</m:t>
                    </m:r>
                  </m:e>
                  <m:sub>
                    <m:r>
                      <w:rPr>
                        <w:rFonts w:ascii="Cambria Math" w:hAnsi="Cambria Math"/>
                      </w:rPr>
                      <m:t>l</m:t>
                    </m:r>
                  </m:sub>
                </m:sSub>
                <m: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img</m:t>
                    </m:r>
                  </m:sub>
                </m:sSub>
                <m: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s=1</m:t>
                    </m:r>
                  </m:sub>
                  <m:sup>
                    <m:sSub>
                      <m:sSubPr>
                        <m:ctrlPr>
                          <w:rPr>
                            <w:rFonts w:ascii="Cambria Math" w:hAnsi="Cambria Math"/>
                          </w:rPr>
                        </m:ctrlPr>
                      </m:sSubPr>
                      <m:e>
                        <m:r>
                          <w:rPr>
                            <w:rFonts w:ascii="Cambria Math" w:hAnsi="Cambria Math"/>
                          </w:rPr>
                          <m:t>N</m:t>
                        </m:r>
                      </m:e>
                      <m:sub>
                        <m:r>
                          <w:rPr>
                            <w:rFonts w:ascii="Cambria Math" w:hAnsi="Cambria Math"/>
                          </w:rPr>
                          <m:t>img</m:t>
                        </m:r>
                      </m:sub>
                    </m:sSub>
                  </m:sup>
                </m:sSubSup>
                <m:sSubSup>
                  <m:sSubSupPr>
                    <m:ctrlPr>
                      <w:rPr>
                        <w:rFonts w:ascii="Cambria Math" w:hAnsi="Cambria Math"/>
                      </w:rPr>
                    </m:ctrlPr>
                  </m:sSubSupPr>
                  <m:e>
                    <m:r>
                      <w:rPr>
                        <w:rFonts w:ascii="Cambria Math" w:hAnsi="Cambria Math"/>
                      </w:rPr>
                      <m:t>Σ</m:t>
                    </m:r>
                  </m:e>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p</m:t>
                        </m:r>
                      </m:sub>
                    </m:sSub>
                  </m:sup>
                </m:sSubSup>
                <m:sSub>
                  <m:sSubPr>
                    <m:ctrlPr>
                      <w:rPr>
                        <w:rFonts w:ascii="Cambria Math" w:hAnsi="Cambria Math"/>
                      </w:rPr>
                    </m:ctrlPr>
                  </m:sSubPr>
                  <m:e>
                    <m:r>
                      <w:rPr>
                        <w:rFonts w:ascii="Cambria Math" w:hAnsi="Cambria Math"/>
                      </w:rPr>
                      <m:t>g</m:t>
                    </m:r>
                  </m:e>
                  <m:sub>
                    <m:r>
                      <w:rPr>
                        <w:rFonts w:ascii="Cambria Math" w:hAnsi="Cambria Math"/>
                      </w:rPr>
                      <m:t>s,i</m:t>
                    </m:r>
                  </m:sub>
                </m:sSub>
                <m:r>
                  <w:rPr>
                    <w:rFonts w:ascii="Cambria Math" w:hAnsi="Cambria Math"/>
                  </w:rPr>
                  <m:t xml:space="preserve"> </m:t>
                </m:r>
                <m:sSubSup>
                  <m:sSubSupPr>
                    <m:ctrlPr>
                      <w:rPr>
                        <w:rFonts w:ascii="Cambria Math" w:hAnsi="Cambria Math"/>
                      </w:rPr>
                    </m:ctrlPr>
                  </m:sSubSupPr>
                  <m:e>
                    <m:r>
                      <w:rPr>
                        <w:rFonts w:ascii="Cambria Math" w:hAnsi="Cambria Math"/>
                      </w:rPr>
                      <m:t>g</m:t>
                    </m:r>
                  </m:e>
                  <m:sub>
                    <m:r>
                      <w:rPr>
                        <w:rFonts w:ascii="Cambria Math" w:hAnsi="Cambria Math"/>
                      </w:rPr>
                      <m:t>s,i</m:t>
                    </m:r>
                  </m:sub>
                  <m:sup>
                    <m:r>
                      <w:rPr>
                        <w:rFonts w:ascii="Cambria Math" w:hAnsi="Cambria Math"/>
                      </w:rPr>
                      <m:t>T</m:t>
                    </m:r>
                  </m:sup>
                </m:sSubSup>
                <m:r>
                  <w:rPr>
                    <w:rFonts w:ascii="Cambria Math" w:hAnsi="Cambria Math"/>
                  </w:rPr>
                  <m:t>.</m:t>
                </m:r>
              </m:oMath>
            </m:oMathPara>
          </w:p>
        </w:tc>
        <w:tc>
          <w:tcPr>
            <w:tcW w:w="518" w:type="dxa"/>
            <w:tcMar>
              <w:top w:w="0" w:type="dxa"/>
              <w:left w:w="0" w:type="dxa"/>
              <w:bottom w:w="0" w:type="dxa"/>
              <w:right w:w="0" w:type="dxa"/>
            </w:tcMar>
            <w:vAlign w:val="center"/>
          </w:tcPr>
          <w:p w14:paraId="79466620" w14:textId="77777777" w:rsidR="004C250E" w:rsidRDefault="00000000">
            <w:pPr>
              <w:keepLines/>
              <w:spacing w:before="40" w:after="80" w:line="240" w:lineRule="auto"/>
              <w:jc w:val="right"/>
            </w:pPr>
            <w:r>
              <w:rPr>
                <w:sz w:val="18"/>
              </w:rPr>
              <w:t>(2)</w:t>
            </w:r>
          </w:p>
        </w:tc>
      </w:tr>
    </w:tbl>
    <w:p w14:paraId="61679F9B" w14:textId="77777777" w:rsidR="004C250E" w:rsidRDefault="00000000">
      <w:pPr>
        <w:keepLines/>
        <w:spacing w:after="100" w:line="259" w:lineRule="auto"/>
      </w:pPr>
      <w:r>
        <w:t>As defined in Section 3, N</w:t>
      </w:r>
      <w:r>
        <w:rPr>
          <w:vertAlign w:val="subscript"/>
        </w:rPr>
        <w:t>img</w:t>
      </w:r>
      <w:r>
        <w:t xml:space="preserve"> denotes the number of image samples. For a unit feature direction </w:t>
      </w:r>
      <m:oMath>
        <m:r>
          <w:rPr>
            <w:rFonts w:ascii="Cambria Math" w:hAnsi="Cambria Math"/>
          </w:rPr>
          <m:t>v</m:t>
        </m:r>
      </m:oMath>
      <w:r>
        <w:t xml:space="preserve">, </w:t>
      </w:r>
      <m:oMath>
        <m:sSup>
          <m:sSupPr>
            <m:ctrlPr>
              <w:rPr>
                <w:rFonts w:ascii="Cambria Math" w:hAnsi="Cambria Math"/>
              </w:rPr>
            </m:ctrlPr>
          </m:sSupPr>
          <m:e>
            <m:r>
              <w:rPr>
                <w:rFonts w:ascii="Cambria Math" w:hAnsi="Cambria Math"/>
              </w:rPr>
              <m:t>v</m:t>
            </m:r>
          </m:e>
          <m:sup>
            <m:r>
              <w:rPr>
                <w:rFonts w:ascii="Cambria Math" w:hAnsi="Cambria Math"/>
              </w:rPr>
              <m:t>T</m:t>
            </m:r>
          </m:sup>
        </m:sSup>
        <m:r>
          <w:rPr>
            <w:rFonts w:ascii="Cambria Math" w:hAnsi="Cambria Math"/>
          </w:rPr>
          <m:t xml:space="preserve"> </m:t>
        </m:r>
        <m:sSub>
          <m:sSubPr>
            <m:ctrlPr>
              <w:rPr>
                <w:rFonts w:ascii="Cambria Math" w:hAnsi="Cambria Math"/>
              </w:rPr>
            </m:ctrlPr>
          </m:sSubPr>
          <m:e>
            <m:r>
              <w:rPr>
                <w:rFonts w:ascii="Cambria Math" w:hAnsi="Cambria Math"/>
              </w:rPr>
              <m:t>M</m:t>
            </m:r>
          </m:e>
          <m:sub>
            <m:r>
              <m:rPr>
                <m:scr m:val="script"/>
              </m:rPr>
              <w:rPr>
                <w:rFonts w:ascii="Cambria Math" w:hAnsi="Cambria Math"/>
              </w:rPr>
              <m:t>l</m:t>
            </m:r>
          </m:sub>
        </m:sSub>
        <m:r>
          <w:rPr>
            <w:rFonts w:ascii="Cambria Math" w:hAnsi="Cambria Math"/>
          </w:rPr>
          <m:t xml:space="preserve"> v=</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{img}</m:t>
                </m:r>
              </m:sub>
            </m:sSub>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m:t>
            </m:r>
          </m:e>
          <m:sup>
            <m:r>
              <w:rPr>
                <w:rFonts w:ascii="Cambria Math" w:hAnsi="Cambria Math"/>
              </w:rPr>
              <m:t>-1</m:t>
            </m:r>
          </m:sup>
        </m:sSup>
        <m:sSub>
          <m:sSubPr>
            <m:ctrlPr>
              <w:rPr>
                <w:rFonts w:ascii="Cambria Math" w:hAnsi="Cambria Math"/>
              </w:rPr>
            </m:ctrlPr>
          </m:sSubPr>
          <m:e>
            <m:r>
              <w:rPr>
                <w:rFonts w:ascii="Cambria Math" w:hAnsi="Cambria Math"/>
              </w:rPr>
              <m:t>Σ</m:t>
            </m:r>
          </m:e>
          <m:sub>
            <m:r>
              <w:rPr>
                <w:rFonts w:ascii="Cambria Math" w:hAnsi="Cambria Math"/>
              </w:rPr>
              <m:t>s,i</m:t>
            </m:r>
          </m:sub>
        </m:sSub>
        <m:sSup>
          <m:sSupPr>
            <m:ctrlPr>
              <w:rPr>
                <w:rFonts w:ascii="Cambria Math" w:hAnsi="Cambria Math"/>
              </w:rPr>
            </m:ctrlPr>
          </m:sSupPr>
          <m:e>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s,i</m:t>
                </m:r>
              </m:sub>
              <m:sup>
                <m:r>
                  <w:rPr>
                    <w:rFonts w:ascii="Cambria Math" w:hAnsi="Cambria Math"/>
                  </w:rPr>
                  <m:t>T</m:t>
                </m:r>
              </m:sup>
            </m:sSubSup>
            <m:r>
              <w:rPr>
                <w:rFonts w:ascii="Cambria Math" w:hAnsi="Cambria Math"/>
              </w:rPr>
              <m:t xml:space="preserve"> v)</m:t>
            </m:r>
          </m:e>
          <m:sup>
            <m:r>
              <w:rPr>
                <w:rFonts w:ascii="Cambria Math" w:hAnsi="Cambria Math"/>
              </w:rPr>
              <m:t>2</m:t>
            </m:r>
          </m:sup>
        </m:sSup>
      </m:oMath>
      <w:r>
        <w:t xml:space="preserve"> is the average squared directional derivative of the clean classification margin across images and patch positions. Activation covariance measures feature variation, whereas </w:t>
      </w:r>
      <m:oMath>
        <m:sSub>
          <m:sSubPr>
            <m:ctrlPr>
              <w:rPr>
                <w:rFonts w:ascii="Cambria Math" w:hAnsi="Cambria Math"/>
              </w:rPr>
            </m:ctrlPr>
          </m:sSubPr>
          <m:e>
            <m:r>
              <w:rPr>
                <w:rFonts w:ascii="Cambria Math" w:hAnsi="Cambria Math"/>
              </w:rPr>
              <m:t>M</m:t>
            </m:r>
          </m:e>
          <m:sub>
            <m:r>
              <m:rPr>
                <m:scr m:val="script"/>
              </m:rPr>
              <w:rPr>
                <w:rFonts w:ascii="Cambria Math" w:hAnsi="Cambria Math"/>
              </w:rPr>
              <m:t>l</m:t>
            </m:r>
          </m:sub>
        </m:sSub>
      </m:oMath>
      <w:r>
        <w:t xml:space="preserve"> measures local functional sensitivity. The full downstream Jacobian </w:t>
      </w:r>
      <m:oMath>
        <m:sSub>
          <m:sSubPr>
            <m:ctrlPr>
              <w:rPr>
                <w:rFonts w:ascii="Cambria Math" w:hAnsi="Cambria Math"/>
              </w:rPr>
            </m:ctrlPr>
          </m:sSubPr>
          <m:e>
            <m:r>
              <w:rPr>
                <w:rFonts w:ascii="Cambria Math" w:hAnsi="Cambria Math"/>
              </w:rPr>
              <m:t>J</m:t>
            </m:r>
          </m:e>
          <m:sub>
            <m:r>
              <m:rPr>
                <m:scr m:val="script"/>
              </m:rPr>
              <w:rPr>
                <w:rFonts w:ascii="Cambria Math" w:hAnsi="Cambria Math"/>
              </w:rPr>
              <m:t xml:space="preserve">l→ </m:t>
            </m:r>
            <m:r>
              <w:rPr>
                <w:rFonts w:ascii="Cambria Math" w:hAnsi="Cambria Math"/>
              </w:rPr>
              <m:t>L</m:t>
            </m:r>
          </m:sub>
        </m:sSub>
      </m:oMath>
      <w:r>
        <w:t>, introduced in Section 5.3, is a different object that maps perturbations across all patch positions to the pre-classifier readout.</w:t>
      </w:r>
    </w:p>
    <w:p w14:paraId="5F62D9EB" w14:textId="77777777" w:rsidR="004C250E" w:rsidRDefault="00000000">
      <w:pPr>
        <w:keepNext/>
        <w:spacing w:after="100" w:line="259" w:lineRule="auto"/>
      </w:pPr>
      <w:r>
        <w:t xml:space="preserve">Figure 4 characterizes two complementary properties of </w:t>
      </w:r>
      <m:oMath>
        <m:sSub>
          <m:sSubPr>
            <m:ctrlPr>
              <w:rPr>
                <w:rFonts w:ascii="Cambria Math" w:hAnsi="Cambria Math"/>
              </w:rPr>
            </m:ctrlPr>
          </m:sSubPr>
          <m:e>
            <m:r>
              <w:rPr>
                <w:rFonts w:ascii="Cambria Math" w:hAnsi="Cambria Math"/>
              </w:rPr>
              <m:t>M</m:t>
            </m:r>
          </m:e>
          <m:sub>
            <m:r>
              <m:rPr>
                <m:scr m:val="script"/>
              </m:rPr>
              <w:rPr>
                <w:rFonts w:ascii="Cambria Math" w:hAnsi="Cambria Math"/>
              </w:rPr>
              <m:t>l</m:t>
            </m:r>
          </m:sub>
        </m:sSub>
      </m:oMath>
      <w:r>
        <w:t>: (a) its directional sensitivity along the highest- and lowest-variance activation principal components, and (b) the depth-wise evolution of its threshold-defined near-null eigenvalue fraction.</w:t>
      </w:r>
    </w:p>
    <w:p w14:paraId="6E4EF9B0" w14:textId="77777777" w:rsidR="004C250E" w:rsidRDefault="00000000">
      <w:pPr>
        <w:keepNext/>
        <w:keepLines/>
        <w:spacing w:after="20"/>
        <w:jc w:val="center"/>
      </w:pPr>
      <w:r>
        <w:rPr>
          <w:noProof/>
        </w:rPr>
        <w:drawing>
          <wp:inline distT="0" distB="0" distL="0" distR="0" wp14:anchorId="63241AF0" wp14:editId="7B2A5335">
            <wp:extent cx="6172200" cy="20746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anisotropic_geometry.png"/>
                    <pic:cNvPicPr/>
                  </pic:nvPicPr>
                  <pic:blipFill>
                    <a:blip r:embed="rId9"/>
                    <a:stretch>
                      <a:fillRect/>
                    </a:stretch>
                  </pic:blipFill>
                  <pic:spPr>
                    <a:xfrm>
                      <a:off x="0" y="0"/>
                      <a:ext cx="6172200" cy="2074627"/>
                    </a:xfrm>
                    <a:prstGeom prst="rect">
                      <a:avLst/>
                    </a:prstGeom>
                  </pic:spPr>
                </pic:pic>
              </a:graphicData>
            </a:graphic>
          </wp:inline>
        </w:drawing>
      </w:r>
    </w:p>
    <w:p w14:paraId="66CDD5AA" w14:textId="77777777" w:rsidR="004C250E" w:rsidRDefault="00000000">
      <w:pPr>
        <w:keepLines/>
        <w:spacing w:after="80"/>
        <w:jc w:val="center"/>
      </w:pPr>
      <w:r>
        <w:rPr>
          <w:i/>
          <w:color w:val="4C5963"/>
          <w:sz w:val="17"/>
        </w:rPr>
        <w:t xml:space="preserve">Figure 4. (a) Ratio of squared-margin sensitivity along the leading-variance PC to that along the lowest-variance PC at depths 5, 7, 8, and 10; color encodes the ratio on a log scale, with values above 1 indicating greater sensitivity along PC1. PCs come from centered calibration-activation covariance. (b) Fraction of </w:t>
      </w:r>
      <m:oMath>
        <m:sSub>
          <m:sSubPr>
            <m:ctrlPr>
              <w:rPr>
                <w:rFonts w:ascii="Cambria Math" w:hAnsi="Cambria Math"/>
              </w:rPr>
            </m:ctrlPr>
          </m:sSubPr>
          <m:e>
            <m:r>
              <w:rPr>
                <w:rFonts w:ascii="Cambria Math" w:hAnsi="Cambria Math"/>
              </w:rPr>
              <m:t>M</m:t>
            </m:r>
          </m:e>
          <m:sub>
            <m:r>
              <m:rPr>
                <m:scr m:val="script"/>
              </m:rPr>
              <w:rPr>
                <w:rFonts w:ascii="Cambria Math" w:hAnsi="Cambria Math"/>
              </w:rPr>
              <m:t>l</m:t>
            </m:r>
          </m:sub>
        </m:sSub>
      </m:oMath>
      <w:r>
        <w:rPr>
          <w:i/>
          <w:color w:val="4C5963"/>
          <w:sz w:val="17"/>
        </w:rPr>
        <w:t xml:space="preserve"> eigenvalues at or below </w:t>
      </w:r>
      <m:oMath>
        <m:sSup>
          <m:sSupPr>
            <m:ctrlPr>
              <w:rPr>
                <w:rFonts w:ascii="Cambria Math" w:hAnsi="Cambria Math"/>
              </w:rPr>
            </m:ctrlPr>
          </m:sSupPr>
          <m:e>
            <m:r>
              <w:rPr>
                <w:rFonts w:ascii="Cambria Math" w:hAnsi="Cambria Math"/>
              </w:rPr>
              <m:t>10</m:t>
            </m:r>
          </m:e>
          <m:sup>
            <m:r>
              <w:rPr>
                <w:rFonts w:ascii="Cambria Math" w:hAnsi="Cambria Math"/>
              </w:rPr>
              <m:t>-3</m:t>
            </m:r>
          </m:sup>
        </m:sSup>
        <m:sSub>
          <m:sSubPr>
            <m:ctrlPr>
              <w:rPr>
                <w:rFonts w:ascii="Cambria Math" w:hAnsi="Cambria Math"/>
              </w:rPr>
            </m:ctrlPr>
          </m:sSubPr>
          <m:e>
            <m:r>
              <w:rPr>
                <w:rFonts w:ascii="Cambria Math" w:hAnsi="Cambria Math"/>
              </w:rPr>
              <m:t>λ</m:t>
            </m:r>
          </m:e>
          <m:sub>
            <m:r>
              <w:rPr>
                <w:rFonts w:ascii="Cambria Math" w:hAnsi="Cambria Math"/>
              </w:rPr>
              <m:t>max</m:t>
            </m:r>
          </m:sub>
        </m:sSub>
      </m:oMath>
      <w:r>
        <w:rPr>
          <w:i/>
          <w:color w:val="4C5963"/>
          <w:sz w:val="17"/>
        </w:rPr>
        <w:t xml:space="preserve"> across depth. Each architecture uses the same </w:t>
      </w:r>
      <m:oMath>
        <m:r>
          <w:rPr>
            <w:rFonts w:ascii="Cambria Math" w:hAnsi="Cambria Math"/>
          </w:rPr>
          <m:t>N=100</m:t>
        </m:r>
      </m:oMath>
      <w:r>
        <w:rPr>
          <w:i/>
          <w:color w:val="4C5963"/>
          <w:sz w:val="17"/>
        </w:rPr>
        <w:t>-image calibration cohort. DINOv2 sensitivities use its official linear classifier on the concatenated normalized CLS and mean-patch readout. The lowest-variance covariance direction is weakly separated in ViT-B, so its ratio is a cohort-level directional estimate.</w:t>
      </w:r>
    </w:p>
    <w:p w14:paraId="018AB700" w14:textId="77777777" w:rsidR="004368BE" w:rsidRDefault="00000000">
      <w:pPr>
        <w:spacing w:after="100" w:line="259" w:lineRule="auto"/>
      </w:pPr>
      <w:r>
        <w:lastRenderedPageBreak/>
        <w:t xml:space="preserve">At depth 8, the ViT-B PCbottom direction is especially uncertain because its covariance eigengap is only </w:t>
      </w:r>
      <m:oMath>
        <m:r>
          <w:rPr>
            <w:rFonts w:ascii="Cambria Math" w:hAnsi="Cambria Math"/>
          </w:rPr>
          <m:t>1.53×</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of the largest eigenvalue. Its large sensitivity ratio therefore describes the selected sample eigenvector, not a stable ranking of the low-variance subspace. Activation variance does not provide a model-independent proxy for margin sensitivity.</w:t>
      </w:r>
    </w:p>
    <w:p w14:paraId="419B1F1E" w14:textId="77777777" w:rsidR="004C250E" w:rsidRDefault="00000000">
      <w:pPr>
        <w:spacing w:after="100" w:line="259" w:lineRule="auto"/>
      </w:pPr>
      <w:r>
        <w:t xml:space="preserve">The entropy-based effective rank of </w:t>
      </w:r>
      <m:oMath>
        <m:sSub>
          <m:sSubPr>
            <m:ctrlPr>
              <w:rPr>
                <w:rFonts w:ascii="Cambria Math" w:hAnsi="Cambria Math"/>
              </w:rPr>
            </m:ctrlPr>
          </m:sSubPr>
          <m:e>
            <m:r>
              <w:rPr>
                <w:rFonts w:ascii="Cambria Math" w:hAnsi="Cambria Math"/>
              </w:rPr>
              <m:t>M</m:t>
            </m:r>
          </m:e>
          <m:sub>
            <m:r>
              <m:rPr>
                <m:scr m:val="script"/>
              </m:rPr>
              <w:rPr>
                <w:rFonts w:ascii="Cambria Math" w:hAnsi="Cambria Math"/>
              </w:rPr>
              <m:t>l</m:t>
            </m:r>
          </m:sub>
        </m:sSub>
      </m:oMath>
      <w:r>
        <w:t xml:space="preserve">, normalized by feature dimension </w:t>
      </w:r>
      <m:oMath>
        <m:r>
          <w:rPr>
            <w:rFonts w:ascii="Cambria Math" w:hAnsi="Cambria Math"/>
          </w:rPr>
          <m:t>D</m:t>
        </m:r>
      </m:oMath>
      <w:r>
        <w:t xml:space="preserve">, is compared across depths 5–10 in Table III. At the operational near-null cutoff </w:t>
      </w:r>
      <m:oMath>
        <m:sSub>
          <m:sSubPr>
            <m:ctrlPr>
              <w:rPr>
                <w:rFonts w:ascii="Cambria Math" w:hAnsi="Cambria Math"/>
              </w:rPr>
            </m:ctrlPr>
          </m:sSubPr>
          <m:e>
            <m:r>
              <w:rPr>
                <w:rFonts w:ascii="Cambria Math" w:hAnsi="Cambria Math"/>
              </w:rPr>
              <m:t>λ</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sSub>
          <m:sSubPr>
            <m:ctrlPr>
              <w:rPr>
                <w:rFonts w:ascii="Cambria Math" w:hAnsi="Cambria Math"/>
              </w:rPr>
            </m:ctrlPr>
          </m:sSubPr>
          <m:e>
            <m:r>
              <w:rPr>
                <w:rFonts w:ascii="Cambria Math" w:hAnsi="Cambria Math"/>
              </w:rPr>
              <m:t>λ</m:t>
            </m:r>
          </m:e>
          <m:sub>
            <m:r>
              <w:rPr>
                <w:rFonts w:ascii="Cambria Math" w:hAnsi="Cambria Math"/>
              </w:rPr>
              <m:t>max</m:t>
            </m:r>
          </m:sub>
        </m:sSub>
      </m:oMath>
      <w:r>
        <w:t xml:space="preserve">, the primary-threshold fractions are summarized there; DINOv2 reaches 64.84% at the looser </w:t>
      </w:r>
      <m:oMath>
        <m:sSup>
          <m:sSupPr>
            <m:ctrlPr>
              <w:rPr>
                <w:rFonts w:ascii="Cambria Math" w:hAnsi="Cambria Math"/>
              </w:rPr>
            </m:ctrlPr>
          </m:sSupPr>
          <m:e>
            <m:r>
              <w:rPr>
                <w:rFonts w:ascii="Cambria Math" w:hAnsi="Cambria Math"/>
              </w:rPr>
              <m:t>10</m:t>
            </m:r>
          </m:e>
          <m:sup>
            <m:r>
              <w:rPr>
                <w:rFonts w:ascii="Cambria Math" w:hAnsi="Cambria Math"/>
              </w:rPr>
              <m:t>-2</m:t>
            </m:r>
          </m:sup>
        </m:sSup>
        <m:sSub>
          <m:sSubPr>
            <m:ctrlPr>
              <w:rPr>
                <w:rFonts w:ascii="Cambria Math" w:hAnsi="Cambria Math"/>
              </w:rPr>
            </m:ctrlPr>
          </m:sSubPr>
          <m:e>
            <m:r>
              <w:rPr>
                <w:rFonts w:ascii="Cambria Math" w:hAnsi="Cambria Math"/>
              </w:rPr>
              <m:t>λ</m:t>
            </m:r>
          </m:e>
          <m:sub>
            <m:r>
              <w:rPr>
                <w:rFonts w:ascii="Cambria Math" w:hAnsi="Cambria Math"/>
              </w:rPr>
              <m:t>max</m:t>
            </m:r>
          </m:sub>
        </m:sSub>
      </m:oMath>
      <w:r>
        <w:t xml:space="preserve"> cutoff, illustrating threshold sensitivity.</w:t>
      </w:r>
    </w:p>
    <w:p w14:paraId="77058A81" w14:textId="77777777" w:rsidR="004368BE" w:rsidRDefault="00000000">
      <w:pPr>
        <w:spacing w:after="100" w:line="259" w:lineRule="auto"/>
      </w:pPr>
      <w:r>
        <w:t>Near-null expansion at the primary cutoff is architecture-dependent and small for DINOv2. The ViT-B PCbottom ratio depends on a direction with a small covariance eigengap. These depth-wise associations are consistent with increasing late-layer fungibility in several models but do not establish an exact nonlinear invariance subspace or a causal explanation.</w:t>
      </w:r>
    </w:p>
    <w:p w14:paraId="2A9F5C8B" w14:textId="77777777" w:rsidR="004368BE" w:rsidRDefault="00000000">
      <w:pPr>
        <w:spacing w:after="100" w:line="259" w:lineRule="auto"/>
      </w:pPr>
      <w:r>
        <w:t>TABLE III</w:t>
      </w:r>
    </w:p>
    <w:p w14:paraId="3EAE06B4" w14:textId="77777777" w:rsidR="004368BE" w:rsidRDefault="00000000">
      <w:pPr>
        <w:spacing w:after="100" w:line="259" w:lineRule="auto"/>
      </w:pPr>
      <w:r>
        <w:t>DEPTH EVOLUTION OF FUNCTIONAL SENSITIVITY ACROSS ARCHITECTURES</w:t>
      </w:r>
    </w:p>
    <w:p w14:paraId="354408CC" w14:textId="77777777" w:rsidR="004368BE" w:rsidRDefault="00000000">
      <w:pPr>
        <w:keepNext/>
        <w:spacing w:after="100" w:line="259" w:lineRule="auto"/>
      </w:pPr>
      <w:r>
        <w:t xml:space="preserve">The empirical margin-gradient metric Mℓ and its depth-dependent spectrum. Normalized effective rank is dimensionless; near-null eigenvalues satisfy λk ≤ </w:t>
      </w:r>
      <m:oMath>
        <m:sSup>
          <m:sSupPr>
            <m:ctrlPr>
              <w:rPr>
                <w:rFonts w:ascii="Cambria Math" w:hAnsi="Cambria Math"/>
              </w:rPr>
            </m:ctrlPr>
          </m:sSupPr>
          <m:e>
            <m:r>
              <w:rPr>
                <w:rFonts w:ascii="Cambria Math" w:hAnsi="Cambria Math"/>
              </w:rPr>
              <m:t>10</m:t>
            </m:r>
          </m:e>
          <m:sup>
            <m:r>
              <w:rPr>
                <w:rFonts w:ascii="Cambria Math" w:hAnsi="Cambria Math"/>
              </w:rPr>
              <m:t>-3</m:t>
            </m:r>
          </m:sup>
        </m:sSup>
      </m:oMath>
      <w:r>
        <w:t xml:space="preserve"> λmax, an operational cutoff rather than an exact nonlinear nullspace criterion.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0"/>
        <w:gridCol w:w="2477"/>
        <w:gridCol w:w="2448"/>
        <w:gridCol w:w="2995"/>
      </w:tblGrid>
      <w:tr w:rsidR="004368BE" w:rsidRPr="00B63702" w14:paraId="7FADB20B" w14:textId="77777777" w:rsidTr="00B63702">
        <w:trPr>
          <w:cantSplit/>
          <w:tblHeader/>
          <w:jc w:val="center"/>
        </w:trPr>
        <w:tc>
          <w:tcPr>
            <w:tcW w:w="1800" w:type="dxa"/>
            <w:tcBorders>
              <w:top w:val="single" w:sz="4" w:space="0" w:color="auto"/>
              <w:bottom w:val="single" w:sz="4" w:space="0" w:color="auto"/>
            </w:tcBorders>
            <w:tcMar>
              <w:top w:w="55" w:type="dxa"/>
              <w:left w:w="65" w:type="dxa"/>
              <w:bottom w:w="55" w:type="dxa"/>
              <w:right w:w="65" w:type="dxa"/>
            </w:tcMar>
            <w:vAlign w:val="center"/>
          </w:tcPr>
          <w:p w14:paraId="0E12590C" w14:textId="77777777" w:rsidR="004368BE" w:rsidRPr="00B63702" w:rsidRDefault="00000000">
            <w:pPr>
              <w:jc w:val="center"/>
              <w:rPr>
                <w:szCs w:val="32"/>
              </w:rPr>
            </w:pPr>
            <w:r w:rsidRPr="00B63702">
              <w:rPr>
                <w:b/>
                <w:color w:val="17232D"/>
                <w:szCs w:val="32"/>
              </w:rPr>
              <w:t>Architecture</w:t>
            </w:r>
          </w:p>
        </w:tc>
        <w:tc>
          <w:tcPr>
            <w:tcW w:w="2477" w:type="dxa"/>
            <w:tcBorders>
              <w:top w:val="single" w:sz="4" w:space="0" w:color="auto"/>
              <w:bottom w:val="single" w:sz="4" w:space="0" w:color="auto"/>
            </w:tcBorders>
            <w:tcMar>
              <w:top w:w="55" w:type="dxa"/>
              <w:left w:w="65" w:type="dxa"/>
              <w:bottom w:w="55" w:type="dxa"/>
              <w:right w:w="65" w:type="dxa"/>
            </w:tcMar>
            <w:vAlign w:val="center"/>
          </w:tcPr>
          <w:p w14:paraId="70EEDA27" w14:textId="77777777" w:rsidR="004368BE" w:rsidRPr="00B63702" w:rsidRDefault="00000000">
            <w:pPr>
              <w:jc w:val="center"/>
              <w:rPr>
                <w:szCs w:val="32"/>
              </w:rPr>
            </w:pPr>
            <w:r w:rsidRPr="00B63702">
              <w:rPr>
                <w:b/>
                <w:color w:val="17232D"/>
                <w:szCs w:val="32"/>
              </w:rPr>
              <w:t>Normalized effective rank, d5 → d10</w:t>
            </w:r>
          </w:p>
        </w:tc>
        <w:tc>
          <w:tcPr>
            <w:tcW w:w="2448" w:type="dxa"/>
            <w:tcBorders>
              <w:top w:val="single" w:sz="4" w:space="0" w:color="auto"/>
              <w:bottom w:val="single" w:sz="4" w:space="0" w:color="auto"/>
            </w:tcBorders>
            <w:tcMar>
              <w:top w:w="55" w:type="dxa"/>
              <w:left w:w="65" w:type="dxa"/>
              <w:bottom w:w="55" w:type="dxa"/>
              <w:right w:w="65" w:type="dxa"/>
            </w:tcMar>
            <w:vAlign w:val="center"/>
          </w:tcPr>
          <w:p w14:paraId="1633FE3C" w14:textId="77777777" w:rsidR="004368BE" w:rsidRPr="00B63702" w:rsidRDefault="00000000">
            <w:pPr>
              <w:jc w:val="center"/>
              <w:rPr>
                <w:szCs w:val="32"/>
              </w:rPr>
            </w:pPr>
            <w:r w:rsidRPr="00B63702">
              <w:rPr>
                <w:b/>
                <w:color w:val="17232D"/>
                <w:szCs w:val="32"/>
              </w:rPr>
              <w:t>Near-null fraction, d5 → d10</w:t>
            </w:r>
          </w:p>
        </w:tc>
        <w:tc>
          <w:tcPr>
            <w:tcW w:w="2995" w:type="dxa"/>
            <w:tcBorders>
              <w:top w:val="single" w:sz="4" w:space="0" w:color="auto"/>
              <w:bottom w:val="single" w:sz="4" w:space="0" w:color="auto"/>
            </w:tcBorders>
            <w:tcMar>
              <w:top w:w="55" w:type="dxa"/>
              <w:left w:w="65" w:type="dxa"/>
              <w:bottom w:w="55" w:type="dxa"/>
              <w:right w:w="65" w:type="dxa"/>
            </w:tcMar>
            <w:vAlign w:val="center"/>
          </w:tcPr>
          <w:p w14:paraId="63AD0535" w14:textId="77777777" w:rsidR="004368BE" w:rsidRPr="00B63702" w:rsidRDefault="00000000">
            <w:pPr>
              <w:jc w:val="center"/>
              <w:rPr>
                <w:szCs w:val="32"/>
              </w:rPr>
            </w:pPr>
            <w:r w:rsidRPr="00B63702">
              <w:rPr>
                <w:b/>
                <w:color w:val="17232D"/>
                <w:szCs w:val="32"/>
              </w:rPr>
              <w:t>PC1 / PCbottom sensitivity ratio, d8</w:t>
            </w:r>
          </w:p>
        </w:tc>
      </w:tr>
      <w:tr w:rsidR="004368BE" w:rsidRPr="00B63702" w14:paraId="205DFB04" w14:textId="77777777" w:rsidTr="00B63702">
        <w:trPr>
          <w:cantSplit/>
          <w:jc w:val="center"/>
        </w:trPr>
        <w:tc>
          <w:tcPr>
            <w:tcW w:w="1800" w:type="dxa"/>
            <w:tcBorders>
              <w:top w:val="single" w:sz="4" w:space="0" w:color="auto"/>
            </w:tcBorders>
            <w:tcMar>
              <w:top w:w="55" w:type="dxa"/>
              <w:left w:w="65" w:type="dxa"/>
              <w:bottom w:w="55" w:type="dxa"/>
              <w:right w:w="65" w:type="dxa"/>
            </w:tcMar>
            <w:vAlign w:val="center"/>
          </w:tcPr>
          <w:p w14:paraId="45945080" w14:textId="77777777" w:rsidR="004368BE" w:rsidRPr="00B63702" w:rsidRDefault="00000000">
            <w:pPr>
              <w:rPr>
                <w:szCs w:val="32"/>
              </w:rPr>
            </w:pPr>
            <w:r w:rsidRPr="00B63702">
              <w:rPr>
                <w:szCs w:val="32"/>
              </w:rPr>
              <w:t>DeiT-Tiny</w:t>
            </w:r>
          </w:p>
        </w:tc>
        <w:tc>
          <w:tcPr>
            <w:tcW w:w="2477" w:type="dxa"/>
            <w:tcBorders>
              <w:top w:val="single" w:sz="4" w:space="0" w:color="auto"/>
            </w:tcBorders>
            <w:tcMar>
              <w:top w:w="55" w:type="dxa"/>
              <w:left w:w="65" w:type="dxa"/>
              <w:bottom w:w="55" w:type="dxa"/>
              <w:right w:w="65" w:type="dxa"/>
            </w:tcMar>
            <w:vAlign w:val="center"/>
          </w:tcPr>
          <w:p w14:paraId="65E105C1" w14:textId="77777777" w:rsidR="004368BE" w:rsidRPr="00B63702" w:rsidRDefault="00000000">
            <w:pPr>
              <w:jc w:val="center"/>
              <w:rPr>
                <w:szCs w:val="32"/>
              </w:rPr>
            </w:pPr>
            <w:r w:rsidRPr="00B63702">
              <w:rPr>
                <w:szCs w:val="32"/>
              </w:rPr>
              <w:t>0.541 → 0.125</w:t>
            </w:r>
          </w:p>
        </w:tc>
        <w:tc>
          <w:tcPr>
            <w:tcW w:w="2448" w:type="dxa"/>
            <w:tcBorders>
              <w:top w:val="single" w:sz="4" w:space="0" w:color="auto"/>
            </w:tcBorders>
            <w:tcMar>
              <w:top w:w="55" w:type="dxa"/>
              <w:left w:w="65" w:type="dxa"/>
              <w:bottom w:w="55" w:type="dxa"/>
              <w:right w:w="65" w:type="dxa"/>
            </w:tcMar>
            <w:vAlign w:val="center"/>
          </w:tcPr>
          <w:p w14:paraId="04A6B35B" w14:textId="77777777" w:rsidR="004368BE" w:rsidRPr="00B63702" w:rsidRDefault="00000000">
            <w:pPr>
              <w:jc w:val="center"/>
              <w:rPr>
                <w:szCs w:val="32"/>
              </w:rPr>
            </w:pPr>
            <w:r w:rsidRPr="00B63702">
              <w:rPr>
                <w:szCs w:val="32"/>
              </w:rPr>
              <w:t>0.52% → 31.77%</w:t>
            </w:r>
          </w:p>
        </w:tc>
        <w:tc>
          <w:tcPr>
            <w:tcW w:w="2995" w:type="dxa"/>
            <w:tcBorders>
              <w:top w:val="single" w:sz="4" w:space="0" w:color="auto"/>
            </w:tcBorders>
            <w:tcMar>
              <w:top w:w="55" w:type="dxa"/>
              <w:left w:w="65" w:type="dxa"/>
              <w:bottom w:w="55" w:type="dxa"/>
              <w:right w:w="65" w:type="dxa"/>
            </w:tcMar>
            <w:vAlign w:val="center"/>
          </w:tcPr>
          <w:p w14:paraId="0A3B4F4D" w14:textId="77777777" w:rsidR="004368BE" w:rsidRPr="00B63702" w:rsidRDefault="00000000">
            <w:pPr>
              <w:jc w:val="center"/>
              <w:rPr>
                <w:szCs w:val="32"/>
              </w:rPr>
            </w:pPr>
            <w:r w:rsidRPr="00B63702">
              <w:rPr>
                <w:szCs w:val="32"/>
              </w:rPr>
              <w:t>0.089</w:t>
            </w:r>
          </w:p>
        </w:tc>
      </w:tr>
      <w:tr w:rsidR="004368BE" w:rsidRPr="00B63702" w14:paraId="5267BD26" w14:textId="77777777" w:rsidTr="00B63702">
        <w:trPr>
          <w:cantSplit/>
          <w:jc w:val="center"/>
        </w:trPr>
        <w:tc>
          <w:tcPr>
            <w:tcW w:w="1800" w:type="dxa"/>
            <w:tcMar>
              <w:top w:w="55" w:type="dxa"/>
              <w:left w:w="65" w:type="dxa"/>
              <w:bottom w:w="55" w:type="dxa"/>
              <w:right w:w="65" w:type="dxa"/>
            </w:tcMar>
            <w:vAlign w:val="center"/>
          </w:tcPr>
          <w:p w14:paraId="50738B37" w14:textId="77777777" w:rsidR="004368BE" w:rsidRPr="00B63702" w:rsidRDefault="00000000">
            <w:pPr>
              <w:rPr>
                <w:szCs w:val="32"/>
              </w:rPr>
            </w:pPr>
            <w:r w:rsidRPr="00B63702">
              <w:rPr>
                <w:szCs w:val="32"/>
              </w:rPr>
              <w:t>DeiT-Small</w:t>
            </w:r>
          </w:p>
        </w:tc>
        <w:tc>
          <w:tcPr>
            <w:tcW w:w="2477" w:type="dxa"/>
            <w:tcMar>
              <w:top w:w="55" w:type="dxa"/>
              <w:left w:w="65" w:type="dxa"/>
              <w:bottom w:w="55" w:type="dxa"/>
              <w:right w:w="65" w:type="dxa"/>
            </w:tcMar>
            <w:vAlign w:val="center"/>
          </w:tcPr>
          <w:p w14:paraId="7BB090BF" w14:textId="77777777" w:rsidR="004368BE" w:rsidRPr="00B63702" w:rsidRDefault="00000000">
            <w:pPr>
              <w:jc w:val="center"/>
              <w:rPr>
                <w:szCs w:val="32"/>
              </w:rPr>
            </w:pPr>
            <w:r w:rsidRPr="00B63702">
              <w:rPr>
                <w:szCs w:val="32"/>
              </w:rPr>
              <w:t>0.467 → 0.114</w:t>
            </w:r>
          </w:p>
        </w:tc>
        <w:tc>
          <w:tcPr>
            <w:tcW w:w="2448" w:type="dxa"/>
            <w:tcMar>
              <w:top w:w="55" w:type="dxa"/>
              <w:left w:w="65" w:type="dxa"/>
              <w:bottom w:w="55" w:type="dxa"/>
              <w:right w:w="65" w:type="dxa"/>
            </w:tcMar>
            <w:vAlign w:val="center"/>
          </w:tcPr>
          <w:p w14:paraId="3FADF270" w14:textId="77777777" w:rsidR="004368BE" w:rsidRPr="00B63702" w:rsidRDefault="00000000">
            <w:pPr>
              <w:jc w:val="center"/>
              <w:rPr>
                <w:szCs w:val="32"/>
              </w:rPr>
            </w:pPr>
            <w:r w:rsidRPr="00B63702">
              <w:rPr>
                <w:szCs w:val="32"/>
              </w:rPr>
              <w:t>0.26% → 57.03%</w:t>
            </w:r>
          </w:p>
        </w:tc>
        <w:tc>
          <w:tcPr>
            <w:tcW w:w="2995" w:type="dxa"/>
            <w:tcMar>
              <w:top w:w="55" w:type="dxa"/>
              <w:left w:w="65" w:type="dxa"/>
              <w:bottom w:w="55" w:type="dxa"/>
              <w:right w:w="65" w:type="dxa"/>
            </w:tcMar>
            <w:vAlign w:val="center"/>
          </w:tcPr>
          <w:p w14:paraId="0F3A80B1" w14:textId="77777777" w:rsidR="004368BE" w:rsidRPr="00B63702" w:rsidRDefault="00000000">
            <w:pPr>
              <w:jc w:val="center"/>
              <w:rPr>
                <w:szCs w:val="32"/>
              </w:rPr>
            </w:pPr>
            <w:r w:rsidRPr="00B63702">
              <w:rPr>
                <w:szCs w:val="32"/>
              </w:rPr>
              <w:t>0.041</w:t>
            </w:r>
          </w:p>
        </w:tc>
      </w:tr>
      <w:tr w:rsidR="004368BE" w:rsidRPr="00B63702" w14:paraId="369C8CAE" w14:textId="77777777" w:rsidTr="00B63702">
        <w:trPr>
          <w:cantSplit/>
          <w:jc w:val="center"/>
        </w:trPr>
        <w:tc>
          <w:tcPr>
            <w:tcW w:w="1800" w:type="dxa"/>
            <w:tcMar>
              <w:top w:w="55" w:type="dxa"/>
              <w:left w:w="65" w:type="dxa"/>
              <w:bottom w:w="55" w:type="dxa"/>
              <w:right w:w="65" w:type="dxa"/>
            </w:tcMar>
            <w:vAlign w:val="center"/>
          </w:tcPr>
          <w:p w14:paraId="70D03324" w14:textId="77777777" w:rsidR="004368BE" w:rsidRPr="00B63702" w:rsidRDefault="00000000">
            <w:pPr>
              <w:rPr>
                <w:szCs w:val="32"/>
              </w:rPr>
            </w:pPr>
            <w:r w:rsidRPr="00B63702">
              <w:rPr>
                <w:szCs w:val="32"/>
              </w:rPr>
              <w:t>ViT-B/16 AugReg</w:t>
            </w:r>
          </w:p>
        </w:tc>
        <w:tc>
          <w:tcPr>
            <w:tcW w:w="2477" w:type="dxa"/>
            <w:tcMar>
              <w:top w:w="55" w:type="dxa"/>
              <w:left w:w="65" w:type="dxa"/>
              <w:bottom w:w="55" w:type="dxa"/>
              <w:right w:w="65" w:type="dxa"/>
            </w:tcMar>
            <w:vAlign w:val="center"/>
          </w:tcPr>
          <w:p w14:paraId="7E46F232" w14:textId="77777777" w:rsidR="004368BE" w:rsidRPr="00B63702" w:rsidRDefault="00000000">
            <w:pPr>
              <w:jc w:val="center"/>
              <w:rPr>
                <w:szCs w:val="32"/>
              </w:rPr>
            </w:pPr>
            <w:r w:rsidRPr="00B63702">
              <w:rPr>
                <w:szCs w:val="32"/>
              </w:rPr>
              <w:t>0.383 → 0.140</w:t>
            </w:r>
          </w:p>
        </w:tc>
        <w:tc>
          <w:tcPr>
            <w:tcW w:w="2448" w:type="dxa"/>
            <w:tcMar>
              <w:top w:w="55" w:type="dxa"/>
              <w:left w:w="65" w:type="dxa"/>
              <w:bottom w:w="55" w:type="dxa"/>
              <w:right w:w="65" w:type="dxa"/>
            </w:tcMar>
            <w:vAlign w:val="center"/>
          </w:tcPr>
          <w:p w14:paraId="02C66DC4" w14:textId="77777777" w:rsidR="004368BE" w:rsidRPr="00B63702" w:rsidRDefault="00000000">
            <w:pPr>
              <w:jc w:val="center"/>
              <w:rPr>
                <w:szCs w:val="32"/>
              </w:rPr>
            </w:pPr>
            <w:r w:rsidRPr="00B63702">
              <w:rPr>
                <w:szCs w:val="32"/>
              </w:rPr>
              <w:t>0.26% → 49.61%</w:t>
            </w:r>
          </w:p>
        </w:tc>
        <w:tc>
          <w:tcPr>
            <w:tcW w:w="2995" w:type="dxa"/>
            <w:tcMar>
              <w:top w:w="55" w:type="dxa"/>
              <w:left w:w="65" w:type="dxa"/>
              <w:bottom w:w="55" w:type="dxa"/>
              <w:right w:w="65" w:type="dxa"/>
            </w:tcMar>
            <w:vAlign w:val="center"/>
          </w:tcPr>
          <w:p w14:paraId="116DA696" w14:textId="77777777" w:rsidR="004368BE" w:rsidRPr="00B63702" w:rsidRDefault="00000000">
            <w:pPr>
              <w:jc w:val="center"/>
              <w:rPr>
                <w:szCs w:val="32"/>
              </w:rPr>
            </w:pPr>
            <w:r w:rsidRPr="00B63702">
              <w:rPr>
                <w:szCs w:val="32"/>
              </w:rPr>
              <w:t>65.2†</w:t>
            </w:r>
          </w:p>
        </w:tc>
      </w:tr>
      <w:tr w:rsidR="004368BE" w:rsidRPr="00B63702" w14:paraId="15CB6805" w14:textId="77777777" w:rsidTr="00B63702">
        <w:trPr>
          <w:cantSplit/>
          <w:jc w:val="center"/>
        </w:trPr>
        <w:tc>
          <w:tcPr>
            <w:tcW w:w="1800" w:type="dxa"/>
            <w:tcBorders>
              <w:bottom w:val="single" w:sz="4" w:space="0" w:color="auto"/>
            </w:tcBorders>
            <w:tcMar>
              <w:top w:w="55" w:type="dxa"/>
              <w:left w:w="65" w:type="dxa"/>
              <w:bottom w:w="55" w:type="dxa"/>
              <w:right w:w="65" w:type="dxa"/>
            </w:tcMar>
            <w:vAlign w:val="center"/>
          </w:tcPr>
          <w:p w14:paraId="2ECDC4EE" w14:textId="77777777" w:rsidR="004368BE" w:rsidRPr="00B63702" w:rsidRDefault="00000000">
            <w:pPr>
              <w:rPr>
                <w:szCs w:val="32"/>
              </w:rPr>
            </w:pPr>
            <w:r w:rsidRPr="00B63702">
              <w:rPr>
                <w:szCs w:val="32"/>
              </w:rPr>
              <w:t>DINOv2 ViT-S/14</w:t>
            </w:r>
          </w:p>
        </w:tc>
        <w:tc>
          <w:tcPr>
            <w:tcW w:w="2477" w:type="dxa"/>
            <w:tcBorders>
              <w:bottom w:val="single" w:sz="4" w:space="0" w:color="auto"/>
            </w:tcBorders>
            <w:tcMar>
              <w:top w:w="55" w:type="dxa"/>
              <w:left w:w="65" w:type="dxa"/>
              <w:bottom w:w="55" w:type="dxa"/>
              <w:right w:w="65" w:type="dxa"/>
            </w:tcMar>
            <w:vAlign w:val="center"/>
          </w:tcPr>
          <w:p w14:paraId="2708B082" w14:textId="77777777" w:rsidR="004368BE" w:rsidRPr="00B63702" w:rsidRDefault="00000000">
            <w:pPr>
              <w:jc w:val="center"/>
              <w:rPr>
                <w:szCs w:val="32"/>
              </w:rPr>
            </w:pPr>
            <w:r w:rsidRPr="00B63702">
              <w:rPr>
                <w:szCs w:val="32"/>
              </w:rPr>
              <w:t>0.453 → 0.323</w:t>
            </w:r>
          </w:p>
        </w:tc>
        <w:tc>
          <w:tcPr>
            <w:tcW w:w="2448" w:type="dxa"/>
            <w:tcBorders>
              <w:bottom w:val="single" w:sz="4" w:space="0" w:color="auto"/>
            </w:tcBorders>
            <w:tcMar>
              <w:top w:w="55" w:type="dxa"/>
              <w:left w:w="65" w:type="dxa"/>
              <w:bottom w:w="55" w:type="dxa"/>
              <w:right w:w="65" w:type="dxa"/>
            </w:tcMar>
            <w:vAlign w:val="center"/>
          </w:tcPr>
          <w:p w14:paraId="13684119" w14:textId="77777777" w:rsidR="004368BE" w:rsidRPr="00B63702" w:rsidRDefault="00000000">
            <w:pPr>
              <w:jc w:val="center"/>
              <w:rPr>
                <w:szCs w:val="32"/>
              </w:rPr>
            </w:pPr>
            <w:r w:rsidRPr="00B63702">
              <w:rPr>
                <w:szCs w:val="32"/>
              </w:rPr>
              <w:t>0.26% → 1.56%</w:t>
            </w:r>
          </w:p>
        </w:tc>
        <w:tc>
          <w:tcPr>
            <w:tcW w:w="2995" w:type="dxa"/>
            <w:tcBorders>
              <w:bottom w:val="single" w:sz="4" w:space="0" w:color="auto"/>
            </w:tcBorders>
            <w:tcMar>
              <w:top w:w="55" w:type="dxa"/>
              <w:left w:w="65" w:type="dxa"/>
              <w:bottom w:w="55" w:type="dxa"/>
              <w:right w:w="65" w:type="dxa"/>
            </w:tcMar>
            <w:vAlign w:val="center"/>
          </w:tcPr>
          <w:p w14:paraId="219615B4" w14:textId="77777777" w:rsidR="004368BE" w:rsidRPr="00B63702" w:rsidRDefault="00000000">
            <w:pPr>
              <w:jc w:val="center"/>
              <w:rPr>
                <w:szCs w:val="32"/>
              </w:rPr>
            </w:pPr>
            <w:r w:rsidRPr="00B63702">
              <w:rPr>
                <w:szCs w:val="32"/>
              </w:rPr>
              <w:t>0.199</w:t>
            </w:r>
          </w:p>
        </w:tc>
      </w:tr>
    </w:tbl>
    <w:p w14:paraId="37624230" w14:textId="77777777" w:rsidR="004368BE" w:rsidRDefault="004368BE">
      <w:pPr>
        <w:spacing w:after="20"/>
      </w:pPr>
    </w:p>
    <w:p w14:paraId="4F91F205" w14:textId="77777777" w:rsidR="004368BE" w:rsidRDefault="00000000">
      <w:pPr>
        <w:spacing w:after="100" w:line="259" w:lineRule="auto"/>
      </w:pPr>
      <w:r>
        <w:t>Mℓ is the empirical uncentered second moment of clean predicted-class margin gradients over patch positions and N=100 calibration images/model; positions are aggregated within images. Normalized effective rank divides the entropy-based effective rank by feature dimension D, so it is dimensionless. Mℓ is distinct from the full token-by-feature downstream readout Jacobian Gram matrix. DINOv2 near-null growth is small at the primary threshold. †The ViT-B PCbottom-based ratio is sensitive to a small depth-8 activation-covariance eigengap. Ratios describe the selected sample directions and are not a universal ranking of PCA directions.</w:t>
      </w:r>
    </w:p>
    <w:p w14:paraId="2CFE87B4" w14:textId="77777777" w:rsidR="004C250E" w:rsidRDefault="00000000">
      <w:pPr>
        <w:spacing w:after="100" w:line="259" w:lineRule="auto"/>
      </w:pPr>
      <w:r>
        <w:t xml:space="preserve">The spectra, cutoff sensitivity, directional sensitivities, normalized effective ranks, and positive-semidefinite checks are reported in Supplementary Table S2. Because </w:t>
      </w:r>
      <m:oMath>
        <m:sSub>
          <m:sSubPr>
            <m:ctrlPr>
              <w:rPr>
                <w:rFonts w:ascii="Cambria Math" w:hAnsi="Cambria Math"/>
              </w:rPr>
            </m:ctrlPr>
          </m:sSubPr>
          <m:e>
            <m:r>
              <w:rPr>
                <w:rFonts w:ascii="Cambria Math" w:hAnsi="Cambria Math"/>
              </w:rPr>
              <m:t>M</m:t>
            </m:r>
          </m:e>
          <m:sub>
            <m:r>
              <m:rPr>
                <m:scr m:val="script"/>
              </m:rPr>
              <w:rPr>
                <w:rFonts w:ascii="Cambria Math" w:hAnsi="Cambria Math"/>
              </w:rPr>
              <m:t>l</m:t>
            </m:r>
          </m:sub>
        </m:sSub>
      </m:oMath>
      <w:r>
        <w:t xml:space="preserve"> contains no cross-token terms, Section 5.2 examines how attention-mediated Value aggregation combines perturbations across patch positions.</w:t>
      </w:r>
    </w:p>
    <w:p w14:paraId="3BA8CEB8" w14:textId="77777777" w:rsidR="004C250E" w:rsidRDefault="00000000">
      <w:pPr>
        <w:pStyle w:val="Heading2"/>
      </w:pPr>
      <w:r>
        <w:rPr>
          <w:rFonts w:ascii="Times New Roman" w:hAnsi="Times New Roman"/>
        </w:rPr>
        <w:t>5.2 Value-Path Coherence and Cancellation</w:t>
      </w:r>
    </w:p>
    <w:p w14:paraId="560F49E0" w14:textId="77777777" w:rsidR="004C250E" w:rsidRDefault="00000000">
      <w:pPr>
        <w:spacing w:after="100" w:line="259" w:lineRule="auto"/>
      </w:pPr>
      <w:r>
        <w:t xml:space="preserve">Across the four architectures, the frozen-attention condition reproduces nearly all of the full-perturbation immediate readout-change magnitude for coherent perturbations: frozen/full ratios are 97.4% for DeiT-Small (Block 8), 99.4% for ViT-B/16 AugReg (Block 7), 100.1% for DeiT-Tiny (Block 8), and 100.8% for DINOv2 ViT-S/14 (Block 8). Random-sign and checkerboard patterns produce smaller absolute changes in both conditions, although their relative agreement varies by model; for example, the frozen/full ratio is 98.3% for DINOv2 random-sign perturbations but 70.7% for its checkerboard pattern, and 48.1% for DeiT-Tiny checkerboard. Full perturbation changes </w:t>
      </w:r>
      <m:oMath>
        <m:r>
          <w:rPr>
            <w:rFonts w:ascii="Cambria Math" w:hAnsi="Cambria Math"/>
          </w:rPr>
          <m:t>Q</m:t>
        </m:r>
      </m:oMath>
      <w:r>
        <w:t xml:space="preserve">, </w:t>
      </w:r>
      <m:oMath>
        <m:r>
          <w:rPr>
            <w:rFonts w:ascii="Cambria Math" w:hAnsi="Cambria Math"/>
          </w:rPr>
          <m:t>K</m:t>
        </m:r>
      </m:oMath>
      <w:r>
        <w:t xml:space="preserve">, </w:t>
      </w:r>
      <m:oMath>
        <m:r>
          <w:rPr>
            <w:rFonts w:ascii="Cambria Math" w:hAnsi="Cambria Math"/>
          </w:rPr>
          <m:t>V</m:t>
        </m:r>
      </m:oMath>
      <w:r>
        <w:t xml:space="preserve">, and the residual stream and recomputes attention. The frozen-attention condition holds clean </w:t>
      </w:r>
      <m:oMath>
        <m:r>
          <w:rPr>
            <w:rFonts w:ascii="Cambria Math" w:hAnsi="Cambria Math"/>
          </w:rPr>
          <m:t>Q</m:t>
        </m:r>
      </m:oMath>
      <w:r>
        <w:t xml:space="preserve">, </w:t>
      </w:r>
      <m:oMath>
        <m:r>
          <w:rPr>
            <w:rFonts w:ascii="Cambria Math" w:hAnsi="Cambria Math"/>
          </w:rPr>
          <m:t>K</m:t>
        </m:r>
      </m:oMath>
      <w:r>
        <w:t xml:space="preserve">, and attention fixed while perturbing </w:t>
      </w:r>
      <m:oMath>
        <m:r>
          <w:rPr>
            <w:rFonts w:ascii="Cambria Math" w:hAnsi="Cambria Math"/>
          </w:rPr>
          <m:t>V</m:t>
        </m:r>
      </m:oMath>
      <w:r>
        <w:t xml:space="preserve"> and the residual, so its difference from the full condition is not a pure Value-only causal effect or an additive attribution.</w:t>
      </w:r>
    </w:p>
    <w:p w14:paraId="2391F8D5" w14:textId="77777777" w:rsidR="004C250E" w:rsidRDefault="00000000">
      <w:pPr>
        <w:spacing w:after="100" w:line="259" w:lineRule="auto"/>
      </w:pPr>
      <w:r>
        <w:t xml:space="preserve">The primary projection-path audit remains limited to DeiT-Small and ViT-B/16 AugReg and is reported separately in Supplementary Figure S12. With the residual stream clean, the V-only immediate-readout norm is 97.4% and 99.4% of the corresponding </w:t>
      </w:r>
      <m:oMath>
        <m:r>
          <w:rPr>
            <w:rFonts w:ascii="Cambria Math" w:hAnsi="Cambria Math"/>
          </w:rPr>
          <m:t>K+V</m:t>
        </m:r>
      </m:oMath>
      <w:r>
        <w:t xml:space="preserve"> norm, respectively; here </w:t>
      </w:r>
      <m:oMath>
        <m:r>
          <w:rPr>
            <w:rFonts w:ascii="Cambria Math" w:hAnsi="Cambria Math"/>
          </w:rPr>
          <m:t>K+V</m:t>
        </m:r>
      </m:oMath>
      <w:r>
        <w:t xml:space="preserve"> is the denominator, distinct from the full-perturbation denominator above. A separate signed true-class logit-drop contrast ratio, computed as the coherent-minus-random-sign contrast under frozen-attention V-only with the residual perturbed divided by the corresponding full-perturbation contrast, is 70.8% for DeiT-Small and 102.2% for ViT-B/16 AugReg (Supplementary Table S4). These ratios compare separately defined interventions and are not additive causal shares. Signed-logit outcomes for the reduced DeiT-Tiny and DINOv2 replications are reported separately in Supplementary Figure S11; Figure 5 uses the immediate-readout norm for every architecture.</w:t>
      </w:r>
    </w:p>
    <w:p w14:paraId="3203D0C8" w14:textId="77777777" w:rsidR="004C250E" w:rsidRDefault="00000000">
      <w:pPr>
        <w:keepNext/>
        <w:keepLines/>
        <w:spacing w:after="20"/>
        <w:jc w:val="center"/>
      </w:pPr>
      <w:r>
        <w:rPr>
          <w:noProof/>
        </w:rPr>
        <w:lastRenderedPageBreak/>
        <w:drawing>
          <wp:inline distT="0" distB="0" distL="0" distR="0" wp14:anchorId="21C71948" wp14:editId="6E21B0E7">
            <wp:extent cx="6172200" cy="43757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value_path_cancellation.png"/>
                    <pic:cNvPicPr/>
                  </pic:nvPicPr>
                  <pic:blipFill>
                    <a:blip r:embed="rId10"/>
                    <a:stretch>
                      <a:fillRect/>
                    </a:stretch>
                  </pic:blipFill>
                  <pic:spPr>
                    <a:xfrm>
                      <a:off x="0" y="0"/>
                      <a:ext cx="6172200" cy="4375764"/>
                    </a:xfrm>
                    <a:prstGeom prst="rect">
                      <a:avLst/>
                    </a:prstGeom>
                  </pic:spPr>
                </pic:pic>
              </a:graphicData>
            </a:graphic>
          </wp:inline>
        </w:drawing>
      </w:r>
    </w:p>
    <w:p w14:paraId="576D547C" w14:textId="77777777" w:rsidR="004C250E" w:rsidRDefault="00000000">
      <w:pPr>
        <w:keepLines/>
        <w:spacing w:after="80"/>
        <w:jc w:val="center"/>
      </w:pPr>
      <w:r>
        <w:rPr>
          <w:i/>
          <w:color w:val="4C5963"/>
          <w:sz w:val="17"/>
        </w:rPr>
        <w:t xml:space="preserve">Figure 5. Mean per-image Euclidean </w:t>
      </w:r>
      <m:oMath>
        <m:sSub>
          <m:sSubPr>
            <m:ctrlPr>
              <w:rPr>
                <w:rFonts w:ascii="Cambria Math" w:hAnsi="Cambria Math"/>
              </w:rPr>
            </m:ctrlPr>
          </m:sSubPr>
          <m:e>
            <m:r>
              <w:rPr>
                <w:rFonts w:ascii="Cambria Math" w:hAnsi="Cambria Math"/>
              </w:rPr>
              <m:t>L</m:t>
            </m:r>
          </m:e>
          <m:sub>
            <m:r>
              <w:rPr>
                <w:rFonts w:ascii="Cambria Math" w:hAnsi="Cambria Math"/>
              </w:rPr>
              <m:t>2</m:t>
            </m:r>
          </m:sub>
        </m:sSub>
      </m:oMath>
      <w:r>
        <w:rPr>
          <w:i/>
          <w:color w:val="4C5963"/>
          <w:sz w:val="17"/>
        </w:rPr>
        <w:t xml:space="preserve"> change in the immediate readout under full perturbation and frozen-attention V-only with perturbed residual: (a) DeiT-Small, Block 8; (b) ViT-B/16 AugReg, Block 7; (c) DeiT-Tiny, Block 8; and (d) DINOv2 ViT-S/14, Block 8. Each panel shows coherent, random-sign, and checkerboard patterns in that order and uses its own y-axis scale. Full perturbation changes </w:t>
      </w:r>
      <m:oMath>
        <m:r>
          <w:rPr>
            <w:rFonts w:ascii="Cambria Math" w:hAnsi="Cambria Math"/>
          </w:rPr>
          <m:t>Q,K,V</m:t>
        </m:r>
      </m:oMath>
      <w:r>
        <w:rPr>
          <w:i/>
          <w:color w:val="4C5963"/>
          <w:sz w:val="17"/>
        </w:rPr>
        <w:t xml:space="preserve"> and the residual and recomputes attention; frozen attention keeps clean </w:t>
      </w:r>
      <m:oMath>
        <m:r>
          <w:rPr>
            <w:rFonts w:ascii="Cambria Math" w:hAnsi="Cambria Math"/>
          </w:rPr>
          <m:t>Q,K,A</m:t>
        </m:r>
      </m:oMath>
      <w:r>
        <w:rPr>
          <w:i/>
          <w:color w:val="4C5963"/>
          <w:sz w:val="17"/>
        </w:rPr>
        <w:t xml:space="preserve"> and perturbs </w:t>
      </w:r>
      <m:oMath>
        <m:r>
          <w:rPr>
            <w:rFonts w:ascii="Cambria Math" w:hAnsi="Cambria Math"/>
          </w:rPr>
          <m:t>V</m:t>
        </m:r>
      </m:oMath>
      <w:r>
        <w:rPr>
          <w:i/>
          <w:color w:val="4C5963"/>
          <w:sz w:val="17"/>
        </w:rPr>
        <w:t xml:space="preserve"> and the residual. Bars are means over </w:t>
      </w:r>
      <m:oMath>
        <m:r>
          <w:rPr>
            <w:rFonts w:ascii="Cambria Math" w:hAnsi="Cambria Math"/>
          </w:rPr>
          <m:t>N=100</m:t>
        </m:r>
      </m:oMath>
      <w:r>
        <w:rPr>
          <w:i/>
          <w:color w:val="4C5963"/>
          <w:sz w:val="17"/>
        </w:rPr>
        <w:t xml:space="preserve"> outcome images. Panels (c,d) are reduced replications, not full Q/K/V decompositions. DINOv2’s immediate-readout vector concatenates the CLS and mean-patch representations; the other models use the CLS representation.</w:t>
      </w:r>
    </w:p>
    <w:p w14:paraId="184EEBFF" w14:textId="77777777" w:rsidR="004C250E" w:rsidRDefault="00000000">
      <w:pPr>
        <w:spacing w:after="100" w:line="259" w:lineRule="auto"/>
      </w:pPr>
      <w:r>
        <w:t xml:space="preserve">For one image, let </w:t>
      </w:r>
      <m:oMath>
        <m:sSubSup>
          <m:sSubSupPr>
            <m:ctrlPr>
              <w:rPr>
                <w:rFonts w:ascii="Cambria Math" w:hAnsi="Cambria Math"/>
              </w:rPr>
            </m:ctrlPr>
          </m:sSubSupPr>
          <m:e>
            <m:r>
              <w:rPr>
                <w:rFonts w:ascii="Cambria Math" w:hAnsi="Cambria Math"/>
              </w:rPr>
              <m:t>w</m:t>
            </m:r>
          </m:e>
          <m:sub>
            <m:r>
              <w:rPr>
                <w:rFonts w:ascii="Cambria Math" w:hAnsi="Cambria Math"/>
              </w:rPr>
              <m:t>h,i</m:t>
            </m:r>
          </m:sub>
          <m:sup>
            <m:r>
              <w:rPr>
                <w:rFonts w:ascii="Cambria Math" w:hAnsi="Cambria Math"/>
              </w:rPr>
              <m:t>{clean}</m:t>
            </m:r>
          </m:sup>
        </m:sSubSup>
      </m:oMath>
      <w:r>
        <w:t xml:space="preserve"> be the clean attention weight from spatial patch </w:t>
      </w:r>
      <m:oMath>
        <m:r>
          <w:rPr>
            <w:rFonts w:ascii="Cambria Math" w:hAnsi="Cambria Math"/>
          </w:rPr>
          <m:t>i</m:t>
        </m:r>
      </m:oMath>
      <w:r>
        <w:t xml:space="preserve"> to the CLS query in head </w:t>
      </w:r>
      <m:oMath>
        <m:r>
          <w:rPr>
            <w:rFonts w:ascii="Cambria Math" w:hAnsi="Cambria Math"/>
          </w:rPr>
          <m:t>h</m:t>
        </m:r>
      </m:oMath>
      <w:r>
        <w:t>. The signed attention-weighted token pattern and frozen-attention Value-context change are</w:t>
      </w:r>
    </w:p>
    <w:tbl>
      <w:tblPr>
        <w:tblW w:w="9994" w:type="dxa"/>
        <w:jc w:val="center"/>
        <w:tblBorders>
          <w:top w:val="nil"/>
          <w:left w:val="nil"/>
          <w:bottom w:val="nil"/>
          <w:right w:val="nil"/>
          <w:insideH w:val="nil"/>
          <w:insideV w:val="nil"/>
        </w:tblBorders>
        <w:tblLayout w:type="fixed"/>
        <w:tblLook w:val="04A0" w:firstRow="1" w:lastRow="0" w:firstColumn="1" w:lastColumn="0" w:noHBand="0" w:noVBand="1"/>
      </w:tblPr>
      <w:tblGrid>
        <w:gridCol w:w="518"/>
        <w:gridCol w:w="8958"/>
        <w:gridCol w:w="518"/>
      </w:tblGrid>
      <w:tr w:rsidR="004C250E" w14:paraId="0D5B79C5" w14:textId="77777777">
        <w:trPr>
          <w:cantSplit/>
          <w:jc w:val="center"/>
        </w:trPr>
        <w:tc>
          <w:tcPr>
            <w:tcW w:w="518" w:type="dxa"/>
            <w:tcMar>
              <w:top w:w="0" w:type="dxa"/>
              <w:left w:w="0" w:type="dxa"/>
              <w:bottom w:w="0" w:type="dxa"/>
              <w:right w:w="0" w:type="dxa"/>
            </w:tcMar>
            <w:vAlign w:val="center"/>
          </w:tcPr>
          <w:p w14:paraId="26C04C09" w14:textId="77777777" w:rsidR="004C250E" w:rsidRDefault="004C250E">
            <w:pPr>
              <w:keepLines/>
              <w:spacing w:before="40" w:after="80" w:line="240" w:lineRule="auto"/>
            </w:pPr>
          </w:p>
        </w:tc>
        <w:tc>
          <w:tcPr>
            <w:tcW w:w="8957" w:type="dxa"/>
            <w:tcMar>
              <w:top w:w="0" w:type="dxa"/>
              <w:left w:w="0" w:type="dxa"/>
              <w:bottom w:w="0" w:type="dxa"/>
              <w:right w:w="0" w:type="dxa"/>
            </w:tcMar>
            <w:vAlign w:val="center"/>
          </w:tcPr>
          <w:p w14:paraId="3A31CA2A" w14:textId="77777777" w:rsidR="004C250E" w:rsidRDefault="00000000">
            <w:pPr>
              <w:keepLines/>
              <w:spacing w:after="0" w:line="240" w:lineRule="auto"/>
              <w:jc w:val="center"/>
            </w:pPr>
            <m:oMathPara>
              <m:oMath>
                <m:sSub>
                  <m:sSubPr>
                    <m:ctrlPr>
                      <w:rPr>
                        <w:rFonts w:ascii="Cambria Math" w:hAnsi="Cambria Math"/>
                      </w:rPr>
                    </m:ctrlPr>
                  </m:sSubPr>
                  <m:e>
                    <m:r>
                      <w:rPr>
                        <w:rFonts w:ascii="Cambria Math" w:hAnsi="Cambria Math"/>
                      </w:rPr>
                      <m:t>Γ</m:t>
                    </m:r>
                  </m:e>
                  <m:sub>
                    <m:r>
                      <w:rPr>
                        <w:rFonts w:ascii="Cambria Math" w:hAnsi="Cambria Math"/>
                      </w:rPr>
                      <m:t>h</m:t>
                    </m:r>
                  </m:sub>
                </m:sSub>
                <m:r>
                  <w:rPr>
                    <w:rFonts w:ascii="Cambria Math" w:hAnsi="Cambria Math"/>
                  </w:rPr>
                  <m:t>(a)=</m:t>
                </m:r>
                <m:sSubSup>
                  <m:sSubSupPr>
                    <m:ctrlPr>
                      <w:rPr>
                        <w:rFonts w:ascii="Cambria Math" w:hAnsi="Cambria Math"/>
                      </w:rPr>
                    </m:ctrlPr>
                  </m:sSubSupPr>
                  <m:e>
                    <m:r>
                      <w:rPr>
                        <w:rFonts w:ascii="Cambria Math" w:hAnsi="Cambria Math"/>
                      </w:rPr>
                      <m:t>Σ</m:t>
                    </m:r>
                  </m:e>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p</m:t>
                        </m:r>
                      </m:sub>
                    </m:sSub>
                  </m:sup>
                </m:sSubSup>
                <m:sSubSup>
                  <m:sSubSupPr>
                    <m:ctrlPr>
                      <w:rPr>
                        <w:rFonts w:ascii="Cambria Math" w:hAnsi="Cambria Math"/>
                      </w:rPr>
                    </m:ctrlPr>
                  </m:sSubSupPr>
                  <m:e>
                    <m:r>
                      <w:rPr>
                        <w:rFonts w:ascii="Cambria Math" w:hAnsi="Cambria Math"/>
                      </w:rPr>
                      <m:t>w</m:t>
                    </m:r>
                  </m:e>
                  <m:sub>
                    <m:r>
                      <w:rPr>
                        <w:rFonts w:ascii="Cambria Math" w:hAnsi="Cambria Math"/>
                      </w:rPr>
                      <m:t>h,i</m:t>
                    </m:r>
                  </m:sub>
                  <m:sup>
                    <m:r>
                      <w:rPr>
                        <w:rFonts w:ascii="Cambria Math" w:hAnsi="Cambria Math"/>
                      </w:rPr>
                      <m:t>{clean}</m:t>
                    </m:r>
                  </m:sup>
                </m:sSubSup>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oMath>
            </m:oMathPara>
          </w:p>
          <w:p w14:paraId="23257F62" w14:textId="77777777" w:rsidR="004C250E" w:rsidRDefault="00000000">
            <w:pPr>
              <w:keepLines/>
              <w:spacing w:after="0" w:line="240" w:lineRule="auto"/>
              <w:jc w:val="center"/>
            </w:pPr>
            <m:oMathPara>
              <m:oMath>
                <m:r>
                  <w:rPr>
                    <w:rFonts w:ascii="Cambria Math" w:hAnsi="Cambria Math"/>
                  </w:rPr>
                  <m:t xml:space="preserve">Δ </m:t>
                </m:r>
                <m:sSubSup>
                  <m:sSubSupPr>
                    <m:ctrlPr>
                      <w:rPr>
                        <w:rFonts w:ascii="Cambria Math" w:hAnsi="Cambria Math"/>
                      </w:rPr>
                    </m:ctrlPr>
                  </m:sSubSupPr>
                  <m:e>
                    <m:r>
                      <w:rPr>
                        <w:rFonts w:ascii="Cambria Math" w:hAnsi="Cambria Math"/>
                      </w:rPr>
                      <m:t>c</m:t>
                    </m:r>
                  </m:e>
                  <m:sub>
                    <m:r>
                      <w:rPr>
                        <w:rFonts w:ascii="Cambria Math" w:hAnsi="Cambria Math"/>
                      </w:rPr>
                      <m:t>h</m:t>
                    </m:r>
                  </m:sub>
                  <m:sup>
                    <m:r>
                      <w:rPr>
                        <w:rFonts w:ascii="Cambria Math" w:hAnsi="Cambria Math"/>
                      </w:rPr>
                      <m:t>(V)</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p</m:t>
                        </m:r>
                      </m:sub>
                    </m:sSub>
                  </m:sup>
                </m:sSubSup>
                <m:sSubSup>
                  <m:sSubSupPr>
                    <m:ctrlPr>
                      <w:rPr>
                        <w:rFonts w:ascii="Cambria Math" w:hAnsi="Cambria Math"/>
                      </w:rPr>
                    </m:ctrlPr>
                  </m:sSubSupPr>
                  <m:e>
                    <m:r>
                      <w:rPr>
                        <w:rFonts w:ascii="Cambria Math" w:hAnsi="Cambria Math"/>
                      </w:rPr>
                      <m:t>w</m:t>
                    </m:r>
                  </m:e>
                  <m:sub>
                    <m:r>
                      <w:rPr>
                        <w:rFonts w:ascii="Cambria Math" w:hAnsi="Cambria Math"/>
                      </w:rPr>
                      <m:t>h,i</m:t>
                    </m:r>
                  </m:sub>
                  <m:sup>
                    <m:r>
                      <w:rPr>
                        <w:rFonts w:ascii="Cambria Math" w:hAnsi="Cambria Math"/>
                      </w:rPr>
                      <m:t>{clean}</m:t>
                    </m:r>
                  </m:sup>
                </m:sSubSup>
                <m:r>
                  <w:rPr>
                    <w:rFonts w:ascii="Cambria Math" w:hAnsi="Cambria Math"/>
                  </w:rPr>
                  <m:t xml:space="preserve">Δ </m:t>
                </m:r>
                <m:sSub>
                  <m:sSubPr>
                    <m:ctrlPr>
                      <w:rPr>
                        <w:rFonts w:ascii="Cambria Math" w:hAnsi="Cambria Math"/>
                      </w:rPr>
                    </m:ctrlPr>
                  </m:sSubPr>
                  <m:e>
                    <m:r>
                      <w:rPr>
                        <w:rFonts w:ascii="Cambria Math" w:hAnsi="Cambria Math"/>
                      </w:rPr>
                      <m:t>v</m:t>
                    </m:r>
                  </m:e>
                  <m:sub>
                    <m:r>
                      <w:rPr>
                        <w:rFonts w:ascii="Cambria Math" w:hAnsi="Cambria Math"/>
                      </w:rPr>
                      <m:t>h,i</m:t>
                    </m:r>
                  </m:sub>
                </m:sSub>
                <m:r>
                  <w:rPr>
                    <w:rFonts w:ascii="Cambria Math" w:hAnsi="Cambria Math"/>
                  </w:rPr>
                  <m:t>∈</m:t>
                </m:r>
                <m:sSup>
                  <m:sSupPr>
                    <m:ctrlPr>
                      <w:rPr>
                        <w:rFonts w:ascii="Cambria Math" w:hAnsi="Cambria Math"/>
                      </w:rPr>
                    </m:ctrlPr>
                  </m:sSupPr>
                  <m:e>
                    <m: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h</m:t>
                        </m:r>
                      </m:sub>
                    </m:sSub>
                  </m:sup>
                </m:sSup>
                <m:r>
                  <w:rPr>
                    <w:rFonts w:ascii="Cambria Math" w:hAnsi="Cambria Math"/>
                  </w:rPr>
                  <m:t>.</m:t>
                </m:r>
              </m:oMath>
            </m:oMathPara>
          </w:p>
        </w:tc>
        <w:tc>
          <w:tcPr>
            <w:tcW w:w="518" w:type="dxa"/>
            <w:tcMar>
              <w:top w:w="0" w:type="dxa"/>
              <w:left w:w="0" w:type="dxa"/>
              <w:bottom w:w="0" w:type="dxa"/>
              <w:right w:w="0" w:type="dxa"/>
            </w:tcMar>
            <w:vAlign w:val="center"/>
          </w:tcPr>
          <w:p w14:paraId="70948912" w14:textId="77777777" w:rsidR="004C250E" w:rsidRDefault="00000000">
            <w:pPr>
              <w:keepLines/>
              <w:spacing w:before="40" w:after="80" w:line="240" w:lineRule="auto"/>
              <w:jc w:val="right"/>
            </w:pPr>
            <w:r>
              <w:rPr>
                <w:sz w:val="18"/>
              </w:rPr>
              <w:t>(3)</w:t>
            </w:r>
          </w:p>
        </w:tc>
      </w:tr>
    </w:tbl>
    <w:p w14:paraId="095B225B" w14:textId="77777777" w:rsidR="004C250E" w:rsidRDefault="00000000">
      <w:pPr>
        <w:spacing w:after="100" w:line="259" w:lineRule="auto"/>
      </w:pPr>
      <w:r>
        <w:t xml:space="preserve">Here </w:t>
      </w:r>
      <m:oMath>
        <m:r>
          <w:rPr>
            <w:rFonts w:ascii="Cambria Math" w:hAnsi="Cambria Math"/>
          </w:rPr>
          <m:t xml:space="preserve">Δ </m:t>
        </m:r>
        <m:sSub>
          <m:sSubPr>
            <m:ctrlPr>
              <w:rPr>
                <w:rFonts w:ascii="Cambria Math" w:hAnsi="Cambria Math"/>
              </w:rPr>
            </m:ctrlPr>
          </m:sSubPr>
          <m:e>
            <m:r>
              <w:rPr>
                <w:rFonts w:ascii="Cambria Math" w:hAnsi="Cambria Math"/>
              </w:rPr>
              <m:t>v</m:t>
            </m:r>
          </m:e>
          <m:sub>
            <m:r>
              <w:rPr>
                <w:rFonts w:ascii="Cambria Math" w:hAnsi="Cambria Math"/>
              </w:rPr>
              <m:t>h,i</m:t>
            </m:r>
          </m:sub>
        </m:sSub>
      </m:oMath>
      <w:r>
        <w:t xml:space="preserve"> is the measured change in the post-normalization Value projection for patch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Γ</m:t>
            </m:r>
          </m:e>
          <m:sub>
            <m:r>
              <w:rPr>
                <w:rFonts w:ascii="Cambria Math" w:hAnsi="Cambria Math"/>
              </w:rPr>
              <m:t>h</m:t>
            </m:r>
          </m:sub>
        </m:sSub>
        <m:r>
          <w:rPr>
            <w:rFonts w:ascii="Cambria Math" w:hAnsi="Cambria Math"/>
          </w:rPr>
          <m:t>(a)</m:t>
        </m:r>
      </m:oMath>
      <w:r>
        <w:t xml:space="preserve"> summarizes how the token pattern aligns with clean attention weights; the second expression retains token-specific Value changes and gives the pre-output-projection head context audited in code. This equation describes the CLS-attention branch; DINOv2’s classifier readout also includes mean normalized patch features, so (3) does not represent every component of its readout. With attention frozen, coherent signed contributions can accumulate, whereas varying signs can partially cancel. This decomposition isolates frozen-attention Value-path transmission while leaving nonlinear attention rerouting and other paths outside its scope.</w:t>
      </w:r>
    </w:p>
    <w:p w14:paraId="0841C1D9" w14:textId="77777777" w:rsidR="004C250E" w:rsidRDefault="00000000">
      <w:pPr>
        <w:pStyle w:val="Heading2"/>
      </w:pPr>
      <w:r>
        <w:rPr>
          <w:rFonts w:ascii="Times New Roman" w:hAnsi="Times New Roman"/>
        </w:rPr>
        <w:t>5.3 End-to-End Functional Transmission</w:t>
      </w:r>
    </w:p>
    <w:p w14:paraId="5DB64B91" w14:textId="77777777" w:rsidR="004C250E" w:rsidRDefault="00000000">
      <w:pPr>
        <w:spacing w:after="100" w:line="259" w:lineRule="auto"/>
      </w:pPr>
      <w:r>
        <w:rPr>
          <w:b/>
        </w:rPr>
        <w:t>Joint token–feature perturbation.</w:t>
      </w:r>
      <w:r>
        <w:t xml:space="preserve"> The effect of a patch-stream intervention depends on both its feature direction and how that direction is distributed across token positions. We represent the joint-stream probe at layer </w:t>
      </w:r>
      <m:oMath>
        <m:r>
          <m:rPr>
            <m:scr m:val="script"/>
          </m:rPr>
          <w:rPr>
            <w:rFonts w:ascii="Cambria Math" w:hAnsi="Cambria Math"/>
          </w:rPr>
          <m:t>l</m:t>
        </m:r>
      </m:oMath>
      <w:r>
        <w:t xml:space="preserve"> as</w:t>
      </w:r>
    </w:p>
    <w:tbl>
      <w:tblPr>
        <w:tblW w:w="9994" w:type="dxa"/>
        <w:jc w:val="center"/>
        <w:tblBorders>
          <w:top w:val="nil"/>
          <w:left w:val="nil"/>
          <w:bottom w:val="nil"/>
          <w:right w:val="nil"/>
          <w:insideH w:val="nil"/>
          <w:insideV w:val="nil"/>
        </w:tblBorders>
        <w:tblLayout w:type="fixed"/>
        <w:tblLook w:val="04A0" w:firstRow="1" w:lastRow="0" w:firstColumn="1" w:lastColumn="0" w:noHBand="0" w:noVBand="1"/>
      </w:tblPr>
      <w:tblGrid>
        <w:gridCol w:w="518"/>
        <w:gridCol w:w="8958"/>
        <w:gridCol w:w="518"/>
      </w:tblGrid>
      <w:tr w:rsidR="004C250E" w14:paraId="4C92F961" w14:textId="77777777">
        <w:trPr>
          <w:cantSplit/>
          <w:jc w:val="center"/>
        </w:trPr>
        <w:tc>
          <w:tcPr>
            <w:tcW w:w="518" w:type="dxa"/>
            <w:tcMar>
              <w:top w:w="0" w:type="dxa"/>
              <w:left w:w="0" w:type="dxa"/>
              <w:bottom w:w="0" w:type="dxa"/>
              <w:right w:w="0" w:type="dxa"/>
            </w:tcMar>
            <w:vAlign w:val="center"/>
          </w:tcPr>
          <w:p w14:paraId="357DDA2F" w14:textId="77777777" w:rsidR="004C250E" w:rsidRDefault="004C250E">
            <w:pPr>
              <w:keepLines/>
              <w:spacing w:before="40" w:after="80" w:line="240" w:lineRule="auto"/>
            </w:pPr>
          </w:p>
        </w:tc>
        <w:tc>
          <w:tcPr>
            <w:tcW w:w="8957" w:type="dxa"/>
            <w:tcMar>
              <w:top w:w="0" w:type="dxa"/>
              <w:left w:w="0" w:type="dxa"/>
              <w:bottom w:w="0" w:type="dxa"/>
              <w:right w:w="0" w:type="dxa"/>
            </w:tcMar>
            <w:vAlign w:val="center"/>
          </w:tcPr>
          <w:p w14:paraId="3828151E" w14:textId="77777777" w:rsidR="004C250E" w:rsidRDefault="00000000">
            <w:pPr>
              <w:keepLines/>
              <w:spacing w:after="0" w:line="240" w:lineRule="auto"/>
              <w:jc w:val="center"/>
            </w:pPr>
            <m:oMathPara>
              <m:oMath>
                <m:sSub>
                  <m:sSubPr>
                    <m:ctrlPr>
                      <w:rPr>
                        <w:rFonts w:ascii="Cambria Math" w:hAnsi="Cambria Math"/>
                      </w:rPr>
                    </m:ctrlPr>
                  </m:sSubPr>
                  <m:e>
                    <m:r>
                      <w:rPr>
                        <w:rFonts w:ascii="Cambria Math" w:hAnsi="Cambria Math"/>
                      </w:rPr>
                      <m:t>ΔP</m:t>
                    </m:r>
                  </m:e>
                  <m:sub>
                    <m:r>
                      <w:rPr>
                        <w:rFonts w:ascii="Cambria Math" w:hAnsi="Cambria Math"/>
                      </w:rPr>
                      <m:t>l</m:t>
                    </m:r>
                  </m:sub>
                </m:sSub>
                <m:r>
                  <w:rPr>
                    <w:rFonts w:ascii="Cambria Math" w:hAnsi="Cambria Math"/>
                  </w:rPr>
                  <m:t>=</m:t>
                </m:r>
                <m:sSup>
                  <m:sSupPr>
                    <m:ctrlPr>
                      <w:rPr>
                        <w:rFonts w:ascii="Cambria Math" w:hAnsi="Cambria Math"/>
                      </w:rPr>
                    </m:ctrlPr>
                  </m:sSupPr>
                  <m:e>
                    <m:r>
                      <w:rPr>
                        <w:rFonts w:ascii="Cambria Math" w:hAnsi="Cambria Math"/>
                      </w:rPr>
                      <m:t>αav</m:t>
                    </m:r>
                  </m:e>
                  <m:sup>
                    <m:r>
                      <w:rPr>
                        <w:rFonts w:ascii="Cambria Math" w:hAnsi="Cambria Math"/>
                      </w:rPr>
                      <m:t>T</m:t>
                    </m:r>
                  </m:sup>
                </m:sSup>
                <m:r>
                  <w:rPr>
                    <w:rFonts w:ascii="Cambria Math" w:hAnsi="Cambria Math"/>
                  </w:rPr>
                  <m:t>, a∈</m:t>
                </m:r>
                <m:sSup>
                  <m:sSupPr>
                    <m:ctrlPr>
                      <w:rPr>
                        <w:rFonts w:ascii="Cambria Math" w:hAnsi="Cambria Math"/>
                      </w:rPr>
                    </m:ctrlPr>
                  </m:sSupPr>
                  <m:e>
                    <m: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p</m:t>
                        </m:r>
                      </m:sub>
                    </m:sSub>
                  </m:sup>
                </m:sSup>
                <m:r>
                  <w:rPr>
                    <w:rFonts w:ascii="Cambria Math" w:hAnsi="Cambria Math"/>
                  </w:rPr>
                  <m:t>, v∈</m:t>
                </m:r>
                <m:sSup>
                  <m:sSupPr>
                    <m:ctrlPr>
                      <w:rPr>
                        <w:rFonts w:ascii="Cambria Math" w:hAnsi="Cambria Math"/>
                      </w:rPr>
                    </m:ctrlPr>
                  </m:sSupPr>
                  <m:e>
                    <m:r>
                      <w:rPr>
                        <w:rFonts w:ascii="Cambria Math" w:hAnsi="Cambria Math"/>
                      </w:rPr>
                      <m:t>R</m:t>
                    </m:r>
                  </m:e>
                  <m:sup>
                    <m:r>
                      <w:rPr>
                        <w:rFonts w:ascii="Cambria Math" w:hAnsi="Cambria Math"/>
                      </w:rPr>
                      <m:t>D</m:t>
                    </m:r>
                  </m:sup>
                </m:sSup>
                <m:r>
                  <w:rPr>
                    <w:rFonts w:ascii="Cambria Math" w:hAnsi="Cambria Math"/>
                  </w:rPr>
                  <m:t>, ‖a</m:t>
                </m:r>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=‖v</m:t>
                </m:r>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=1, α=</m:t>
                </m:r>
                <m:sSub>
                  <m:sSubPr>
                    <m:ctrlPr>
                      <w:rPr>
                        <w:rFonts w:ascii="Cambria Math" w:hAnsi="Cambria Math"/>
                      </w:rPr>
                    </m:ctrlPr>
                  </m:sSubPr>
                  <m:e>
                    <m:r>
                      <w:rPr>
                        <w:rFonts w:ascii="Cambria Math" w:hAnsi="Cambria Math"/>
                      </w:rPr>
                      <m:t>sσ</m:t>
                    </m:r>
                  </m:e>
                  <m:sub>
                    <m:r>
                      <w:rPr>
                        <w:rFonts w:ascii="Cambria Math" w:hAnsi="Cambria Math"/>
                      </w:rPr>
                      <m:t>l</m:t>
                    </m:r>
                  </m:sub>
                </m:sSub>
                <m:r>
                  <w:rPr>
                    <w:rFonts w:ascii="Cambria Math" w:hAnsi="Cambria Math"/>
                  </w:rPr>
                  <m:t>≥0,</m:t>
                </m:r>
              </m:oMath>
            </m:oMathPara>
          </w:p>
          <w:p w14:paraId="74BEE3C8" w14:textId="77777777" w:rsidR="004C250E" w:rsidRDefault="00000000">
            <w:pPr>
              <w:keepLines/>
              <w:spacing w:after="0" w:line="240" w:lineRule="auto"/>
              <w:jc w:val="center"/>
            </w:pPr>
            <m:oMathPara>
              <m:oMath>
                <m:r>
                  <w:rPr>
                    <w:rFonts w:ascii="Cambria Math" w:hAnsi="Cambria Math"/>
                  </w:rPr>
                  <m:t>‖</m:t>
                </m:r>
                <m:sSub>
                  <m:sSubPr>
                    <m:ctrlPr>
                      <w:rPr>
                        <w:rFonts w:ascii="Cambria Math" w:hAnsi="Cambria Math"/>
                      </w:rPr>
                    </m:ctrlPr>
                  </m:sSubPr>
                  <m:e>
                    <m:r>
                      <w:rPr>
                        <w:rFonts w:ascii="Cambria Math" w:hAnsi="Cambria Math"/>
                      </w:rPr>
                      <m:t>ΔP</m:t>
                    </m:r>
                  </m:e>
                  <m:sub>
                    <m:r>
                      <w:rPr>
                        <w:rFonts w:ascii="Cambria Math" w:hAnsi="Cambria Math"/>
                      </w:rPr>
                      <m:t>l</m:t>
                    </m:r>
                  </m:sub>
                </m:sSub>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=α.</m:t>
                </m:r>
              </m:oMath>
            </m:oMathPara>
          </w:p>
        </w:tc>
        <w:tc>
          <w:tcPr>
            <w:tcW w:w="518" w:type="dxa"/>
            <w:tcMar>
              <w:top w:w="0" w:type="dxa"/>
              <w:left w:w="0" w:type="dxa"/>
              <w:bottom w:w="0" w:type="dxa"/>
              <w:right w:w="0" w:type="dxa"/>
            </w:tcMar>
            <w:vAlign w:val="center"/>
          </w:tcPr>
          <w:p w14:paraId="5A355F39" w14:textId="77777777" w:rsidR="004C250E" w:rsidRDefault="00000000">
            <w:pPr>
              <w:keepLines/>
              <w:spacing w:before="40" w:after="80" w:line="240" w:lineRule="auto"/>
              <w:jc w:val="right"/>
            </w:pPr>
            <w:r>
              <w:rPr>
                <w:sz w:val="18"/>
              </w:rPr>
              <w:t>(4)</w:t>
            </w:r>
          </w:p>
        </w:tc>
      </w:tr>
    </w:tbl>
    <w:p w14:paraId="3D75D8C1" w14:textId="77777777" w:rsidR="004C250E" w:rsidRDefault="00000000">
      <w:pPr>
        <w:spacing w:after="100" w:line="259" w:lineRule="auto"/>
      </w:pPr>
      <w:r>
        <w:t xml:space="preserve">Here </w:t>
      </w:r>
      <m:oMath>
        <m:r>
          <w:rPr>
            <w:rFonts w:ascii="Cambria Math" w:hAnsi="Cambria Math"/>
          </w:rPr>
          <m:t>a</m:t>
        </m:r>
      </m:oMath>
      <w:r>
        <w:t xml:space="preserve"> encodes the token-position pattern, </w:t>
      </w:r>
      <m:oMath>
        <m:r>
          <w:rPr>
            <w:rFonts w:ascii="Cambria Math" w:hAnsi="Cambria Math"/>
          </w:rPr>
          <m:t>v</m:t>
        </m:r>
      </m:oMath>
      <w:r>
        <w:t xml:space="preserve"> the feature-space direction, and </w:t>
      </w:r>
      <m:oMath>
        <m:r>
          <w:rPr>
            <w:rFonts w:ascii="Cambria Math" w:hAnsi="Cambria Math"/>
          </w:rPr>
          <m:t>s</m:t>
        </m:r>
      </m:oMath>
      <w:r>
        <w:t xml:space="preserve"> is a dimensionless scale. In this joint-stream protocol, </w:t>
      </w:r>
      <m:oMath>
        <m:sSub>
          <m:sSubPr>
            <m:ctrlPr>
              <w:rPr>
                <w:rFonts w:ascii="Cambria Math" w:hAnsi="Cambria Math"/>
              </w:rPr>
            </m:ctrlPr>
          </m:sSubPr>
          <m:e>
            <m:r>
              <w:rPr>
                <w:rFonts w:ascii="Cambria Math" w:hAnsi="Cambria Math"/>
              </w:rPr>
              <m:t>σ</m:t>
            </m:r>
          </m:e>
          <m:sub>
            <m:r>
              <w:rPr>
                <w:rFonts w:ascii="Cambria Math" w:hAnsi="Cambria Math"/>
              </w:rPr>
              <m:t>l</m:t>
            </m:r>
          </m:sub>
        </m:sSub>
      </m:oMath>
      <w:r>
        <w:t xml:space="preserve"> is the square root of the trace of </w:t>
      </w:r>
      <m:oMath>
        <m:sSub>
          <m:sSubPr>
            <m:ctrlPr>
              <w:rPr>
                <w:rFonts w:ascii="Cambria Math" w:hAnsi="Cambria Math"/>
              </w:rPr>
            </m:ctrlPr>
          </m:sSubPr>
          <m:e>
            <m:r>
              <w:rPr>
                <w:rFonts w:ascii="Cambria Math" w:hAnsi="Cambria Math"/>
              </w:rPr>
              <m:t>Σ</m:t>
            </m:r>
          </m:e>
          <m:sub>
            <m:r>
              <w:rPr>
                <w:rFonts w:ascii="Cambria Math" w:hAnsi="Cambria Math"/>
              </w:rPr>
              <m:t>l</m:t>
            </m:r>
          </m:sub>
        </m:sSub>
      </m:oMath>
      <w:r>
        <w:t xml:space="preserve">, where </w:t>
      </w:r>
      <m:oMath>
        <m:sSub>
          <m:sSubPr>
            <m:ctrlPr>
              <w:rPr>
                <w:rFonts w:ascii="Cambria Math" w:hAnsi="Cambria Math"/>
              </w:rPr>
            </m:ctrlPr>
          </m:sSubPr>
          <m:e>
            <m:r>
              <w:rPr>
                <w:rFonts w:ascii="Cambria Math" w:hAnsi="Cambria Math"/>
              </w:rPr>
              <m:t>Σ</m:t>
            </m:r>
          </m:e>
          <m:sub>
            <m:r>
              <w:rPr>
                <w:rFonts w:ascii="Cambria Math" w:hAnsi="Cambria Math"/>
              </w:rPr>
              <m:t>l</m:t>
            </m:r>
          </m:sub>
        </m:sSub>
      </m:oMath>
      <w:r>
        <w:t xml:space="preserve"> is the sample covariance of all patch activations pooled across </w:t>
      </w:r>
      <w:r>
        <w:lastRenderedPageBreak/>
        <w:t xml:space="preserve">calibration images and spatial positions and centered by their pooled feature mean (with denominator </w:t>
      </w:r>
      <m:oMath>
        <m:sSub>
          <m:sSubPr>
            <m:ctrlPr>
              <w:rPr>
                <w:rFonts w:ascii="Cambria Math" w:hAnsi="Cambria Math"/>
              </w:rPr>
            </m:ctrlPr>
          </m:sSubPr>
          <m:e>
            <m:r>
              <w:rPr>
                <w:rFonts w:ascii="Cambria Math" w:hAnsi="Cambria Math"/>
              </w:rPr>
              <m:t>N</m:t>
            </m:r>
          </m:e>
          <m:sub>
            <m:r>
              <w:rPr>
                <w:rFonts w:ascii="Cambria Math" w:hAnsi="Cambria Math"/>
              </w:rPr>
              <m:t>{img}</m:t>
            </m:r>
          </m:sub>
        </m:sSub>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-1</m:t>
        </m:r>
      </m:oMath>
      <w:r>
        <w:t xml:space="preserve">). Thus </w:t>
      </w:r>
      <m:oMath>
        <m:sSub>
          <m:sSubPr>
            <m:ctrlPr>
              <w:rPr>
                <w:rFonts w:ascii="Cambria Math" w:hAnsi="Cambria Math"/>
              </w:rPr>
            </m:ctrlPr>
          </m:sSubPr>
          <m:e>
            <m:r>
              <w:rPr>
                <w:rFonts w:ascii="Cambria Math" w:hAnsi="Cambria Math"/>
              </w:rPr>
              <m:t>sigma</m:t>
            </m:r>
          </m:e>
          <m:sub>
            <m:r>
              <m:rPr>
                <m:scr m:val="script"/>
              </m:rPr>
              <w:rPr>
                <w:rFonts w:ascii="Cambria Math" w:hAnsi="Cambria Math"/>
              </w:rPr>
              <m:t>l</m:t>
            </m:r>
          </m:sub>
        </m:sSub>
      </m:oMath>
      <w:r>
        <w:t xml:space="preserve"> is the square root of the summed feature variances, and </w:t>
      </w:r>
      <m:oMath>
        <m:r>
          <w:rPr>
            <w:rFonts w:ascii="Cambria Math" w:hAnsi="Cambria Math"/>
          </w:rPr>
          <m:t>α</m:t>
        </m:r>
      </m:oMath>
      <w:r>
        <w:t xml:space="preserve"> is the Frobenius norm of the injected perturbation. This scale is specific to the joint-stream experiment.</w:t>
      </w:r>
    </w:p>
    <w:p w14:paraId="6D0927C5" w14:textId="77777777" w:rsidR="004C250E" w:rsidRDefault="00000000">
      <w:pPr>
        <w:spacing w:after="100" w:line="259" w:lineRule="auto"/>
      </w:pPr>
      <w:r>
        <w:t xml:space="preserve">Sections 5.1 and 5.2 establish complementary feature-direction and token-coherence effects; Equation (4) combines these factors under a matched Frobenius perturbation norm. Figure 6 displays the mean per-image final-logit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change at </w:t>
      </w:r>
      <m:oMath>
        <m:r>
          <w:rPr>
            <w:rFonts w:ascii="Cambria Math" w:hAnsi="Cambria Math"/>
          </w:rPr>
          <m:t>s=1.0</m:t>
        </m:r>
      </m:oMath>
      <w:r>
        <w:t xml:space="preserve"> for DeiT-Small at Block 8 and ViT-B/16 AugReg at Block 7, with token patterns as rows and feature directions as columns. Supplementary Figure S14 extends the same 8-by-5 grid across the three tested depths for each architecture. The full grid contains 240 unique model–depth–pattern–direction conditions. DeiT-Tiny and DINOv2 have separate Block-8 replications and are not part of the six-panel depth grid.</w:t>
      </w:r>
    </w:p>
    <w:p w14:paraId="1347B199" w14:textId="77777777" w:rsidR="004C250E" w:rsidRDefault="00000000">
      <w:pPr>
        <w:spacing w:after="100" w:line="259" w:lineRule="auto"/>
      </w:pPr>
      <w:r>
        <w:t xml:space="preserve">The </w:t>
      </w:r>
      <m:oMath>
        <m:r>
          <w:rPr>
            <w:rFonts w:ascii="Cambria Math" w:hAnsi="Cambria Math"/>
          </w:rPr>
          <m:t>texttt{jac</m:t>
        </m:r>
        <m:sSub>
          <m:sSubPr>
            <m:ctrlPr>
              <w:rPr>
                <w:rFonts w:ascii="Cambria Math" w:hAnsi="Cambria Math"/>
              </w:rPr>
            </m:ctrlPr>
          </m:sSubPr>
          <m:e>
            <m:r>
              <w:rPr>
                <w:rFonts w:ascii="Cambria Math" w:hAnsi="Cambria Math"/>
              </w:rPr>
              <m:t>\</m:t>
            </m:r>
          </m:e>
          <m:sub>
            <m:r>
              <w:rPr>
                <w:rFonts w:ascii="Cambria Math" w:hAnsi="Cambria Math"/>
              </w:rPr>
              <m:t>t</m:t>
            </m:r>
          </m:sub>
        </m:sSub>
        <m:r>
          <w:rPr>
            <w:rFonts w:ascii="Cambria Math" w:hAnsi="Cambria Math"/>
          </w:rPr>
          <m:t xml:space="preserve"> op}</m:t>
        </m:r>
      </m:oMath>
      <w:r>
        <w:t xml:space="preserve"> and </w:t>
      </w:r>
      <m:oMath>
        <m:r>
          <w:rPr>
            <w:rFonts w:ascii="Cambria Math" w:hAnsi="Cambria Math"/>
          </w:rPr>
          <m:t>texttt{jac</m:t>
        </m:r>
        <m:sSub>
          <m:sSubPr>
            <m:ctrlPr>
              <w:rPr>
                <w:rFonts w:ascii="Cambria Math" w:hAnsi="Cambria Math"/>
              </w:rPr>
            </m:ctrlPr>
          </m:sSubPr>
          <m:e>
            <m:r>
              <w:rPr>
                <w:rFonts w:ascii="Cambria Math" w:hAnsi="Cambria Math"/>
              </w:rPr>
              <m:t>\</m:t>
            </m:r>
          </m:e>
          <m:sub>
            <m:r>
              <w:rPr>
                <w:rFonts w:ascii="Cambria Math" w:hAnsi="Cambria Math"/>
              </w:rPr>
              <m:t>n</m:t>
            </m:r>
          </m:sub>
        </m:sSub>
        <m:r>
          <w:rPr>
            <w:rFonts w:ascii="Cambria Math" w:hAnsi="Cambria Math"/>
          </w:rPr>
          <m:t xml:space="preserve"> ull}</m:t>
        </m:r>
      </m:oMath>
      <w:r>
        <w:t xml:space="preserve"> directions are selected using the joint-stream protocol’s mean per-image patch-margin-gradient second-moment matrix. They are protocol-specific local feature directions: this estimate is distinct from </w:t>
      </w:r>
      <m:oMath>
        <m:sSub>
          <m:sSubPr>
            <m:ctrlPr>
              <w:rPr>
                <w:rFonts w:ascii="Cambria Math" w:hAnsi="Cambria Math"/>
              </w:rPr>
            </m:ctrlPr>
          </m:sSubPr>
          <m:e>
            <m:r>
              <w:rPr>
                <w:rFonts w:ascii="Cambria Math" w:hAnsi="Cambria Math"/>
              </w:rPr>
              <m:t>M</m:t>
            </m:r>
          </m:e>
          <m:sub>
            <m:r>
              <m:rPr>
                <m:scr m:val="script"/>
              </m:rPr>
              <w:rPr>
                <w:rFonts w:ascii="Cambria Math" w:hAnsi="Cambria Math"/>
              </w:rPr>
              <m:t>l</m:t>
            </m:r>
          </m:sub>
        </m:sSub>
      </m:oMath>
      <w:r>
        <w:t xml:space="preserve"> reported in Section 5.1 and is not the end-to-end readout Jacobian </w:t>
      </w:r>
      <m:oMath>
        <m:sSub>
          <m:sSubPr>
            <m:ctrlPr>
              <w:rPr>
                <w:rFonts w:ascii="Cambria Math" w:hAnsi="Cambria Math"/>
              </w:rPr>
            </m:ctrlPr>
          </m:sSubPr>
          <m:e>
            <m:r>
              <w:rPr>
                <w:rFonts w:ascii="Cambria Math" w:hAnsi="Cambria Math"/>
              </w:rPr>
              <m:t>J</m:t>
            </m:r>
          </m:e>
          <m:sub>
            <m:r>
              <m:rPr>
                <m:scr m:val="script"/>
              </m:rPr>
              <w:rPr>
                <w:rFonts w:ascii="Cambria Math" w:hAnsi="Cambria Math"/>
              </w:rPr>
              <m:t xml:space="preserve">l→ </m:t>
            </m:r>
            <m:r>
              <w:rPr>
                <w:rFonts w:ascii="Cambria Math" w:hAnsi="Cambria Math"/>
              </w:rPr>
              <m:t>L</m:t>
            </m:r>
          </m:sub>
        </m:sSub>
      </m:oMath>
      <w:r>
        <w:t xml:space="preserve"> in Equation (5). Heatmap color instead encodes the mean Euclidean change in the complete final-logit vector. The same </w:t>
      </w:r>
      <m:oMath>
        <m:r>
          <w:rPr>
            <w:rFonts w:ascii="Cambria Math" w:hAnsi="Cambria Math"/>
          </w:rPr>
          <m:t>N=100</m:t>
        </m:r>
      </m:oMath>
      <w:r>
        <w:t xml:space="preserve"> calibration images are used to estimate the directions and score outcomes, so the heatmaps are descriptive within-cohort summaries, not held-out generalization estimates. Responses vary across both pattern and direction, but the full direction-by-pattern regression is saturated and has no residual degrees of freedom; it therefore supports no inferential significance claim.</w:t>
      </w:r>
    </w:p>
    <w:p w14:paraId="4074E5F7" w14:textId="77777777" w:rsidR="004C250E" w:rsidRDefault="00000000">
      <w:pPr>
        <w:keepNext/>
        <w:keepLines/>
        <w:spacing w:after="20"/>
        <w:jc w:val="center"/>
      </w:pPr>
      <w:r>
        <w:rPr>
          <w:noProof/>
        </w:rPr>
        <w:drawing>
          <wp:inline distT="0" distB="0" distL="0" distR="0" wp14:anchorId="1D8C6E47" wp14:editId="2F6F640C">
            <wp:extent cx="6172200" cy="32052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joint_stream_geometry.png"/>
                    <pic:cNvPicPr/>
                  </pic:nvPicPr>
                  <pic:blipFill>
                    <a:blip r:embed="rId11"/>
                    <a:stretch>
                      <a:fillRect/>
                    </a:stretch>
                  </pic:blipFill>
                  <pic:spPr>
                    <a:xfrm>
                      <a:off x="0" y="0"/>
                      <a:ext cx="6172200" cy="3205234"/>
                    </a:xfrm>
                    <a:prstGeom prst="rect">
                      <a:avLst/>
                    </a:prstGeom>
                  </pic:spPr>
                </pic:pic>
              </a:graphicData>
            </a:graphic>
          </wp:inline>
        </w:drawing>
      </w:r>
    </w:p>
    <w:p w14:paraId="5FA71516" w14:textId="77777777" w:rsidR="004C250E" w:rsidRDefault="00000000">
      <w:pPr>
        <w:keepLines/>
        <w:spacing w:after="80"/>
        <w:jc w:val="center"/>
      </w:pPr>
      <w:r>
        <w:rPr>
          <w:i/>
          <w:color w:val="4C5963"/>
          <w:sz w:val="17"/>
        </w:rPr>
        <w:t xml:space="preserve">Figure 6. Mean per-image Euclidean final-logit </w:t>
      </w:r>
      <m:oMath>
        <m:sSub>
          <m:sSubPr>
            <m:ctrlPr>
              <w:rPr>
                <w:rFonts w:ascii="Cambria Math" w:hAnsi="Cambria Math"/>
              </w:rPr>
            </m:ctrlPr>
          </m:sSubPr>
          <m:e>
            <m:r>
              <w:rPr>
                <w:rFonts w:ascii="Cambria Math" w:hAnsi="Cambria Math"/>
              </w:rPr>
              <m:t>L</m:t>
            </m:r>
          </m:e>
          <m:sub>
            <m:r>
              <w:rPr>
                <w:rFonts w:ascii="Cambria Math" w:hAnsi="Cambria Math"/>
              </w:rPr>
              <m:t>2</m:t>
            </m:r>
          </m:sub>
        </m:sSub>
      </m:oMath>
      <w:r>
        <w:rPr>
          <w:i/>
          <w:color w:val="4C5963"/>
          <w:sz w:val="17"/>
        </w:rPr>
        <w:t xml:space="preserve"> change under the rank-one joint perturbation in Equation (4), at </w:t>
      </w:r>
      <m:oMath>
        <m:r>
          <w:rPr>
            <w:rFonts w:ascii="Cambria Math" w:hAnsi="Cambria Math"/>
          </w:rPr>
          <m:t>s=1.0</m:t>
        </m:r>
      </m:oMath>
      <w:r>
        <w:rPr>
          <w:i/>
          <w:color w:val="4C5963"/>
          <w:sz w:val="17"/>
        </w:rPr>
        <w:t xml:space="preserve">. (a) DeiT-Small, Block 8; (b) ViT-B/16 AugReg, Block 7. Rows show single-central, single-corner, global-coherent, random-sign, random-Gaussian, 25%-spatial-cluster, checkerboard, and smooth-spatial token patterns; columns show joint-margin-gradient top and near-null directions, activation-covariance PC1, calibration centroid, and an isotropic random direction. Both panels share a logarithmic color scale, also used in Supplementary Figure S14. Each model uses the same </w:t>
      </w:r>
      <m:oMath>
        <m:r>
          <w:rPr>
            <w:rFonts w:ascii="Cambria Math" w:hAnsi="Cambria Math"/>
          </w:rPr>
          <m:t>N=100</m:t>
        </m:r>
      </m:oMath>
      <w:r>
        <w:rPr>
          <w:i/>
          <w:color w:val="4C5963"/>
          <w:sz w:val="17"/>
        </w:rPr>
        <w:t xml:space="preserve"> calibration images to construct directions and evaluate outcomes; cells are descriptive cohort means, without held-out evaluation or uncertainty intervals. The joint-stream gradient directions are not the downstream readout Jacobian </w:t>
      </w:r>
      <m:oMath>
        <m:sSub>
          <m:sSubPr>
            <m:ctrlPr>
              <w:rPr>
                <w:rFonts w:ascii="Cambria Math" w:hAnsi="Cambria Math"/>
              </w:rPr>
            </m:ctrlPr>
          </m:sSubPr>
          <m:e>
            <m:r>
              <w:rPr>
                <w:rFonts w:ascii="Cambria Math" w:hAnsi="Cambria Math"/>
              </w:rPr>
              <m:t>J</m:t>
            </m:r>
          </m:e>
          <m:sub>
            <m:r>
              <m:rPr>
                <m:scr m:val="script"/>
              </m:rPr>
              <w:rPr>
                <w:rFonts w:ascii="Cambria Math" w:hAnsi="Cambria Math"/>
              </w:rPr>
              <m:t xml:space="preserve">l→ </m:t>
            </m:r>
            <m:r>
              <w:rPr>
                <w:rFonts w:ascii="Cambria Math" w:hAnsi="Cambria Math"/>
              </w:rPr>
              <m:t>L</m:t>
            </m:r>
          </m:sub>
        </m:sSub>
      </m:oMath>
      <w:r>
        <w:rPr>
          <w:i/>
          <w:color w:val="4C5963"/>
          <w:sz w:val="17"/>
        </w:rPr>
        <w:t>.</w:t>
      </w:r>
    </w:p>
    <w:p w14:paraId="27E0DD76" w14:textId="77777777" w:rsidR="004C250E" w:rsidRDefault="00000000">
      <w:pPr>
        <w:spacing w:after="100" w:line="259" w:lineRule="auto"/>
      </w:pPr>
      <w:r>
        <w:rPr>
          <w:b/>
        </w:rPr>
        <w:t>End-to-end transmission operator.</w:t>
      </w:r>
      <w:r>
        <w:t xml:space="preserve"> To describe propagation through the remaining blocks, let </w:t>
      </w:r>
      <m:oMath>
        <m:r>
          <w:rPr>
            <w:rFonts w:ascii="Cambria Math" w:hAnsi="Cambria Math"/>
          </w:rPr>
          <m:t>u</m:t>
        </m:r>
      </m:oMath>
      <w:r>
        <w:t xml:space="preserve"> denote the pre-classifier readout vector. We define the clean-state Jacobian from all spatial patch activations at layer </w:t>
      </w:r>
      <m:oMath>
        <m:r>
          <m:rPr>
            <m:scr m:val="script"/>
          </m:rPr>
          <w:rPr>
            <w:rFonts w:ascii="Cambria Math" w:hAnsi="Cambria Math"/>
          </w:rPr>
          <m:t>l</m:t>
        </m:r>
      </m:oMath>
      <w:r>
        <w:t xml:space="preserve"> to </w:t>
      </w:r>
      <m:oMath>
        <m:r>
          <w:rPr>
            <w:rFonts w:ascii="Cambria Math" w:hAnsi="Cambria Math"/>
          </w:rPr>
          <m:t>u</m:t>
        </m:r>
      </m:oMath>
      <w:r>
        <w:t xml:space="preserve"> by</w:t>
      </w:r>
    </w:p>
    <w:tbl>
      <w:tblPr>
        <w:tblW w:w="9994" w:type="dxa"/>
        <w:jc w:val="center"/>
        <w:tblBorders>
          <w:top w:val="nil"/>
          <w:left w:val="nil"/>
          <w:bottom w:val="nil"/>
          <w:right w:val="nil"/>
          <w:insideH w:val="nil"/>
          <w:insideV w:val="nil"/>
        </w:tblBorders>
        <w:tblLayout w:type="fixed"/>
        <w:tblLook w:val="04A0" w:firstRow="1" w:lastRow="0" w:firstColumn="1" w:lastColumn="0" w:noHBand="0" w:noVBand="1"/>
      </w:tblPr>
      <w:tblGrid>
        <w:gridCol w:w="518"/>
        <w:gridCol w:w="8958"/>
        <w:gridCol w:w="518"/>
      </w:tblGrid>
      <w:tr w:rsidR="004C250E" w14:paraId="6B27CBFB" w14:textId="77777777">
        <w:trPr>
          <w:cantSplit/>
          <w:jc w:val="center"/>
        </w:trPr>
        <w:tc>
          <w:tcPr>
            <w:tcW w:w="518" w:type="dxa"/>
            <w:tcMar>
              <w:top w:w="0" w:type="dxa"/>
              <w:left w:w="0" w:type="dxa"/>
              <w:bottom w:w="0" w:type="dxa"/>
              <w:right w:w="0" w:type="dxa"/>
            </w:tcMar>
            <w:vAlign w:val="center"/>
          </w:tcPr>
          <w:p w14:paraId="789CC3FE" w14:textId="77777777" w:rsidR="004C250E" w:rsidRDefault="004C250E">
            <w:pPr>
              <w:keepLines/>
              <w:spacing w:before="40" w:after="80" w:line="240" w:lineRule="auto"/>
            </w:pPr>
          </w:p>
        </w:tc>
        <w:tc>
          <w:tcPr>
            <w:tcW w:w="8957" w:type="dxa"/>
            <w:tcMar>
              <w:top w:w="0" w:type="dxa"/>
              <w:left w:w="0" w:type="dxa"/>
              <w:bottom w:w="0" w:type="dxa"/>
              <w:right w:w="0" w:type="dxa"/>
            </w:tcMar>
            <w:vAlign w:val="center"/>
          </w:tcPr>
          <w:p w14:paraId="3117D618" w14:textId="77777777" w:rsidR="004C250E" w:rsidRDefault="00000000">
            <w:pPr>
              <w:keepLines/>
              <w:spacing w:after="0" w:line="240" w:lineRule="auto"/>
              <w:jc w:val="center"/>
            </w:pPr>
            <m:oMathPara>
              <m:oMath>
                <m:sSub>
                  <m:sSubPr>
                    <m:ctrlPr>
                      <w:rPr>
                        <w:rFonts w:ascii="Cambria Math" w:hAnsi="Cambria Math"/>
                      </w:rPr>
                    </m:ctrlPr>
                  </m:sSubPr>
                  <m:e>
                    <m:r>
                      <w:rPr>
                        <w:rFonts w:ascii="Cambria Math" w:hAnsi="Cambria Math"/>
                      </w:rPr>
                      <m:t>J</m:t>
                    </m:r>
                  </m:e>
                  <m:sub>
                    <m:r>
                      <w:rPr>
                        <w:rFonts w:ascii="Cambria Math" w:hAnsi="Cambria Math"/>
                      </w:rPr>
                      <m:t>l→L</m:t>
                    </m:r>
                  </m:sub>
                </m:sSub>
                <m:r>
                  <w:rPr>
                    <w:rFonts w:ascii="Cambria Math" w:hAnsi="Cambria Math"/>
                  </w:rPr>
                  <m:t>=</m:t>
                </m:r>
                <m:f>
                  <m:fPr>
                    <m:ctrlPr>
                      <w:rPr>
                        <w:rFonts w:ascii="Cambria Math" w:hAnsi="Cambria Math"/>
                        <w:i/>
                      </w:rPr>
                    </m:ctrlPr>
                  </m:fPr>
                  <m:num>
                    <m:r>
                      <w:rPr>
                        <w:rFonts w:ascii="Cambria Math" w:hAnsi="Cambria Math"/>
                      </w:rPr>
                      <m:t>∂u</m:t>
                    </m:r>
                  </m:num>
                  <m:den>
                    <m:r>
                      <w:rPr>
                        <w:rFonts w:ascii="Cambria Math" w:hAnsi="Cambria Math"/>
                      </w:rPr>
                      <m:t>∂rvec</m:t>
                    </m:r>
                    <m:d>
                      <m:dPr>
                        <m:ctrlPr>
                          <w:rPr>
                            <w:rFonts w:ascii="Cambria Math" w:hAnsi="Cambria Math"/>
                            <w:i/>
                          </w:rPr>
                        </m:ctrlPr>
                      </m:dPr>
                      <m:e>
                        <m:sSub>
                          <m:sSubPr>
                            <m:ctrlPr>
                              <w:rPr>
                                <w:rFonts w:ascii="Cambria Math" w:hAnsi="Cambria Math"/>
                              </w:rPr>
                            </m:ctrlPr>
                          </m:sSubPr>
                          <m:e>
                            <m:r>
                              <w:rPr>
                                <w:rFonts w:ascii="Cambria Math" w:hAnsi="Cambria Math"/>
                              </w:rPr>
                              <m:t>P</m:t>
                            </m:r>
                          </m:e>
                          <m:sub>
                            <m:r>
                              <w:rPr>
                                <w:rFonts w:ascii="Cambria Math" w:hAnsi="Cambria Math"/>
                              </w:rPr>
                              <m:t>l</m:t>
                            </m:r>
                          </m:sub>
                        </m:sSub>
                      </m:e>
                    </m:d>
                  </m:den>
                </m:f>
                <m:r>
                  <w:rPr>
                    <w:rFonts w:ascii="Cambria Math" w:hAnsi="Cambria Math"/>
                  </w:rPr>
                  <m:t xml:space="preserve"> ∈ </m:t>
                </m:r>
                <m:sSup>
                  <m:sSupPr>
                    <m:ctrlPr>
                      <w:rPr>
                        <w:rFonts w:ascii="Cambria Math" w:hAnsi="Cambria Math"/>
                      </w:rPr>
                    </m:ctrlPr>
                  </m:sSupPr>
                  <m:e>
                    <m: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 xml:space="preserve"> D</m:t>
                    </m:r>
                  </m:sup>
                </m:sSup>
                <m:r>
                  <w:rPr>
                    <w:rFonts w:ascii="Cambria Math" w:hAnsi="Cambria Math"/>
                  </w:rPr>
                  <m:t>,  Δu≈</m:t>
                </m:r>
                <m:sSub>
                  <m:sSubPr>
                    <m:ctrlPr>
                      <w:rPr>
                        <w:rFonts w:ascii="Cambria Math" w:hAnsi="Cambria Math"/>
                      </w:rPr>
                    </m:ctrlPr>
                  </m:sSubPr>
                  <m:e>
                    <m:r>
                      <w:rPr>
                        <w:rFonts w:ascii="Cambria Math" w:hAnsi="Cambria Math"/>
                      </w:rPr>
                      <m:t>J</m:t>
                    </m:r>
                  </m:e>
                  <m:sub>
                    <m:r>
                      <w:rPr>
                        <w:rFonts w:ascii="Cambria Math" w:hAnsi="Cambria Math"/>
                      </w:rPr>
                      <m:t>l→L</m:t>
                    </m:r>
                  </m:sub>
                </m:sSub>
                <m:r>
                  <w:rPr>
                    <w:rFonts w:ascii="Cambria Math" w:hAnsi="Cambria Math"/>
                  </w:rPr>
                  <m:t xml:space="preserve"> rvec</m:t>
                </m:r>
                <m:d>
                  <m:dPr>
                    <m:ctrlPr>
                      <w:rPr>
                        <w:rFonts w:ascii="Cambria Math" w:hAnsi="Cambria Math"/>
                        <w:i/>
                      </w:rPr>
                    </m:ctrlPr>
                  </m:dPr>
                  <m:e>
                    <m:sSub>
                      <m:sSubPr>
                        <m:ctrlPr>
                          <w:rPr>
                            <w:rFonts w:ascii="Cambria Math" w:hAnsi="Cambria Math"/>
                          </w:rPr>
                        </m:ctrlPr>
                      </m:sSubPr>
                      <m:e>
                        <m:r>
                          <w:rPr>
                            <w:rFonts w:ascii="Cambria Math" w:hAnsi="Cambria Math"/>
                          </w:rPr>
                          <m:t>ΔP</m:t>
                        </m:r>
                      </m:e>
                      <m:sub>
                        <m:r>
                          <w:rPr>
                            <w:rFonts w:ascii="Cambria Math" w:hAnsi="Cambria Math"/>
                          </w:rPr>
                          <m:t>l</m:t>
                        </m:r>
                      </m:sub>
                    </m:sSub>
                  </m:e>
                </m:d>
                <m:r>
                  <w:rPr>
                    <w:rFonts w:ascii="Cambria Math" w:hAnsi="Cambria Math"/>
                  </w:rPr>
                  <m:t>,</m:t>
                </m:r>
              </m:oMath>
            </m:oMathPara>
          </w:p>
          <w:p w14:paraId="7A7D2311" w14:textId="77777777" w:rsidR="004C250E" w:rsidRDefault="00000000">
            <w:pPr>
              <w:keepLines/>
              <w:spacing w:after="0" w:line="240" w:lineRule="auto"/>
              <w:jc w:val="center"/>
            </w:pPr>
            <m:oMathPara>
              <m:oMath>
                <m:r>
                  <w:rPr>
                    <w:rFonts w:ascii="Cambria Math" w:hAnsi="Cambria Math"/>
                  </w:rPr>
                  <m:t>rvec(X)=vec(</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m:t>
                </m:r>
              </m:oMath>
            </m:oMathPara>
          </w:p>
        </w:tc>
        <w:tc>
          <w:tcPr>
            <w:tcW w:w="518" w:type="dxa"/>
            <w:tcMar>
              <w:top w:w="0" w:type="dxa"/>
              <w:left w:w="0" w:type="dxa"/>
              <w:bottom w:w="0" w:type="dxa"/>
              <w:right w:w="0" w:type="dxa"/>
            </w:tcMar>
            <w:vAlign w:val="center"/>
          </w:tcPr>
          <w:p w14:paraId="2DB746E7" w14:textId="77777777" w:rsidR="004C250E" w:rsidRDefault="00000000">
            <w:pPr>
              <w:keepLines/>
              <w:spacing w:before="40" w:after="80" w:line="240" w:lineRule="auto"/>
              <w:jc w:val="right"/>
            </w:pPr>
            <w:r>
              <w:rPr>
                <w:sz w:val="18"/>
              </w:rPr>
              <w:t>(5)</w:t>
            </w:r>
          </w:p>
        </w:tc>
      </w:tr>
    </w:tbl>
    <w:p w14:paraId="70C941A2" w14:textId="77777777" w:rsidR="004C250E" w:rsidRDefault="00000000">
      <w:pPr>
        <w:spacing w:after="100" w:line="259" w:lineRule="auto"/>
      </w:pPr>
      <w:r>
        <w:t xml:space="preserve">For an </w:t>
      </w:r>
      <m:oMath>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 D</m:t>
        </m:r>
      </m:oMath>
      <w:r>
        <w:t xml:space="preserve"> patch matrix, </w:t>
      </w:r>
      <m:oMath>
        <m:r>
          <w:rPr>
            <w:rFonts w:ascii="Cambria Math" w:hAnsi="Cambria Math"/>
          </w:rPr>
          <m:t>{rvec}</m:t>
        </m:r>
      </m:oMath>
      <w:r>
        <w:t xml:space="preserve"> uses row-major order.  For DeiT-Tiny, DeiT-Small, and ViT-B/16 AugReg, </w:t>
      </w:r>
      <m:oMath>
        <m:r>
          <w:rPr>
            <w:rFonts w:ascii="Cambria Math" w:hAnsi="Cambria Math"/>
          </w:rPr>
          <m:t>u</m:t>
        </m:r>
      </m:oMath>
      <w:r>
        <w:t xml:space="preserve"> is the normalized CLS readout and </w:t>
      </w:r>
      <m:oMath>
        <m:sSub>
          <m:sSubPr>
            <m:ctrlPr>
              <w:rPr>
                <w:rFonts w:ascii="Cambria Math" w:hAnsi="Cambria Math"/>
              </w:rPr>
            </m:ctrlPr>
          </m:sSubPr>
          <m:e>
            <m:r>
              <w:rPr>
                <w:rFonts w:ascii="Cambria Math" w:hAnsi="Cambria Math"/>
              </w:rPr>
              <m:t>d</m:t>
            </m:r>
          </m:e>
          <m:sub>
            <m:r>
              <w:rPr>
                <w:rFonts w:ascii="Cambria Math" w:hAnsi="Cambria Math"/>
              </w:rPr>
              <m:t>u</m:t>
            </m:r>
          </m:sub>
        </m:sSub>
        <m:r>
          <w:rPr>
            <w:rFonts w:ascii="Cambria Math" w:hAnsi="Cambria Math"/>
          </w:rPr>
          <m:t>=D</m:t>
        </m:r>
      </m:oMath>
      <w:r>
        <w:t xml:space="preserve">; for DINOv2, </w:t>
      </w:r>
      <m:oMath>
        <m:r>
          <w:rPr>
            <w:rFonts w:ascii="Cambria Math" w:hAnsi="Cambria Math"/>
          </w:rPr>
          <m:t>u</m:t>
        </m:r>
      </m:oMath>
      <w:r>
        <w:t xml:space="preserve"> concatenates normalized CLS and mean normalized patch features, so </w:t>
      </w:r>
      <m:oMath>
        <m:sSub>
          <m:sSubPr>
            <m:ctrlPr>
              <w:rPr>
                <w:rFonts w:ascii="Cambria Math" w:hAnsi="Cambria Math"/>
              </w:rPr>
            </m:ctrlPr>
          </m:sSubPr>
          <m:e>
            <m:r>
              <w:rPr>
                <w:rFonts w:ascii="Cambria Math" w:hAnsi="Cambria Math"/>
              </w:rPr>
              <m:t>d</m:t>
            </m:r>
          </m:e>
          <m:sub>
            <m:r>
              <w:rPr>
                <w:rFonts w:ascii="Cambria Math" w:hAnsi="Cambria Math"/>
              </w:rPr>
              <m:t>u</m:t>
            </m:r>
          </m:sub>
        </m:sSub>
        <m:r>
          <w:rPr>
            <w:rFonts w:ascii="Cambria Math" w:hAnsi="Cambria Math"/>
          </w:rPr>
          <m:t>=2D</m:t>
        </m:r>
      </m:oMath>
      <w:r>
        <w:t xml:space="preserve">. The Jacobian is defined through the pre-classifier readout, excluding the linear classification head; measured Top-1 and logit damage use the complete downstream model and classifier. The Jacobian is evaluated at the unperturbed </w:t>
      </w:r>
      <w:r>
        <w:lastRenderedPageBreak/>
        <w:t xml:space="preserve">activation, so its product is a local first-order readout prediction rather than an exact finite-perturbation identity. Unlike the feature-space margin metric </w:t>
      </w:r>
      <m:oMath>
        <m:sSub>
          <m:sSubPr>
            <m:ctrlPr>
              <w:rPr>
                <w:rFonts w:ascii="Cambria Math" w:hAnsi="Cambria Math"/>
              </w:rPr>
            </m:ctrlPr>
          </m:sSubPr>
          <m:e>
            <m:r>
              <w:rPr>
                <w:rFonts w:ascii="Cambria Math" w:hAnsi="Cambria Math"/>
              </w:rPr>
              <m:t>M</m:t>
            </m:r>
          </m:e>
          <m:sub>
            <m:r>
              <m:rPr>
                <m:scr m:val="script"/>
              </m:rPr>
              <w:rPr>
                <w:rFonts w:ascii="Cambria Math" w:hAnsi="Cambria Math"/>
              </w:rPr>
              <m:t>l</m:t>
            </m:r>
          </m:sub>
        </m:sSub>
      </m:oMath>
      <w:r>
        <w:t xml:space="preserve">, </w:t>
      </w:r>
      <m:oMath>
        <m:sSub>
          <m:sSubPr>
            <m:ctrlPr>
              <w:rPr>
                <w:rFonts w:ascii="Cambria Math" w:hAnsi="Cambria Math"/>
              </w:rPr>
            </m:ctrlPr>
          </m:sSubPr>
          <m:e>
            <m:r>
              <w:rPr>
                <w:rFonts w:ascii="Cambria Math" w:hAnsi="Cambria Math"/>
              </w:rPr>
              <m:t>J</m:t>
            </m:r>
          </m:e>
          <m:sub>
            <m:r>
              <m:rPr>
                <m:scr m:val="script"/>
              </m:rPr>
              <w:rPr>
                <w:rFonts w:ascii="Cambria Math" w:hAnsi="Cambria Math"/>
              </w:rPr>
              <m:t xml:space="preserve">l→ </m:t>
            </m:r>
            <m:r>
              <w:rPr>
                <w:rFonts w:ascii="Cambria Math" w:hAnsi="Cambria Math"/>
              </w:rPr>
              <m:t>L</m:t>
            </m:r>
          </m:sub>
        </m:sSub>
      </m:oMath>
      <w:r>
        <w:t xml:space="preserve"> maps perturbations across all patch positions to a downstream readout.</w:t>
      </w:r>
    </w:p>
    <w:p w14:paraId="73E7E1F4" w14:textId="77777777" w:rsidR="004C250E" w:rsidRDefault="00000000">
      <w:pPr>
        <w:spacing w:after="100" w:line="259" w:lineRule="auto"/>
      </w:pPr>
      <w:r>
        <w:rPr>
          <w:b/>
        </w:rPr>
        <w:t>Predictive validation.</w:t>
      </w:r>
      <w:r>
        <w:t xml:space="preserve"> The four-model comparison evaluates 100 designed perturbation vectors per architecture, with 25 vectors from each of four families: end-to-end top modes, middle modes, end-to-end near-null modes, and isotropic Gaussian controls. Each vector is scored on the same fixed 20-image reference batch, and the perturbation vector—not an image or token—is the correlation unit. Here </w:t>
      </w:r>
      <m:oMath>
        <m:sSub>
          <m:sSubPr>
            <m:ctrlPr>
              <w:rPr>
                <w:rFonts w:ascii="Cambria Math" w:hAnsi="Cambria Math"/>
              </w:rPr>
            </m:ctrlPr>
          </m:sSubPr>
          <m:e>
            <m:r>
              <w:rPr>
                <w:rFonts w:ascii="Cambria Math" w:hAnsi="Cambria Math"/>
              </w:rPr>
              <m:t>A</m:t>
            </m:r>
          </m:e>
          <m:sub>
            <m:r>
              <w:rPr>
                <w:rFonts w:ascii="Cambria Math" w:hAnsi="Cambria Math"/>
              </w:rPr>
              <m:t>8</m:t>
            </m:r>
          </m:sub>
        </m:sSub>
      </m:oMath>
      <w:r>
        <w:t xml:space="preserve"> is the clean-state, single-block attention/Value transmission map from the patch perturbation to the immediate readout, estimated over the reference images. We compare the measured final-logit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damage from the full downstream computation with predictions from </w:t>
      </w:r>
      <m:oMath>
        <m:sSub>
          <m:sSubPr>
            <m:ctrlPr>
              <w:rPr>
                <w:rFonts w:ascii="Cambria Math" w:hAnsi="Cambria Math"/>
              </w:rPr>
            </m:ctrlPr>
          </m:sSubPr>
          <m:e>
            <m:r>
              <w:rPr>
                <w:rFonts w:ascii="Cambria Math" w:hAnsi="Cambria Math"/>
              </w:rPr>
              <m:t>A</m:t>
            </m:r>
          </m:e>
          <m:sub>
            <m:r>
              <w:rPr>
                <w:rFonts w:ascii="Cambria Math" w:hAnsi="Cambria Math"/>
              </w:rPr>
              <m:t>8</m:t>
            </m:r>
          </m:sub>
        </m:sSub>
      </m:oMath>
      <w:r>
        <w:t xml:space="preserve"> and end-to-end </w:t>
      </w:r>
      <m:oMath>
        <m:sSub>
          <m:sSubPr>
            <m:ctrlPr>
              <w:rPr>
                <w:rFonts w:ascii="Cambria Math" w:hAnsi="Cambria Math"/>
              </w:rPr>
            </m:ctrlPr>
          </m:sSubPr>
          <m:e>
            <m:r>
              <w:rPr>
                <w:rFonts w:ascii="Cambria Math" w:hAnsi="Cambria Math"/>
              </w:rPr>
              <m:t>J</m:t>
            </m:r>
          </m:e>
          <m:sub>
            <m:r>
              <w:rPr>
                <w:rFonts w:ascii="Cambria Math" w:hAnsi="Cambria Math"/>
              </w:rPr>
              <m:t>8→ L</m:t>
            </m:r>
          </m:sub>
        </m:sSub>
      </m:oMath>
      <w:r>
        <w:t xml:space="preserve"> (Figure 7(a,b)). Across models, Pearson correlations are 0.753–0.883 for </w:t>
      </w:r>
      <m:oMath>
        <m:sSub>
          <m:sSubPr>
            <m:ctrlPr>
              <w:rPr>
                <w:rFonts w:ascii="Cambria Math" w:hAnsi="Cambria Math"/>
              </w:rPr>
            </m:ctrlPr>
          </m:sSubPr>
          <m:e>
            <m:r>
              <w:rPr>
                <w:rFonts w:ascii="Cambria Math" w:hAnsi="Cambria Math"/>
              </w:rPr>
              <m:t>A</m:t>
            </m:r>
          </m:e>
          <m:sub>
            <m:r>
              <w:rPr>
                <w:rFonts w:ascii="Cambria Math" w:hAnsi="Cambria Math"/>
              </w:rPr>
              <m:t>8</m:t>
            </m:r>
          </m:sub>
        </m:sSub>
      </m:oMath>
      <w:r>
        <w:t xml:space="preserve"> and 0.946–0.975 for </w:t>
      </w:r>
      <m:oMath>
        <m:sSub>
          <m:sSubPr>
            <m:ctrlPr>
              <w:rPr>
                <w:rFonts w:ascii="Cambria Math" w:hAnsi="Cambria Math"/>
              </w:rPr>
            </m:ctrlPr>
          </m:sSubPr>
          <m:e>
            <m:r>
              <w:rPr>
                <w:rFonts w:ascii="Cambria Math" w:hAnsi="Cambria Math"/>
              </w:rPr>
              <m:t>J</m:t>
            </m:r>
          </m:e>
          <m:sub>
            <m:r>
              <w:rPr>
                <w:rFonts w:ascii="Cambria Math" w:hAnsi="Cambria Math"/>
              </w:rPr>
              <m:t>8→ L</m:t>
            </m:r>
          </m:sub>
        </m:sSub>
      </m:oMath>
      <w:r>
        <w:t xml:space="preserve">; Spearman correlations are 0.720–0.829 and 0.934–0.964, respectively (model-specific estimates and stratified-bootstrap intervals are in Supplementary Table S3). The bootstrap resamples perturbation vectors within each family. Within-family correlations can be weak or negative. Moreover, </w:t>
      </w:r>
      <m:oMath>
        <m:sSub>
          <m:sSubPr>
            <m:ctrlPr>
              <w:rPr>
                <w:rFonts w:ascii="Cambria Math" w:hAnsi="Cambria Math"/>
              </w:rPr>
            </m:ctrlPr>
          </m:sSubPr>
          <m:e>
            <m:r>
              <w:rPr>
                <w:rFonts w:ascii="Cambria Math" w:hAnsi="Cambria Math"/>
              </w:rPr>
              <m:t>A</m:t>
            </m:r>
          </m:e>
          <m:sub>
            <m:r>
              <w:rPr>
                <w:rFonts w:ascii="Cambria Math" w:hAnsi="Cambria Math"/>
              </w:rPr>
              <m:t>8</m:t>
            </m:r>
          </m:sub>
        </m:sSub>
      </m:oMath>
      <w:r>
        <w:t xml:space="preserve"> averages over the 20-image reference batch, whereas </w:t>
      </w:r>
      <m:oMath>
        <m:sSub>
          <m:sSubPr>
            <m:ctrlPr>
              <w:rPr>
                <w:rFonts w:ascii="Cambria Math" w:hAnsi="Cambria Math"/>
              </w:rPr>
            </m:ctrlPr>
          </m:sSubPr>
          <m:e>
            <m:r>
              <w:rPr>
                <w:rFonts w:ascii="Cambria Math" w:hAnsi="Cambria Math"/>
              </w:rPr>
              <m:t>J</m:t>
            </m:r>
          </m:e>
          <m:sub>
            <m:r>
              <w:rPr>
                <w:rFonts w:ascii="Cambria Math" w:hAnsi="Cambria Math"/>
              </w:rPr>
              <m:t>8→ L</m:t>
            </m:r>
          </m:sub>
        </m:sSub>
      </m:oMath>
      <w:r>
        <w:t xml:space="preserve"> is linearized at its first image. The higher aggregate correlations therefore indicate stronger predictive association for this prescribed mixture, not general superiority over arbitrary perturbations or independent image batches.</w:t>
      </w:r>
    </w:p>
    <w:p w14:paraId="21D44275" w14:textId="77777777" w:rsidR="004C250E" w:rsidRDefault="00000000">
      <w:pPr>
        <w:spacing w:after="100" w:line="259" w:lineRule="auto"/>
      </w:pPr>
      <w:r>
        <w:rPr>
          <w:b/>
        </w:rPr>
        <w:t>Directional transmission contrast.</w:t>
      </w:r>
      <w:r>
        <w:t xml:space="preserve"> A separate finite-radius comparison shows greater final-logit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damage for the multi-block top mode than for the multi-block near-null mode at </w:t>
      </w:r>
      <m:oMath>
        <m:r>
          <w:rPr>
            <w:rFonts w:ascii="Cambria Math" w:hAnsi="Cambria Math"/>
          </w:rPr>
          <m:t>s=0.4</m:t>
        </m:r>
      </m:oMath>
      <w:r>
        <w:t>: the top-to-near-null damage ratios are 4.62 for DeiT-Tiny, 8.35 for DeiT-Small, 12.55 for ViT-B/16 AugReg, and 10.87 for DINOv2 (Figure 7(c)). These ratios compare two finite-radius outcomes and are distinct from the prediction correlations above. In the original DeiT-Small Block-8 analysis, the mean principal angle from Block 8 to Block 9 was 49.0°.</w:t>
      </w:r>
    </w:p>
    <w:p w14:paraId="67063CDF" w14:textId="77777777" w:rsidR="004C250E" w:rsidRDefault="00000000">
      <w:pPr>
        <w:keepNext/>
        <w:keepLines/>
        <w:spacing w:after="20"/>
        <w:jc w:val="center"/>
      </w:pPr>
      <w:r>
        <w:rPr>
          <w:noProof/>
        </w:rPr>
        <w:drawing>
          <wp:inline distT="0" distB="0" distL="0" distR="0" wp14:anchorId="5F5DFA6C" wp14:editId="335CE7D0">
            <wp:extent cx="6172200" cy="31248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end_to_end_operator.png"/>
                    <pic:cNvPicPr/>
                  </pic:nvPicPr>
                  <pic:blipFill>
                    <a:blip r:embed="rId12"/>
                    <a:stretch>
                      <a:fillRect/>
                    </a:stretch>
                  </pic:blipFill>
                  <pic:spPr>
                    <a:xfrm>
                      <a:off x="0" y="0"/>
                      <a:ext cx="6172200" cy="3124829"/>
                    </a:xfrm>
                    <a:prstGeom prst="rect">
                      <a:avLst/>
                    </a:prstGeom>
                  </pic:spPr>
                </pic:pic>
              </a:graphicData>
            </a:graphic>
          </wp:inline>
        </w:drawing>
      </w:r>
    </w:p>
    <w:p w14:paraId="755A23F4" w14:textId="77777777" w:rsidR="004C250E" w:rsidRDefault="00000000">
      <w:pPr>
        <w:keepLines/>
        <w:spacing w:after="80"/>
        <w:jc w:val="center"/>
      </w:pPr>
      <w:r>
        <w:rPr>
          <w:i/>
          <w:color w:val="4C5963"/>
          <w:sz w:val="17"/>
        </w:rPr>
        <w:t xml:space="preserve">Figure 7. (a,b) Pearson and Spearman correlations of predicted and measured final-logit </w:t>
      </w:r>
      <m:oMath>
        <m:sSub>
          <m:sSubPr>
            <m:ctrlPr>
              <w:rPr>
                <w:rFonts w:ascii="Cambria Math" w:hAnsi="Cambria Math"/>
              </w:rPr>
            </m:ctrlPr>
          </m:sSubPr>
          <m:e>
            <m:r>
              <w:rPr>
                <w:rFonts w:ascii="Cambria Math" w:hAnsi="Cambria Math"/>
              </w:rPr>
              <m:t>L</m:t>
            </m:r>
          </m:e>
          <m:sub>
            <m:r>
              <w:rPr>
                <w:rFonts w:ascii="Cambria Math" w:hAnsi="Cambria Math"/>
              </w:rPr>
              <m:t>2</m:t>
            </m:r>
          </m:sub>
        </m:sSub>
      </m:oMath>
      <w:r>
        <w:rPr>
          <w:i/>
          <w:color w:val="4C5963"/>
          <w:sz w:val="17"/>
        </w:rPr>
        <w:t xml:space="preserve"> damage for single-block </w:t>
      </w:r>
      <m:oMath>
        <m:sSub>
          <m:sSubPr>
            <m:ctrlPr>
              <w:rPr>
                <w:rFonts w:ascii="Cambria Math" w:hAnsi="Cambria Math"/>
              </w:rPr>
            </m:ctrlPr>
          </m:sSubPr>
          <m:e>
            <m:r>
              <w:rPr>
                <w:rFonts w:ascii="Cambria Math" w:hAnsi="Cambria Math"/>
              </w:rPr>
              <m:t>A</m:t>
            </m:r>
          </m:e>
          <m:sub>
            <m:r>
              <w:rPr>
                <w:rFonts w:ascii="Cambria Math" w:hAnsi="Cambria Math"/>
              </w:rPr>
              <m:t>8</m:t>
            </m:r>
          </m:sub>
        </m:sSub>
      </m:oMath>
      <w:r>
        <w:rPr>
          <w:i/>
          <w:color w:val="4C5963"/>
          <w:sz w:val="17"/>
        </w:rPr>
        <w:t xml:space="preserve"> and end-to-end </w:t>
      </w:r>
      <m:oMath>
        <m:sSub>
          <m:sSubPr>
            <m:ctrlPr>
              <w:rPr>
                <w:rFonts w:ascii="Cambria Math" w:hAnsi="Cambria Math"/>
              </w:rPr>
            </m:ctrlPr>
          </m:sSubPr>
          <m:e>
            <m:r>
              <w:rPr>
                <w:rFonts w:ascii="Cambria Math" w:hAnsi="Cambria Math"/>
              </w:rPr>
              <m:t>J</m:t>
            </m:r>
          </m:e>
          <m:sub>
            <m:r>
              <w:rPr>
                <w:rFonts w:ascii="Cambria Math" w:hAnsi="Cambria Math"/>
              </w:rPr>
              <m:t>8→ L</m:t>
            </m:r>
          </m:sub>
        </m:sSub>
      </m:oMath>
      <w:r>
        <w:rPr>
          <w:i/>
          <w:color w:val="4C5963"/>
          <w:sz w:val="17"/>
        </w:rPr>
        <w:t xml:space="preserve">, by architecture. Each estimate uses 100 designed perturbation vectors scored on a fixed 20-image reference batch; perturbation vectors are the sample unit. Error bars show stratified percentile-bootstrap 95% intervals (2,000 replicates, resampling 25 vectors within each of four families). </w:t>
      </w:r>
      <m:oMath>
        <m:sSub>
          <m:sSubPr>
            <m:ctrlPr>
              <w:rPr>
                <w:rFonts w:ascii="Cambria Math" w:hAnsi="Cambria Math"/>
              </w:rPr>
            </m:ctrlPr>
          </m:sSubPr>
          <m:e>
            <m:r>
              <w:rPr>
                <w:rFonts w:ascii="Cambria Math" w:hAnsi="Cambria Math"/>
              </w:rPr>
              <m:t>A</m:t>
            </m:r>
          </m:e>
          <m:sub>
            <m:r>
              <w:rPr>
                <w:rFonts w:ascii="Cambria Math" w:hAnsi="Cambria Math"/>
              </w:rPr>
              <m:t>8</m:t>
            </m:r>
          </m:sub>
        </m:sSub>
      </m:oMath>
      <w:r>
        <w:rPr>
          <w:i/>
          <w:color w:val="4C5963"/>
          <w:sz w:val="17"/>
        </w:rPr>
        <w:t xml:space="preserve"> averages over the reference batch, whereas </w:t>
      </w:r>
      <m:oMath>
        <m:r>
          <w:rPr>
            <w:rFonts w:ascii="Cambria Math" w:hAnsi="Cambria Math"/>
          </w:rPr>
          <m:t>J</m:t>
        </m:r>
      </m:oMath>
      <w:r>
        <w:rPr>
          <w:i/>
          <w:color w:val="4C5963"/>
          <w:sz w:val="17"/>
        </w:rPr>
        <w:t xml:space="preserve"> is linearized at its first image. (c) Ratio of mean finite-radius final-logit </w:t>
      </w:r>
      <m:oMath>
        <m:sSub>
          <m:sSubPr>
            <m:ctrlPr>
              <w:rPr>
                <w:rFonts w:ascii="Cambria Math" w:hAnsi="Cambria Math"/>
              </w:rPr>
            </m:ctrlPr>
          </m:sSubPr>
          <m:e>
            <m:r>
              <w:rPr>
                <w:rFonts w:ascii="Cambria Math" w:hAnsi="Cambria Math"/>
              </w:rPr>
              <m:t>L</m:t>
            </m:r>
          </m:e>
          <m:sub>
            <m:r>
              <w:rPr>
                <w:rFonts w:ascii="Cambria Math" w:hAnsi="Cambria Math"/>
              </w:rPr>
              <m:t>2</m:t>
            </m:r>
          </m:sub>
        </m:sSub>
      </m:oMath>
      <w:r>
        <w:rPr>
          <w:i/>
          <w:color w:val="4C5963"/>
          <w:sz w:val="17"/>
        </w:rPr>
        <w:t xml:space="preserve"> damage under the multi-block top mode to that under the multi-block near-null mode at </w:t>
      </w:r>
      <m:oMath>
        <m:r>
          <w:rPr>
            <w:rFonts w:ascii="Cambria Math" w:hAnsi="Cambria Math"/>
          </w:rPr>
          <m:t>s=0.4</m:t>
        </m:r>
      </m:oMath>
      <w:r>
        <w:rPr>
          <w:i/>
          <w:color w:val="4C5963"/>
          <w:sz w:val="17"/>
        </w:rPr>
        <w:t>. DINOv2 uses its official CLS-plus-mean-patch readout.</w:t>
      </w:r>
    </w:p>
    <w:p w14:paraId="1E224BE4" w14:textId="77777777" w:rsidR="004C250E" w:rsidRDefault="00000000">
      <w:pPr>
        <w:spacing w:after="100" w:line="259" w:lineRule="auto"/>
      </w:pPr>
      <w:r>
        <w:rPr>
          <w:b/>
        </w:rPr>
        <w:t>Mechanistic synthesis.</w:t>
      </w:r>
      <w:r>
        <w:t xml:space="preserve"> The three analyses measure complementary parts of the same pathway: </w:t>
      </w:r>
      <m:oMath>
        <m:sSub>
          <m:sSubPr>
            <m:ctrlPr>
              <w:rPr>
                <w:rFonts w:ascii="Cambria Math" w:hAnsi="Cambria Math"/>
              </w:rPr>
            </m:ctrlPr>
          </m:sSubPr>
          <m:e>
            <m:r>
              <w:rPr>
                <w:rFonts w:ascii="Cambria Math" w:hAnsi="Cambria Math"/>
              </w:rPr>
              <m:t>M</m:t>
            </m:r>
          </m:e>
          <m:sub>
            <m:r>
              <m:rPr>
                <m:scr m:val="script"/>
              </m:rPr>
              <w:rPr>
                <w:rFonts w:ascii="Cambria Math" w:hAnsi="Cambria Math"/>
              </w:rPr>
              <m:t>l</m:t>
            </m:r>
          </m:sub>
        </m:sSub>
      </m:oMath>
      <w:r>
        <w:t xml:space="preserve"> characterizes local feature-direction sensitivity, token-position coherence shapes attention-mediated accumulation or cancellation, and </w:t>
      </w:r>
      <m:oMath>
        <m:sSub>
          <m:sSubPr>
            <m:ctrlPr>
              <w:rPr>
                <w:rFonts w:ascii="Cambria Math" w:hAnsi="Cambria Math"/>
              </w:rPr>
            </m:ctrlPr>
          </m:sSubPr>
          <m:e>
            <m:r>
              <w:rPr>
                <w:rFonts w:ascii="Cambria Math" w:hAnsi="Cambria Math"/>
              </w:rPr>
              <m:t>J</m:t>
            </m:r>
          </m:e>
          <m:sub>
            <m:r>
              <m:rPr>
                <m:scr m:val="script"/>
              </m:rPr>
              <w:rPr>
                <w:rFonts w:ascii="Cambria Math" w:hAnsi="Cambria Math"/>
              </w:rPr>
              <m:t xml:space="preserve">l→ </m:t>
            </m:r>
            <m:r>
              <w:rPr>
                <w:rFonts w:ascii="Cambria Math" w:hAnsi="Cambria Math"/>
              </w:rPr>
              <m:t>L</m:t>
            </m:r>
          </m:sub>
        </m:sSub>
      </m:oMath>
      <w:r>
        <w:t xml:space="preserve"> captures downstream multi-block transmission to the pre-classifier readout. Together, they show that feature direction, token coherence, and downstream transmission jointly constrain perturbation damage in the tested settings, motivating the operator-aware compression analysis in Section 6.</w:t>
      </w:r>
    </w:p>
    <w:p w14:paraId="24C6343C" w14:textId="77777777" w:rsidR="004C250E" w:rsidRDefault="00000000">
      <w:pPr>
        <w:pStyle w:val="Heading1"/>
      </w:pPr>
      <w:r>
        <w:rPr>
          <w:rFonts w:ascii="Times New Roman" w:hAnsi="Times New Roman"/>
        </w:rPr>
        <w:lastRenderedPageBreak/>
        <w:t>6. Operator-Aware Token Compression</w:t>
      </w:r>
    </w:p>
    <w:p w14:paraId="62CEA36F" w14:textId="77777777" w:rsidR="004C250E" w:rsidRDefault="00000000">
      <w:pPr>
        <w:pStyle w:val="Heading2"/>
      </w:pPr>
      <w:r>
        <w:rPr>
          <w:rFonts w:ascii="Times New Roman" w:hAnsi="Times New Roman"/>
        </w:rPr>
        <w:t>6.1 Carrier Grouping and Optimization</w:t>
      </w:r>
    </w:p>
    <w:p w14:paraId="2C60B7A9" w14:textId="77777777" w:rsidR="004C250E" w:rsidRDefault="00000000">
      <w:pPr>
        <w:spacing w:after="100" w:line="259" w:lineRule="auto"/>
      </w:pPr>
      <w:r>
        <w:t xml:space="preserve">For each image, </w:t>
      </w:r>
      <m:oMath>
        <m:sSub>
          <m:sSubPr>
            <m:ctrlPr>
              <w:rPr>
                <w:rFonts w:ascii="Cambria Math" w:hAnsi="Cambria Math"/>
              </w:rPr>
            </m:ctrlPr>
          </m:sSubPr>
          <m:e>
            <m:r>
              <w:rPr>
                <w:rFonts w:ascii="Cambria Math" w:hAnsi="Cambria Math"/>
              </w:rPr>
              <m:t>n</m:t>
            </m:r>
          </m:e>
          <m:sub>
            <m:r>
              <w:rPr>
                <w:rFonts w:ascii="Cambria Math" w:hAnsi="Cambria Math"/>
              </w:rPr>
              <m:t>p</m:t>
            </m:r>
          </m:sub>
        </m:sSub>
      </m:oMath>
      <w:r>
        <w:t xml:space="preserve"> patch tokens are assigned to B carriers. Let S∈</w:t>
      </w:r>
      <m:oMath>
        <m:sSup>
          <m:sSupPr>
            <m:ctrlPr>
              <w:rPr>
                <w:rFonts w:ascii="Cambria Math" w:hAnsi="Cambria Math"/>
              </w:rPr>
            </m:ctrlPr>
          </m:sSupPr>
          <m:e>
            <m:r>
              <w:rPr>
                <w:rFonts w:ascii="Cambria Math" w:hAnsi="Cambria Math"/>
              </w:rPr>
              <m:t>{0,1}</m:t>
            </m:r>
          </m:e>
          <m:sup>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×B</m:t>
            </m:r>
          </m:sup>
        </m:sSup>
      </m:oMath>
      <w:r>
        <w:t xml:space="preserve"> be the assignment matrix, with exactly one nonzero per row, and let C∈</w:t>
      </w:r>
      <m:oMath>
        <m:sSup>
          <m:sSupPr>
            <m:ctrlPr>
              <w:rPr>
                <w:rFonts w:ascii="Cambria Math" w:hAnsi="Cambria Math"/>
              </w:rPr>
            </m:ctrlPr>
          </m:sSupPr>
          <m:e>
            <m:r>
              <m:rPr>
                <m:scr m:val="double-struck"/>
              </m:rPr>
              <w:rPr>
                <w:rFonts w:ascii="Cambria Math" w:hAnsi="Cambria Math"/>
              </w:rPr>
              <m:t>R</m:t>
            </m:r>
          </m:e>
          <m:sup>
            <m:r>
              <w:rPr>
                <w:rFonts w:ascii="Cambria Math" w:hAnsi="Cambria Math"/>
              </w:rPr>
              <m:t>B×D</m:t>
            </m:r>
          </m:sup>
        </m:sSup>
      </m:oMath>
      <w:r>
        <w:t xml:space="preserve"> contain the carrier vectors. The reconstructed patch matrix is P̂=SC. The set </w:t>
      </w:r>
      <m:oMath>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contains the patch indices assigned to carrier j, and </w:t>
      </w:r>
      <m:oMath>
        <m:sSub>
          <m:sSubPr>
            <m:ctrlPr>
              <w:rPr>
                <w:rFonts w:ascii="Cambria Math" w:hAnsi="Cambria Math"/>
              </w:rPr>
            </m:ctrlPr>
          </m:sSubPr>
          <m:e>
            <m:r>
              <w:rPr>
                <w:rFonts w:ascii="Cambria Math" w:hAnsi="Cambria Math"/>
              </w:rPr>
              <m:t>m</m:t>
            </m:r>
          </m:e>
          <m:sub>
            <m:r>
              <w:rPr>
                <w:rFonts w:ascii="Cambria Math" w:hAnsi="Cambria Math"/>
              </w:rPr>
              <m:t>j</m:t>
            </m:r>
          </m:sub>
        </m:sSub>
      </m:oMath>
      <w:r>
        <w:t>=|</w:t>
      </w:r>
      <m:oMath>
        <m:sSub>
          <m:sSubPr>
            <m:ctrlPr>
              <w:rPr>
                <w:rFonts w:ascii="Cambria Math" w:hAnsi="Cambria Math"/>
              </w:rPr>
            </m:ctrlPr>
          </m:sSubPr>
          <m:e>
            <m:r>
              <w:rPr>
                <w:rFonts w:ascii="Cambria Math" w:hAnsi="Cambria Math"/>
              </w:rPr>
              <m:t>G</m:t>
            </m:r>
          </m:e>
          <m:sub>
            <m:r>
              <w:rPr>
                <w:rFonts w:ascii="Cambria Math" w:hAnsi="Cambria Math"/>
              </w:rPr>
              <m:t>j</m:t>
            </m:r>
          </m:sub>
        </m:sSub>
      </m:oMath>
      <w:r>
        <w:t>| is its membership count. The primary grouping is feature-similarity grouping on unit-normalized patch activations. A deterministic greedy farthest-point procedure starts with patch 0 as its first medoid, repeatedly adds the patch with the greatest cosine distance from its nearest selected medoid, and assigns every patch to its nearest medoid by cosine similarity. This produces S for the image and budget; Group Mean and Operator-Aware carriers use the same S in the controlled carrier comparison. Random and spatial groupings are controlled grouping ablations, not the primary strategy. The Group Mean baseline sets each carrier to the average of the patches assigned to that group:</w:t>
      </w:r>
    </w:p>
    <w:tbl>
      <w:tblPr>
        <w:tblW w:w="9994" w:type="dxa"/>
        <w:jc w:val="center"/>
        <w:tblBorders>
          <w:top w:val="nil"/>
          <w:left w:val="nil"/>
          <w:bottom w:val="nil"/>
          <w:right w:val="nil"/>
          <w:insideH w:val="nil"/>
          <w:insideV w:val="nil"/>
        </w:tblBorders>
        <w:tblLayout w:type="fixed"/>
        <w:tblLook w:val="04A0" w:firstRow="1" w:lastRow="0" w:firstColumn="1" w:lastColumn="0" w:noHBand="0" w:noVBand="1"/>
      </w:tblPr>
      <w:tblGrid>
        <w:gridCol w:w="518"/>
        <w:gridCol w:w="8958"/>
        <w:gridCol w:w="518"/>
      </w:tblGrid>
      <w:tr w:rsidR="004C250E" w14:paraId="3B4EF421" w14:textId="77777777" w:rsidTr="00A3332A">
        <w:trPr>
          <w:cantSplit/>
          <w:jc w:val="center"/>
        </w:trPr>
        <w:tc>
          <w:tcPr>
            <w:tcW w:w="518" w:type="dxa"/>
            <w:tcMar>
              <w:top w:w="0" w:type="dxa"/>
              <w:left w:w="0" w:type="dxa"/>
              <w:bottom w:w="0" w:type="dxa"/>
              <w:right w:w="0" w:type="dxa"/>
            </w:tcMar>
            <w:vAlign w:val="center"/>
          </w:tcPr>
          <w:p w14:paraId="15729C2C" w14:textId="77777777" w:rsidR="004C250E" w:rsidRDefault="004C250E">
            <w:pPr>
              <w:keepLines/>
              <w:spacing w:before="40" w:after="80" w:line="240" w:lineRule="auto"/>
            </w:pPr>
          </w:p>
        </w:tc>
        <w:tc>
          <w:tcPr>
            <w:tcW w:w="8958" w:type="dxa"/>
            <w:tcMar>
              <w:top w:w="0" w:type="dxa"/>
              <w:left w:w="0" w:type="dxa"/>
              <w:bottom w:w="0" w:type="dxa"/>
              <w:right w:w="0" w:type="dxa"/>
            </w:tcMar>
            <w:vAlign w:val="center"/>
          </w:tcPr>
          <w:p w14:paraId="68DE0C4A" w14:textId="77777777" w:rsidR="005D5368" w:rsidRPr="005D5368" w:rsidRDefault="00000000" w:rsidP="005D5368">
            <w:pPr>
              <w:keepLines/>
              <w:spacing w:after="0" w:line="240" w:lineRule="auto"/>
              <w:jc w:val="center"/>
            </w:pPr>
            <m:oMathPara>
              <m:oMath>
                <m:sSubSup>
                  <m:sSubSupPr>
                    <m:ctrlPr>
                      <w:rPr>
                        <w:rFonts w:ascii="Cambria Math" w:hAnsi="Cambria Math"/>
                      </w:rPr>
                    </m:ctrlPr>
                  </m:sSubSupPr>
                  <m:e>
                    <m:r>
                      <w:rPr>
                        <w:rFonts w:ascii="Cambria Math" w:hAnsi="Cambria Math"/>
                      </w:rPr>
                      <m:t>c</m:t>
                    </m:r>
                  </m:e>
                  <m:sub>
                    <m:r>
                      <w:rPr>
                        <w:rFonts w:ascii="Cambria Math" w:hAnsi="Cambria Math"/>
                      </w:rPr>
                      <m:t>j</m:t>
                    </m:r>
                  </m:sub>
                  <m:sup>
                    <m:r>
                      <w:rPr>
                        <w:rFonts w:ascii="Cambria Math" w:hAnsi="Cambria Math"/>
                      </w:rPr>
                      <m:t>mean</m:t>
                    </m:r>
                  </m:sup>
                </m:sSubSup>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rPr>
                            </m:ctrlPr>
                          </m:sSubPr>
                          <m:e>
                            <m:r>
                              <w:rPr>
                                <w:rFonts w:ascii="Cambria Math" w:hAnsi="Cambria Math"/>
                              </w:rPr>
                              <m:t>m</m:t>
                            </m:r>
                          </m:e>
                          <m:sub>
                            <m:r>
                              <w:rPr>
                                <w:rFonts w:ascii="Cambria Math" w:hAnsi="Cambria Math"/>
                              </w:rPr>
                              <m:t>j</m:t>
                            </m:r>
                          </m:sub>
                        </m:sSub>
                      </m:den>
                    </m:f>
                  </m:e>
                </m:d>
                <m:sSub>
                  <m:sSubPr>
                    <m:ctrlPr>
                      <w:rPr>
                        <w:rFonts w:ascii="Cambria Math" w:hAnsi="Cambria Math"/>
                      </w:rPr>
                    </m:ctrlPr>
                  </m:sSubPr>
                  <m:e>
                    <m:r>
                      <w:rPr>
                        <w:rFonts w:ascii="Cambria Math" w:hAnsi="Cambria Math"/>
                      </w:rPr>
                      <m:t>Σ</m:t>
                    </m:r>
                  </m:e>
                  <m:sub>
                    <m:r>
                      <w:rPr>
                        <w:rFonts w:ascii="Cambria Math" w:hAnsi="Cambria Math"/>
                      </w:rPr>
                      <m:t>i∈</m:t>
                    </m:r>
                    <m:sSub>
                      <m:sSubPr>
                        <m:ctrlPr>
                          <w:rPr>
                            <w:rFonts w:ascii="Cambria Math" w:hAnsi="Cambria Math"/>
                          </w:rPr>
                        </m:ctrlPr>
                      </m:sSubPr>
                      <m:e>
                        <m:r>
                          <w:rPr>
                            <w:rFonts w:ascii="Cambria Math" w:hAnsi="Cambria Math"/>
                          </w:rPr>
                          <m:t>G</m:t>
                        </m:r>
                      </m:e>
                      <m:sub>
                        <m:r>
                          <w:rPr>
                            <w:rFonts w:ascii="Cambria Math" w:hAnsi="Cambria Math"/>
                          </w:rPr>
                          <m:t>j</m:t>
                        </m:r>
                      </m:sub>
                    </m:sSub>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j</m:t>
                    </m:r>
                  </m:sub>
                </m:sSub>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j</m:t>
                        </m:r>
                      </m:sub>
                    </m:sSub>
                  </m:e>
                </m:d>
                <m:r>
                  <w:rPr>
                    <w:rFonts w:ascii="Cambria Math" w:hAnsi="Cambria Math"/>
                  </w:rPr>
                  <m:t>.</m:t>
                </m:r>
              </m:oMath>
            </m:oMathPara>
          </w:p>
        </w:tc>
        <w:tc>
          <w:tcPr>
            <w:tcW w:w="518" w:type="dxa"/>
            <w:tcMar>
              <w:top w:w="0" w:type="dxa"/>
              <w:left w:w="0" w:type="dxa"/>
              <w:bottom w:w="0" w:type="dxa"/>
              <w:right w:w="0" w:type="dxa"/>
            </w:tcMar>
            <w:vAlign w:val="center"/>
          </w:tcPr>
          <w:p w14:paraId="298A5797" w14:textId="77777777" w:rsidR="004C250E" w:rsidRDefault="00000000">
            <w:pPr>
              <w:keepLines/>
              <w:spacing w:before="40" w:after="80" w:line="240" w:lineRule="auto"/>
              <w:jc w:val="right"/>
            </w:pPr>
            <w:r>
              <w:rPr>
                <w:sz w:val="18"/>
              </w:rPr>
              <w:t>(6)</w:t>
            </w:r>
          </w:p>
        </w:tc>
      </w:tr>
    </w:tbl>
    <w:p w14:paraId="5EF85946" w14:textId="77777777" w:rsidR="00A3332A" w:rsidRPr="00A3332A" w:rsidRDefault="00A3332A">
      <w:pPr>
        <w:spacing w:after="100" w:line="259" w:lineRule="auto"/>
      </w:pPr>
      <w:r w:rsidRPr="00A3332A">
        <w:t xml:space="preserve">We define the reconstruction residual as (E(C)=P-SC), which depends on the carrier matrix (C). For the Group Mean baseline, let </w:t>
      </w:r>
      <w:r>
        <w:t>C</w:t>
      </w:r>
      <w:r w:rsidRPr="00A3332A">
        <w:rPr>
          <w:vertAlign w:val="subscript"/>
        </w:rPr>
        <w:t>mean</w:t>
      </w:r>
      <w:r w:rsidRPr="00A3332A">
        <w:t xml:space="preserve"> contain the group means in (6), giving </w:t>
      </w:r>
      <w:r>
        <w:t>E</w:t>
      </w:r>
      <w:r w:rsidRPr="00A3332A">
        <w:rPr>
          <w:vertAlign w:val="subscript"/>
        </w:rPr>
        <w:t>mean</w:t>
      </w:r>
      <w:r>
        <w:t>=</w:t>
      </w:r>
      <w:r w:rsidRPr="00A3332A">
        <w:t>P</w:t>
      </w:r>
      <w:r w:rsidR="007E599C">
        <w:t xml:space="preserve"> </w:t>
      </w:r>
      <w:r w:rsidRPr="00A3332A">
        <w:t>-</w:t>
      </w:r>
      <w:r w:rsidR="007E599C">
        <w:t xml:space="preserve"> </w:t>
      </w:r>
      <w:r w:rsidRPr="00A3332A">
        <w:t>SC</w:t>
      </w:r>
      <w:r w:rsidRPr="00A3332A">
        <w:rPr>
          <w:vertAlign w:val="subscript"/>
        </w:rPr>
        <w:t>mean</w:t>
      </w:r>
      <w:r>
        <w:t>.</w:t>
      </w:r>
    </w:p>
    <w:p w14:paraId="7885B09D" w14:textId="77777777" w:rsidR="004C250E" w:rsidRDefault="00000000">
      <w:pPr>
        <w:spacing w:after="100" w:line="259" w:lineRule="auto"/>
      </w:pPr>
      <w:r>
        <w:rPr>
          <w:b/>
        </w:rPr>
        <w:t>Low-rank operator approximation.</w:t>
      </w:r>
      <w:r>
        <w:t xml:space="preserve"> The full-J oracle uses </w:t>
      </w:r>
      <m:oMath>
        <m:sSub>
          <m:sSubPr>
            <m:ctrlPr>
              <w:rPr>
                <w:rFonts w:ascii="Cambria Math" w:hAnsi="Cambria Math"/>
              </w:rPr>
            </m:ctrlPr>
          </m:sSubPr>
          <m:e>
            <m:r>
              <w:rPr>
                <w:rFonts w:ascii="Cambria Math" w:hAnsi="Cambria Math"/>
              </w:rPr>
              <m:t>J</m:t>
            </m:r>
          </m:e>
          <m:sub>
            <m:r>
              <w:rPr>
                <w:rFonts w:ascii="Cambria Math" w:hAnsi="Cambria Math"/>
              </w:rPr>
              <m:t>s</m:t>
            </m:r>
          </m:sub>
        </m:sSub>
      </m:oMath>
      <w:r>
        <w:t>=</w:t>
      </w:r>
      <m:oMath>
        <m:sSub>
          <m:sSubPr>
            <m:ctrlPr>
              <w:rPr>
                <w:rFonts w:ascii="Cambria Math" w:hAnsi="Cambria Math"/>
              </w:rPr>
            </m:ctrlPr>
          </m:sSubPr>
          <m:e>
            <m:r>
              <w:rPr>
                <w:rFonts w:ascii="Cambria Math" w:hAnsi="Cambria Math"/>
              </w:rPr>
              <m:t>J</m:t>
            </m:r>
          </m:e>
          <m:sub>
            <m:r>
              <m:rPr>
                <m:scr m:val="script"/>
              </m:rPr>
              <w:rPr>
                <w:rFonts w:ascii="Cambria Math" w:hAnsi="Cambria Math"/>
              </w:rPr>
              <m:t>l→</m:t>
            </m:r>
            <m:r>
              <w:rPr>
                <w:rFonts w:ascii="Cambria Math" w:hAnsi="Cambria Math"/>
              </w:rPr>
              <m:t>L</m:t>
            </m:r>
          </m:sub>
        </m:sSub>
      </m:oMath>
      <w:r>
        <w:t xml:space="preserve">; for a rank-r approximation, the solver instead uses </w:t>
      </w:r>
      <m:oMath>
        <m:sSub>
          <m:sSubPr>
            <m:ctrlPr>
              <w:rPr>
                <w:rFonts w:ascii="Cambria Math" w:hAnsi="Cambria Math"/>
              </w:rPr>
            </m:ctrlPr>
          </m:sSubPr>
          <m:e>
            <m:r>
              <w:rPr>
                <w:rFonts w:ascii="Cambria Math" w:hAnsi="Cambria Math"/>
              </w:rPr>
              <m:t>J</m:t>
            </m:r>
          </m:e>
          <m:sub>
            <m:r>
              <w:rPr>
                <w:rFonts w:ascii="Cambria Math" w:hAnsi="Cambria Math"/>
              </w:rPr>
              <m:t>s</m:t>
            </m:r>
          </m:sub>
        </m:sSub>
      </m:oMath>
      <w:r>
        <w:t>=</w:t>
      </w:r>
      <m:oMath>
        <m:sSubSup>
          <m:sSubSupPr>
            <m:ctrlPr>
              <w:rPr>
                <w:rFonts w:ascii="Cambria Math" w:hAnsi="Cambria Math"/>
              </w:rPr>
            </m:ctrlPr>
          </m:sSubSupPr>
          <m:e>
            <m:r>
              <w:rPr>
                <w:rFonts w:ascii="Cambria Math" w:hAnsi="Cambria Math"/>
              </w:rPr>
              <m:t>U</m:t>
            </m:r>
          </m:e>
          <m:sub>
            <m:r>
              <w:rPr>
                <w:rFonts w:ascii="Cambria Math" w:hAnsi="Cambria Math"/>
              </w:rPr>
              <m:t>r</m:t>
            </m:r>
          </m:sub>
          <m:sup>
            <m:r>
              <w:rPr>
                <w:rFonts w:ascii="Cambria Math" w:hAnsi="Cambria Math"/>
              </w:rPr>
              <m:t>T</m:t>
            </m:r>
          </m:sup>
        </m:sSubSup>
        <m:sSub>
          <m:sSubPr>
            <m:ctrlPr>
              <w:rPr>
                <w:rFonts w:ascii="Cambria Math" w:hAnsi="Cambria Math"/>
              </w:rPr>
            </m:ctrlPr>
          </m:sSubPr>
          <m:e>
            <m:r>
              <w:rPr>
                <w:rFonts w:ascii="Cambria Math" w:hAnsi="Cambria Math"/>
              </w:rPr>
              <m:t>J</m:t>
            </m:r>
          </m:e>
          <m:sub>
            <m:r>
              <m:rPr>
                <m:scr m:val="script"/>
              </m:rPr>
              <w:rPr>
                <w:rFonts w:ascii="Cambria Math" w:hAnsi="Cambria Math"/>
              </w:rPr>
              <m:t>l→</m:t>
            </m:r>
            <m:r>
              <w:rPr>
                <w:rFonts w:ascii="Cambria Math" w:hAnsi="Cambria Math"/>
              </w:rPr>
              <m:t>L</m:t>
            </m:r>
          </m:sub>
        </m:sSub>
      </m:oMath>
      <w:r>
        <w:t xml:space="preserve">, where </w:t>
      </w:r>
      <m:oMath>
        <m:sSub>
          <m:sSubPr>
            <m:ctrlPr>
              <w:rPr>
                <w:rFonts w:ascii="Cambria Math" w:hAnsi="Cambria Math"/>
              </w:rPr>
            </m:ctrlPr>
          </m:sSubPr>
          <m:e>
            <m:r>
              <w:rPr>
                <w:rFonts w:ascii="Cambria Math" w:hAnsi="Cambria Math"/>
              </w:rPr>
              <m:t>U</m:t>
            </m:r>
          </m:e>
          <m:sub>
            <m:r>
              <w:rPr>
                <w:rFonts w:ascii="Cambria Math" w:hAnsi="Cambria Math"/>
              </w:rPr>
              <m:t>r</m:t>
            </m:r>
          </m:sub>
        </m:sSub>
      </m:oMath>
      <w:r>
        <w:t xml:space="preserve"> contains the leading left singular vectors. In either case, the solver minimizes</w:t>
      </w:r>
    </w:p>
    <w:tbl>
      <w:tblPr>
        <w:tblW w:w="9994" w:type="dxa"/>
        <w:jc w:val="center"/>
        <w:tblBorders>
          <w:top w:val="nil"/>
          <w:left w:val="nil"/>
          <w:bottom w:val="nil"/>
          <w:right w:val="nil"/>
          <w:insideH w:val="nil"/>
          <w:insideV w:val="nil"/>
        </w:tblBorders>
        <w:tblLayout w:type="fixed"/>
        <w:tblLook w:val="04A0" w:firstRow="1" w:lastRow="0" w:firstColumn="1" w:lastColumn="0" w:noHBand="0" w:noVBand="1"/>
      </w:tblPr>
      <w:tblGrid>
        <w:gridCol w:w="518"/>
        <w:gridCol w:w="8958"/>
        <w:gridCol w:w="518"/>
      </w:tblGrid>
      <w:tr w:rsidR="004C250E" w14:paraId="7156816E" w14:textId="77777777">
        <w:trPr>
          <w:cantSplit/>
          <w:jc w:val="center"/>
        </w:trPr>
        <w:tc>
          <w:tcPr>
            <w:tcW w:w="518" w:type="dxa"/>
            <w:tcMar>
              <w:top w:w="0" w:type="dxa"/>
              <w:left w:w="0" w:type="dxa"/>
              <w:bottom w:w="0" w:type="dxa"/>
              <w:right w:w="0" w:type="dxa"/>
            </w:tcMar>
            <w:vAlign w:val="center"/>
          </w:tcPr>
          <w:p w14:paraId="3BD55D3D" w14:textId="77777777" w:rsidR="004C250E" w:rsidRDefault="004C250E">
            <w:pPr>
              <w:keepLines/>
              <w:spacing w:before="40" w:after="80" w:line="240" w:lineRule="auto"/>
            </w:pPr>
          </w:p>
        </w:tc>
        <w:tc>
          <w:tcPr>
            <w:tcW w:w="8957" w:type="dxa"/>
            <w:tcMar>
              <w:top w:w="0" w:type="dxa"/>
              <w:left w:w="0" w:type="dxa"/>
              <w:bottom w:w="0" w:type="dxa"/>
              <w:right w:w="0" w:type="dxa"/>
            </w:tcMar>
            <w:vAlign w:val="center"/>
          </w:tcPr>
          <w:p w14:paraId="0366BDB6" w14:textId="77777777" w:rsidR="004C250E" w:rsidRDefault="00000000">
            <w:pPr>
              <w:keepLines/>
              <w:spacing w:after="0" w:line="240" w:lineRule="auto"/>
              <w:jc w:val="center"/>
            </w:pPr>
            <m:oMathPara>
              <m:oMath>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 xml:space="preserve">=arg </m:t>
                </m:r>
                <m:sSub>
                  <m:sSubPr>
                    <m:ctrlPr>
                      <w:rPr>
                        <w:rFonts w:ascii="Cambria Math" w:hAnsi="Cambria Math"/>
                      </w:rPr>
                    </m:ctrlPr>
                  </m:sSubPr>
                  <m:e>
                    <m:r>
                      <w:rPr>
                        <w:rFonts w:ascii="Cambria Math" w:hAnsi="Cambria Math"/>
                      </w:rPr>
                      <m:t>min</m:t>
                    </m:r>
                  </m:e>
                  <m:sub>
                    <m:r>
                      <w:rPr>
                        <w:rFonts w:ascii="Cambria Math" w:hAnsi="Cambria Math"/>
                      </w:rPr>
                      <m:t>C</m:t>
                    </m:r>
                  </m:sub>
                </m:sSub>
                <m:r>
                  <w:rPr>
                    <w:rFonts w:ascii="Cambria Math" w:hAnsi="Cambria Math"/>
                  </w:rPr>
                  <m:t xml:space="preserve"> </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J</m:t>
                        </m:r>
                      </m:e>
                      <m:sub>
                        <m:r>
                          <w:rPr>
                            <w:rFonts w:ascii="Cambria Math" w:hAnsi="Cambria Math"/>
                          </w:rPr>
                          <m:t>s</m:t>
                        </m:r>
                      </m:sub>
                    </m:sSub>
                    <m:r>
                      <w:rPr>
                        <w:rFonts w:ascii="Cambria Math" w:hAnsi="Cambria Math"/>
                      </w:rPr>
                      <m:t xml:space="preserve"> rvec</m:t>
                    </m:r>
                    <m:d>
                      <m:dPr>
                        <m:ctrlPr>
                          <w:rPr>
                            <w:rFonts w:ascii="Cambria Math" w:hAnsi="Cambria Math"/>
                            <w:i/>
                          </w:rPr>
                        </m:ctrlPr>
                      </m:dPr>
                      <m:e>
                        <m:r>
                          <w:rPr>
                            <w:rFonts w:ascii="Cambria Math" w:hAnsi="Cambria Math"/>
                          </w:rPr>
                          <m:t>P-SC</m:t>
                        </m:r>
                      </m:e>
                    </m:d>
                    <m:sSubSup>
                      <m:sSubSupPr>
                        <m:ctrlPr>
                          <w:rPr>
                            <w:rFonts w:ascii="Cambria Math" w:hAnsi="Cambria Math"/>
                          </w:rPr>
                        </m:ctrlPr>
                      </m:sSubSupPr>
                      <m:e>
                        <m: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 xml:space="preserve"> + λ</m:t>
                    </m:r>
                  </m:e>
                </m:d>
                <m:r>
                  <w:rPr>
                    <w:rFonts w:ascii="Cambria Math" w:hAnsi="Cambria Math"/>
                  </w:rPr>
                  <m:t>P-SC</m:t>
                </m:r>
                <m:sSubSup>
                  <m:sSubSupPr>
                    <m:ctrlPr>
                      <w:rPr>
                        <w:rFonts w:ascii="Cambria Math" w:hAnsi="Cambria Math"/>
                      </w:rPr>
                    </m:ctrlPr>
                  </m:sSubSupPr>
                  <m:e>
                    <m:r>
                      <w:rPr>
                        <w:rFonts w:ascii="Cambria Math" w:hAnsi="Cambria Math"/>
                      </w:rPr>
                      <m:t>‖</m:t>
                    </m:r>
                  </m:e>
                  <m:sub>
                    <m:r>
                      <w:rPr>
                        <w:rFonts w:ascii="Cambria Math" w:hAnsi="Cambria Math"/>
                      </w:rPr>
                      <m:t>F</m:t>
                    </m:r>
                  </m:sub>
                  <m:sup>
                    <m:r>
                      <w:rPr>
                        <w:rFonts w:ascii="Cambria Math" w:hAnsi="Cambria Math"/>
                      </w:rPr>
                      <m:t>2</m:t>
                    </m:r>
                  </m:sup>
                </m:sSubSup>
                <m:r>
                  <w:rPr>
                    <w:rFonts w:ascii="Cambria Math" w:hAnsi="Cambria Math"/>
                  </w:rPr>
                  <m:t>.</m:t>
                </m:r>
              </m:oMath>
            </m:oMathPara>
          </w:p>
        </w:tc>
        <w:tc>
          <w:tcPr>
            <w:tcW w:w="518" w:type="dxa"/>
            <w:tcMar>
              <w:top w:w="0" w:type="dxa"/>
              <w:left w:w="0" w:type="dxa"/>
              <w:bottom w:w="0" w:type="dxa"/>
              <w:right w:w="0" w:type="dxa"/>
            </w:tcMar>
            <w:vAlign w:val="center"/>
          </w:tcPr>
          <w:p w14:paraId="1788ACB6" w14:textId="77777777" w:rsidR="004C250E" w:rsidRDefault="00000000">
            <w:pPr>
              <w:keepLines/>
              <w:spacing w:before="40" w:after="80" w:line="240" w:lineRule="auto"/>
              <w:jc w:val="right"/>
            </w:pPr>
            <w:r>
              <w:rPr>
                <w:sz w:val="18"/>
              </w:rPr>
              <w:t>(7)</w:t>
            </w:r>
          </w:p>
        </w:tc>
      </w:tr>
    </w:tbl>
    <w:p w14:paraId="1EB04576" w14:textId="77777777" w:rsidR="004C250E" w:rsidRDefault="00000000">
      <w:pPr>
        <w:spacing w:after="100" w:line="259" w:lineRule="auto"/>
      </w:pPr>
      <w:r>
        <w:t xml:space="preserve">The first term penalizes the readout change predicted by the selected operator, while the second is a trace-scaled Tikhonov penalty. Let </w:t>
      </w:r>
      <m:oMath>
        <m:sSub>
          <m:sSubPr>
            <m:ctrlPr>
              <w:rPr>
                <w:rFonts w:ascii="Cambria Math" w:hAnsi="Cambria Math"/>
              </w:rPr>
            </m:ctrlPr>
          </m:sSubPr>
          <m:e>
            <m:r>
              <w:rPr>
                <w:rFonts w:ascii="Cambria Math" w:hAnsi="Cambria Math"/>
              </w:rPr>
              <m:t>d</m:t>
            </m:r>
          </m:e>
          <m:sub>
            <m:r>
              <w:rPr>
                <w:rFonts w:ascii="Cambria Math" w:hAnsi="Cambria Math"/>
              </w:rPr>
              <m:t>s</m:t>
            </m:r>
          </m:sub>
        </m:sSub>
      </m:oMath>
      <w:r>
        <w:t xml:space="preserve"> be the row dimension of </w:t>
      </w:r>
      <m:oMath>
        <m:sSub>
          <m:sSubPr>
            <m:ctrlPr>
              <w:rPr>
                <w:rFonts w:ascii="Cambria Math" w:hAnsi="Cambria Math"/>
              </w:rPr>
            </m:ctrlPr>
          </m:sSubPr>
          <m:e>
            <m:r>
              <w:rPr>
                <w:rFonts w:ascii="Cambria Math" w:hAnsi="Cambria Math"/>
              </w:rPr>
              <m:t>J</m:t>
            </m:r>
          </m:e>
          <m:sub>
            <m:r>
              <w:rPr>
                <w:rFonts w:ascii="Cambria Math" w:hAnsi="Cambria Math"/>
              </w:rPr>
              <m:t>s</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u</m:t>
            </m:r>
          </m:sub>
        </m:sSub>
      </m:oMath>
      <w:r>
        <w:t xml:space="preserve"> for the full operator and r for a rank-r solve), and let </w:t>
      </w:r>
      <m:oMath>
        <m:sSub>
          <m:sSubPr>
            <m:ctrlPr>
              <w:rPr>
                <w:rFonts w:ascii="Cambria Math" w:hAnsi="Cambria Math"/>
              </w:rPr>
            </m:ctrlPr>
          </m:sSubPr>
          <m:e>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m:t>
                </m:r>
              </m:sub>
            </m:sSub>
            <m:r>
              <w:rPr>
                <w:rFonts w:ascii="Cambria Math" w:hAnsi="Cambria Math"/>
              </w:rPr>
              <m:t>)</m:t>
            </m:r>
          </m:e>
          <m:sub>
            <m:r>
              <w:rPr>
                <w:rFonts w:ascii="Cambria Math" w:hAnsi="Cambria Math"/>
              </w:rPr>
              <m:t>i</m:t>
            </m:r>
          </m:sub>
        </m:sSub>
      </m:oMath>
      <w:r>
        <w:t xml:space="preserve"> be its D-column block for patch i. The solver constructs the readout-space Gram matrix and regularization scale</w:t>
      </w:r>
    </w:p>
    <w:tbl>
      <w:tblPr>
        <w:tblW w:w="9994" w:type="dxa"/>
        <w:jc w:val="center"/>
        <w:tblBorders>
          <w:top w:val="nil"/>
          <w:left w:val="nil"/>
          <w:bottom w:val="nil"/>
          <w:right w:val="nil"/>
          <w:insideH w:val="nil"/>
          <w:insideV w:val="nil"/>
        </w:tblBorders>
        <w:tblLayout w:type="fixed"/>
        <w:tblLook w:val="04A0" w:firstRow="1" w:lastRow="0" w:firstColumn="1" w:lastColumn="0" w:noHBand="0" w:noVBand="1"/>
      </w:tblPr>
      <w:tblGrid>
        <w:gridCol w:w="518"/>
        <w:gridCol w:w="8958"/>
        <w:gridCol w:w="518"/>
      </w:tblGrid>
      <w:tr w:rsidR="004C250E" w14:paraId="7D357DAE" w14:textId="77777777">
        <w:trPr>
          <w:cantSplit/>
          <w:jc w:val="center"/>
        </w:trPr>
        <w:tc>
          <w:tcPr>
            <w:tcW w:w="518" w:type="dxa"/>
            <w:tcMar>
              <w:top w:w="0" w:type="dxa"/>
              <w:left w:w="0" w:type="dxa"/>
              <w:bottom w:w="0" w:type="dxa"/>
              <w:right w:w="0" w:type="dxa"/>
            </w:tcMar>
            <w:vAlign w:val="center"/>
          </w:tcPr>
          <w:p w14:paraId="6B6573F1" w14:textId="77777777" w:rsidR="004C250E" w:rsidRDefault="004C250E">
            <w:pPr>
              <w:keepLines/>
              <w:spacing w:before="40" w:after="80" w:line="240" w:lineRule="auto"/>
            </w:pPr>
          </w:p>
        </w:tc>
        <w:tc>
          <w:tcPr>
            <w:tcW w:w="8957" w:type="dxa"/>
            <w:tcMar>
              <w:top w:w="0" w:type="dxa"/>
              <w:left w:w="0" w:type="dxa"/>
              <w:bottom w:w="0" w:type="dxa"/>
              <w:right w:w="0" w:type="dxa"/>
            </w:tcMar>
            <w:vAlign w:val="center"/>
          </w:tcPr>
          <w:p w14:paraId="2E1DC79B" w14:textId="77777777" w:rsidR="004C250E" w:rsidRDefault="00000000">
            <w:pPr>
              <w:keepLines/>
              <w:spacing w:after="0" w:line="240" w:lineRule="auto"/>
              <w:jc w:val="center"/>
            </w:pPr>
            <m:oMathPara>
              <m:oMath>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Sub>
                      <m:sSubPr>
                        <m:ctrlPr>
                          <w:rPr>
                            <w:rFonts w:ascii="Cambria Math" w:hAnsi="Cambria Math"/>
                          </w:rPr>
                        </m:ctrlPr>
                      </m:sSubPr>
                      <m:e>
                        <m:r>
                          <w:rPr>
                            <w:rFonts w:ascii="Cambria Math" w:hAnsi="Cambria Math"/>
                          </w:rPr>
                          <m:t>G</m:t>
                        </m:r>
                      </m:e>
                      <m:sub>
                        <m:r>
                          <w:rPr>
                            <w:rFonts w:ascii="Cambria Math" w:hAnsi="Cambria Math"/>
                          </w:rPr>
                          <m:t>j</m:t>
                        </m:r>
                      </m:sub>
                    </m:sSub>
                  </m:sub>
                </m:sSub>
                <m:sSub>
                  <m:sSubPr>
                    <m:ctrlPr>
                      <w:rPr>
                        <w:rFonts w:ascii="Cambria Math" w:hAnsi="Cambria Math"/>
                      </w:rPr>
                    </m:ctrlPr>
                  </m:sSubPr>
                  <m:e>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m:t>
                        </m:r>
                      </m:sub>
                    </m:sSub>
                    <m:r>
                      <w:rPr>
                        <w:rFonts w:ascii="Cambria Math" w:hAnsi="Cambria Math"/>
                      </w:rPr>
                      <m:t>)</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j=1</m:t>
                    </m:r>
                  </m:sub>
                  <m:sup>
                    <m:r>
                      <w:rPr>
                        <w:rFonts w:ascii="Cambria Math" w:hAnsi="Cambria Math"/>
                      </w:rPr>
                      <m:t>B</m:t>
                    </m:r>
                  </m:sup>
                </m:sSubSup>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rPr>
                            </m:ctrlPr>
                          </m:sSubPr>
                          <m:e>
                            <m:r>
                              <w:rPr>
                                <w:rFonts w:ascii="Cambria Math" w:hAnsi="Cambria Math"/>
                              </w:rPr>
                              <m:t>m</m:t>
                            </m:r>
                          </m:e>
                          <m:sub>
                            <m:r>
                              <w:rPr>
                                <w:rFonts w:ascii="Cambria Math" w:hAnsi="Cambria Math"/>
                              </w:rPr>
                              <m:t>j</m:t>
                            </m:r>
                          </m:sub>
                        </m:sSub>
                      </m:den>
                    </m:f>
                  </m:e>
                </m:d>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 xml:space="preserve"> </m:t>
                </m:r>
                <m:sSubSup>
                  <m:sSubSupPr>
                    <m:ctrlPr>
                      <w:rPr>
                        <w:rFonts w:ascii="Cambria Math" w:hAnsi="Cambria Math"/>
                      </w:rPr>
                    </m:ctrlPr>
                  </m:sSubSupPr>
                  <m:e>
                    <m:r>
                      <w:rPr>
                        <w:rFonts w:ascii="Cambria Math" w:hAnsi="Cambria Math"/>
                      </w:rPr>
                      <m:t>K</m:t>
                    </m:r>
                  </m:e>
                  <m:sub>
                    <m:r>
                      <w:rPr>
                        <w:rFonts w:ascii="Cambria Math" w:hAnsi="Cambria Math"/>
                      </w:rPr>
                      <m:t>j</m:t>
                    </m:r>
                  </m:sub>
                  <m:sup>
                    <m:r>
                      <w:rPr>
                        <w:rFonts w:ascii="Cambria Math" w:hAnsi="Cambria Math"/>
                      </w:rPr>
                      <m:t>T</m:t>
                    </m:r>
                  </m:sup>
                </m:sSubSup>
                <m:r>
                  <w:rPr>
                    <w:rFonts w:ascii="Cambria Math" w:hAnsi="Cambria Math"/>
                  </w:rPr>
                  <m:t>,  λ=10 ·</m:t>
                </m:r>
                <m:f>
                  <m:fPr>
                    <m:ctrlPr>
                      <w:rPr>
                        <w:rFonts w:ascii="Cambria Math" w:hAnsi="Cambria Math"/>
                        <w:i/>
                      </w:rPr>
                    </m:ctrlPr>
                  </m:fPr>
                  <m:num>
                    <m:r>
                      <w:rPr>
                        <w:rFonts w:ascii="Cambria Math" w:hAnsi="Cambria Math"/>
                      </w:rPr>
                      <m:t>tr</m:t>
                    </m:r>
                    <m:d>
                      <m:dPr>
                        <m:ctrlPr>
                          <w:rPr>
                            <w:rFonts w:ascii="Cambria Math" w:hAnsi="Cambria Math"/>
                            <w:i/>
                          </w:rPr>
                        </m:ctrlPr>
                      </m:dPr>
                      <m:e>
                        <m:sSub>
                          <m:sSubPr>
                            <m:ctrlPr>
                              <w:rPr>
                                <w:rFonts w:ascii="Cambria Math" w:hAnsi="Cambria Math"/>
                              </w:rPr>
                            </m:ctrlPr>
                          </m:sSubPr>
                          <m:e>
                            <m:r>
                              <w:rPr>
                                <w:rFonts w:ascii="Cambria Math" w:hAnsi="Cambria Math"/>
                              </w:rPr>
                              <m:t>H</m:t>
                            </m:r>
                          </m:e>
                          <m:sub>
                            <m:r>
                              <w:rPr>
                                <w:rFonts w:ascii="Cambria Math" w:hAnsi="Cambria Math"/>
                              </w:rPr>
                              <m:t>J</m:t>
                            </m:r>
                          </m:sub>
                        </m:sSub>
                      </m:e>
                    </m:d>
                  </m:num>
                  <m:den>
                    <m:sSub>
                      <m:sSubPr>
                        <m:ctrlPr>
                          <w:rPr>
                            <w:rFonts w:ascii="Cambria Math" w:hAnsi="Cambria Math"/>
                          </w:rPr>
                        </m:ctrlPr>
                      </m:sSubPr>
                      <m:e>
                        <m:r>
                          <w:rPr>
                            <w:rFonts w:ascii="Cambria Math" w:hAnsi="Cambria Math"/>
                          </w:rPr>
                          <m:t>d</m:t>
                        </m:r>
                      </m:e>
                      <m:sub>
                        <m:r>
                          <w:rPr>
                            <w:rFonts w:ascii="Cambria Math" w:hAnsi="Cambria Math"/>
                          </w:rPr>
                          <m:t>s</m:t>
                        </m:r>
                      </m:sub>
                    </m:sSub>
                  </m:den>
                </m:f>
                <m:r>
                  <w:rPr>
                    <w:rFonts w:ascii="Cambria Math" w:hAnsi="Cambria Math"/>
                  </w:rPr>
                  <m:t>.</m:t>
                </m:r>
              </m:oMath>
            </m:oMathPara>
          </w:p>
        </w:tc>
        <w:tc>
          <w:tcPr>
            <w:tcW w:w="518" w:type="dxa"/>
            <w:tcMar>
              <w:top w:w="0" w:type="dxa"/>
              <w:left w:w="0" w:type="dxa"/>
              <w:bottom w:w="0" w:type="dxa"/>
              <w:right w:w="0" w:type="dxa"/>
            </w:tcMar>
            <w:vAlign w:val="center"/>
          </w:tcPr>
          <w:p w14:paraId="477F643E" w14:textId="77777777" w:rsidR="004C250E" w:rsidRDefault="00000000">
            <w:pPr>
              <w:keepLines/>
              <w:spacing w:before="40" w:after="80" w:line="240" w:lineRule="auto"/>
              <w:jc w:val="right"/>
            </w:pPr>
            <w:r>
              <w:rPr>
                <w:sz w:val="18"/>
              </w:rPr>
              <w:t>(8)</w:t>
            </w:r>
          </w:p>
        </w:tc>
      </w:tr>
    </w:tbl>
    <w:p w14:paraId="08237047" w14:textId="77777777" w:rsidR="004C250E" w:rsidRDefault="00000000">
      <w:pPr>
        <w:spacing w:after="100" w:line="259" w:lineRule="auto"/>
      </w:pPr>
      <m:oMath>
        <m:sSub>
          <m:sSubPr>
            <m:ctrlPr>
              <w:rPr>
                <w:rFonts w:ascii="Cambria Math" w:hAnsi="Cambria Math"/>
              </w:rPr>
            </m:ctrlPr>
          </m:sSubPr>
          <m:e>
            <m:r>
              <w:rPr>
                <w:rFonts w:ascii="Cambria Math" w:hAnsi="Cambria Math"/>
              </w:rPr>
              <m:t>H</m:t>
            </m:r>
          </m:e>
          <m:sub>
            <m:r>
              <w:rPr>
                <w:rFonts w:ascii="Cambria Math" w:hAnsi="Cambria Math"/>
              </w:rPr>
              <m:t>J</m:t>
            </m:r>
          </m:sub>
        </m:sSub>
      </m:oMath>
      <w:r>
        <w:t xml:space="preserve"> is a positive-semidefinite Gram matrix of grouped Jacobian blocks in readout space, not a feature-activation covariance. It is distinct from the centered calibration-activation covariance that defines PCA directions. The confirmatory implementation used regularization factor 10. The archived repository does not contain a pilot sweep under this per-image Jacobian objective that supports an optimality claim for this value. The confirmatory protocol prohibited tuning on the evaluation split.</w:t>
      </w:r>
    </w:p>
    <w:p w14:paraId="52971534" w14:textId="77777777" w:rsidR="005B4464" w:rsidRDefault="00000000">
      <w:pPr>
        <w:spacing w:after="100" w:line="259" w:lineRule="auto"/>
      </w:pPr>
      <w:r>
        <w:t>A separate post-hoc sensitivity analysis on 200 class-randomized calibration images found that factor 10 attained or tied the highest Top-1 in five of eight architecture–budget cells and was within 0.5 percentage points of the maximum in the other three (Supplementary Section S15). The maximizing factor varied across cells, while smaller factors consistently lowered the linearized residual and increased carrier displacement; factor 10 reduced nonlinear logit damage relative to Group Mean in all eight cells. These results support factor 10 as a reasonable empirical tradeoff in this cohort, not as a demonstrated global optimum, and do not verify the historical timing or rationale for its selection. The per-image closed-form carrier update is</w:t>
      </w:r>
    </w:p>
    <w:tbl>
      <w:tblPr>
        <w:tblW w:w="9994" w:type="dxa"/>
        <w:jc w:val="center"/>
        <w:tblBorders>
          <w:top w:val="nil"/>
          <w:left w:val="nil"/>
          <w:bottom w:val="nil"/>
          <w:right w:val="nil"/>
          <w:insideH w:val="nil"/>
          <w:insideV w:val="nil"/>
        </w:tblBorders>
        <w:tblLayout w:type="fixed"/>
        <w:tblLook w:val="04A0" w:firstRow="1" w:lastRow="0" w:firstColumn="1" w:lastColumn="0" w:noHBand="0" w:noVBand="1"/>
      </w:tblPr>
      <w:tblGrid>
        <w:gridCol w:w="518"/>
        <w:gridCol w:w="8958"/>
        <w:gridCol w:w="518"/>
      </w:tblGrid>
      <w:tr w:rsidR="004C250E" w14:paraId="22676AB7" w14:textId="77777777">
        <w:trPr>
          <w:cantSplit/>
          <w:jc w:val="center"/>
        </w:trPr>
        <w:tc>
          <w:tcPr>
            <w:tcW w:w="518" w:type="dxa"/>
            <w:tcMar>
              <w:top w:w="0" w:type="dxa"/>
              <w:left w:w="0" w:type="dxa"/>
              <w:bottom w:w="0" w:type="dxa"/>
              <w:right w:w="0" w:type="dxa"/>
            </w:tcMar>
            <w:vAlign w:val="center"/>
          </w:tcPr>
          <w:p w14:paraId="09155BB0" w14:textId="77777777" w:rsidR="004C250E" w:rsidRDefault="004C250E">
            <w:pPr>
              <w:keepLines/>
              <w:spacing w:before="40" w:after="80" w:line="240" w:lineRule="auto"/>
            </w:pPr>
          </w:p>
        </w:tc>
        <w:tc>
          <w:tcPr>
            <w:tcW w:w="8957" w:type="dxa"/>
            <w:tcMar>
              <w:top w:w="0" w:type="dxa"/>
              <w:left w:w="0" w:type="dxa"/>
              <w:bottom w:w="0" w:type="dxa"/>
              <w:right w:w="0" w:type="dxa"/>
            </w:tcMar>
            <w:vAlign w:val="center"/>
          </w:tcPr>
          <w:p w14:paraId="136B22B7" w14:textId="77777777" w:rsidR="004C250E" w:rsidRPr="00BA0128" w:rsidRDefault="00000000">
            <w:pPr>
              <w:keepLines/>
              <w:spacing w:after="0" w:line="240"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mean</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m:t>
                    </m:r>
                  </m:sub>
                </m:sSub>
                <m:r>
                  <w:rPr>
                    <w:rFonts w:ascii="Cambria Math" w:hAnsi="Cambria Math"/>
                  </w:rPr>
                  <m:t xml:space="preserve"> rvec(</m:t>
                </m:r>
                <m:sSub>
                  <m:sSubPr>
                    <m:ctrlPr>
                      <w:rPr>
                        <w:rFonts w:ascii="Cambria Math" w:hAnsi="Cambria Math"/>
                      </w:rPr>
                    </m:ctrlPr>
                  </m:sSubPr>
                  <m:e>
                    <m:r>
                      <w:rPr>
                        <w:rFonts w:ascii="Cambria Math" w:hAnsi="Cambria Math"/>
                      </w:rPr>
                      <m:t>E</m:t>
                    </m:r>
                  </m:e>
                  <m:sub>
                    <m:r>
                      <w:rPr>
                        <w:rFonts w:ascii="Cambria Math" w:hAnsi="Cambria Math"/>
                      </w:rPr>
                      <m:t>mean</m:t>
                    </m:r>
                  </m:sub>
                </m:sSub>
                <m:r>
                  <w:rPr>
                    <w:rFonts w:ascii="Cambria Math" w:hAnsi="Cambria Math"/>
                  </w:rPr>
                  <m:t>),</m:t>
                </m:r>
              </m:oMath>
            </m:oMathPara>
          </w:p>
          <w:p w14:paraId="101F8DAA" w14:textId="77777777" w:rsidR="00BA0128" w:rsidRDefault="00BA0128">
            <w:pPr>
              <w:keepLines/>
              <w:spacing w:after="0" w:line="240" w:lineRule="auto"/>
              <w:jc w:val="center"/>
            </w:pPr>
          </w:p>
          <w:p w14:paraId="258A7BAA" w14:textId="77777777" w:rsidR="004C250E" w:rsidRDefault="00000000">
            <w:pPr>
              <w:keepLines/>
              <w:spacing w:after="0" w:line="240" w:lineRule="auto"/>
              <w:jc w:val="center"/>
            </w:pPr>
            <m:oMathPara>
              <m:oMath>
                <m:sSubSup>
                  <m:sSubSupPr>
                    <m:ctrlPr>
                      <w:rPr>
                        <w:rFonts w:ascii="Cambria Math" w:hAnsi="Cambria Math"/>
                      </w:rPr>
                    </m:ctrlPr>
                  </m:sSubSupPr>
                  <m:e>
                    <m:r>
                      <w:rPr>
                        <w:rFonts w:ascii="Cambria Math" w:hAnsi="Cambria Math"/>
                      </w:rPr>
                      <m:t>c</m:t>
                    </m:r>
                  </m:e>
                  <m:sub>
                    <m:r>
                      <w:rPr>
                        <w:rFonts w:ascii="Cambria Math" w:hAnsi="Cambria Math"/>
                      </w:rPr>
                      <m:t>j</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j</m:t>
                    </m:r>
                  </m:sub>
                  <m:sup>
                    <m:r>
                      <w:rPr>
                        <w:rFonts w:ascii="Cambria Math" w:hAnsi="Cambria Math"/>
                      </w:rPr>
                      <m:t>mean</m:t>
                    </m:r>
                  </m:sup>
                </m:sSubSup>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rPr>
                            </m:ctrlPr>
                          </m:sSubPr>
                          <m:e>
                            <m:r>
                              <w:rPr>
                                <w:rFonts w:ascii="Cambria Math" w:hAnsi="Cambria Math"/>
                              </w:rPr>
                              <m:t>m</m:t>
                            </m:r>
                          </m:e>
                          <m:sub>
                            <m:r>
                              <w:rPr>
                                <w:rFonts w:ascii="Cambria Math" w:hAnsi="Cambria Math"/>
                              </w:rPr>
                              <m:t>j</m:t>
                            </m:r>
                          </m:sub>
                        </m:sSub>
                      </m:den>
                    </m:f>
                  </m:e>
                </m:d>
                <m:sSubSup>
                  <m:sSubSupPr>
                    <m:ctrlPr>
                      <w:rPr>
                        <w:rFonts w:ascii="Cambria Math" w:hAnsi="Cambria Math"/>
                      </w:rPr>
                    </m:ctrlPr>
                  </m:sSubSupPr>
                  <m:e>
                    <m:r>
                      <w:rPr>
                        <w:rFonts w:ascii="Cambria Math" w:hAnsi="Cambria Math"/>
                      </w:rPr>
                      <m:t>K</m:t>
                    </m:r>
                  </m:e>
                  <m:sub>
                    <m:r>
                      <w:rPr>
                        <w:rFonts w:ascii="Cambria Math" w:hAnsi="Cambria Math"/>
                      </w:rPr>
                      <m:t>j</m:t>
                    </m:r>
                  </m:sub>
                  <m:sup>
                    <m:r>
                      <w:rPr>
                        <w:rFonts w:ascii="Cambria Math" w:hAnsi="Cambria Math"/>
                      </w:rPr>
                      <m:t>T</m:t>
                    </m:r>
                  </m:sup>
                </m:sSubSup>
                <m:sSup>
                  <m:sSupPr>
                    <m:ctrlPr>
                      <w:rPr>
                        <w:rFonts w:ascii="Cambria Math" w:hAnsi="Cambria Math"/>
                      </w:rPr>
                    </m:ctrlPr>
                  </m:sSupPr>
                  <m:e>
                    <m:d>
                      <m:dPr>
                        <m:ctrlPr>
                          <w:rPr>
                            <w:rFonts w:ascii="Cambria Math" w:hAnsi="Cambria Math"/>
                            <w:i/>
                          </w:rPr>
                        </m:ctrlPr>
                      </m:dPr>
                      <m:e>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λI</m:t>
                            </m:r>
                          </m:e>
                          <m:sub>
                            <m:sSub>
                              <m:sSubPr>
                                <m:ctrlPr>
                                  <w:rPr>
                                    <w:rFonts w:ascii="Cambria Math" w:hAnsi="Cambria Math"/>
                                  </w:rPr>
                                </m:ctrlPr>
                              </m:sSubPr>
                              <m:e>
                                <m:r>
                                  <w:rPr>
                                    <w:rFonts w:ascii="Cambria Math" w:hAnsi="Cambria Math"/>
                                  </w:rPr>
                                  <m:t>d</m:t>
                                </m:r>
                              </m:e>
                              <m:sub>
                                <m:r>
                                  <w:rPr>
                                    <w:rFonts w:ascii="Cambria Math" w:hAnsi="Cambria Math"/>
                                  </w:rPr>
                                  <m:t>s</m:t>
                                </m:r>
                              </m:sub>
                            </m:sSub>
                          </m:sub>
                        </m:sSub>
                      </m:e>
                    </m:d>
                  </m:e>
                  <m:sup>
                    <m:r>
                      <w:rPr>
                        <w:rFonts w:ascii="Cambria Math" w:hAnsi="Cambria Math"/>
                      </w:rPr>
                      <m:t>-1</m:t>
                    </m:r>
                  </m:sup>
                </m:sSup>
                <m:sSub>
                  <m:sSubPr>
                    <m:ctrlPr>
                      <w:rPr>
                        <w:rFonts w:ascii="Cambria Math" w:hAnsi="Cambria Math"/>
                      </w:rPr>
                    </m:ctrlPr>
                  </m:sSubPr>
                  <m:e>
                    <m:r>
                      <w:rPr>
                        <w:rFonts w:ascii="Cambria Math" w:hAnsi="Cambria Math"/>
                      </w:rPr>
                      <m:t>r</m:t>
                    </m:r>
                  </m:e>
                  <m:sub>
                    <m:r>
                      <w:rPr>
                        <w:rFonts w:ascii="Cambria Math" w:hAnsi="Cambria Math"/>
                      </w:rPr>
                      <m:t>mean</m:t>
                    </m:r>
                  </m:sub>
                </m:sSub>
                <m:r>
                  <w:rPr>
                    <w:rFonts w:ascii="Cambria Math" w:hAnsi="Cambria Math"/>
                  </w:rPr>
                  <m:t>.</m:t>
                </m:r>
              </m:oMath>
            </m:oMathPara>
          </w:p>
        </w:tc>
        <w:tc>
          <w:tcPr>
            <w:tcW w:w="518" w:type="dxa"/>
            <w:tcMar>
              <w:top w:w="0" w:type="dxa"/>
              <w:left w:w="0" w:type="dxa"/>
              <w:bottom w:w="0" w:type="dxa"/>
              <w:right w:w="0" w:type="dxa"/>
            </w:tcMar>
            <w:vAlign w:val="center"/>
          </w:tcPr>
          <w:p w14:paraId="4CB6F87B" w14:textId="77777777" w:rsidR="004C250E" w:rsidRDefault="00000000">
            <w:pPr>
              <w:keepLines/>
              <w:spacing w:before="40" w:after="80" w:line="240" w:lineRule="auto"/>
              <w:jc w:val="right"/>
            </w:pPr>
            <w:r>
              <w:rPr>
                <w:sz w:val="18"/>
              </w:rPr>
              <w:t>(9)</w:t>
            </w:r>
          </w:p>
        </w:tc>
      </w:tr>
    </w:tbl>
    <w:p w14:paraId="7475B4C3" w14:textId="77777777" w:rsidR="004C250E" w:rsidRDefault="00000000">
      <w:pPr>
        <w:spacing w:after="100" w:line="259" w:lineRule="auto"/>
      </w:pPr>
      <w:r>
        <w:t>Because the Group Mean residual sums to zero within each group, these normal equations give the exact minimizer of the stated quadratic objective. This exactness applies to the local linearized objective, not to the nonlinear classifier loss. The full-J solution is computed per image and is an offline oracle; low-rank solves are evaluated against the full J on the same confirmatory cohort.</w:t>
      </w:r>
    </w:p>
    <w:p w14:paraId="62A48537" w14:textId="77777777" w:rsidR="004C250E" w:rsidRDefault="00000000">
      <w:pPr>
        <w:spacing w:after="100" w:line="259" w:lineRule="auto"/>
      </w:pPr>
      <w:r>
        <w:t xml:space="preserve">Each compressed key also carries the number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of original tokens represented by that key. With T=B+1 compressed tokens and </w:t>
      </w:r>
      <m:oMath>
        <m:sSub>
          <m:sSubPr>
            <m:ctrlPr>
              <w:rPr>
                <w:rFonts w:ascii="Cambria Math" w:hAnsi="Cambria Math"/>
              </w:rPr>
            </m:ctrlPr>
          </m:sSubPr>
          <m:e>
            <m:r>
              <w:rPr>
                <w:rFonts w:ascii="Cambria Math" w:hAnsi="Cambria Math"/>
              </w:rPr>
              <m:t>d</m:t>
            </m:r>
          </m:e>
          <m:sub>
            <m:r>
              <w:rPr>
                <w:rFonts w:ascii="Cambria Math" w:hAnsi="Cambria Math"/>
              </w:rPr>
              <m:t>h</m:t>
            </m:r>
          </m:sub>
        </m:sSub>
      </m:oMath>
      <w:r>
        <w:t xml:space="preserve"> dimensions per head, the compressed attention adds log multiplicity to each key's attention logit:</w:t>
      </w:r>
    </w:p>
    <w:tbl>
      <w:tblPr>
        <w:tblW w:w="9994" w:type="dxa"/>
        <w:jc w:val="center"/>
        <w:tblBorders>
          <w:top w:val="nil"/>
          <w:left w:val="nil"/>
          <w:bottom w:val="nil"/>
          <w:right w:val="nil"/>
          <w:insideH w:val="nil"/>
          <w:insideV w:val="nil"/>
        </w:tblBorders>
        <w:tblLayout w:type="fixed"/>
        <w:tblLook w:val="04A0" w:firstRow="1" w:lastRow="0" w:firstColumn="1" w:lastColumn="0" w:noHBand="0" w:noVBand="1"/>
      </w:tblPr>
      <w:tblGrid>
        <w:gridCol w:w="518"/>
        <w:gridCol w:w="8958"/>
        <w:gridCol w:w="518"/>
      </w:tblGrid>
      <w:tr w:rsidR="004C250E" w14:paraId="5A48BA8A" w14:textId="77777777">
        <w:trPr>
          <w:cantSplit/>
          <w:jc w:val="center"/>
        </w:trPr>
        <w:tc>
          <w:tcPr>
            <w:tcW w:w="518" w:type="dxa"/>
            <w:tcMar>
              <w:top w:w="0" w:type="dxa"/>
              <w:left w:w="0" w:type="dxa"/>
              <w:bottom w:w="0" w:type="dxa"/>
              <w:right w:w="0" w:type="dxa"/>
            </w:tcMar>
            <w:vAlign w:val="center"/>
          </w:tcPr>
          <w:p w14:paraId="5C9769DE" w14:textId="77777777" w:rsidR="004C250E" w:rsidRDefault="004C250E">
            <w:pPr>
              <w:keepLines/>
              <w:spacing w:before="40" w:after="80" w:line="240" w:lineRule="auto"/>
            </w:pPr>
          </w:p>
        </w:tc>
        <w:tc>
          <w:tcPr>
            <w:tcW w:w="8957" w:type="dxa"/>
            <w:tcMar>
              <w:top w:w="0" w:type="dxa"/>
              <w:left w:w="0" w:type="dxa"/>
              <w:bottom w:w="0" w:type="dxa"/>
              <w:right w:w="0" w:type="dxa"/>
            </w:tcMar>
            <w:vAlign w:val="center"/>
          </w:tcPr>
          <w:p w14:paraId="37C55027" w14:textId="77777777" w:rsidR="004C250E" w:rsidRDefault="00000000">
            <w:pPr>
              <w:keepLines/>
              <w:spacing w:after="0" w:line="240" w:lineRule="auto"/>
              <w:jc w:val="center"/>
            </w:pPr>
            <m:oMathPara>
              <m:oMath>
                <m:sSup>
                  <m:sSupPr>
                    <m:ctrlPr>
                      <w:rPr>
                        <w:rFonts w:ascii="Cambria Math" w:hAnsi="Cambria Math"/>
                      </w:rPr>
                    </m:ctrlPr>
                  </m:sSupPr>
                  <m:e>
                    <m:r>
                      <w:rPr>
                        <w:rFonts w:ascii="Cambria Math" w:hAnsi="Cambria Math"/>
                      </w:rPr>
                      <m:t>A</m:t>
                    </m:r>
                  </m:e>
                  <m:sup>
                    <m:r>
                      <w:rPr>
                        <w:rFonts w:ascii="Cambria Math" w:hAnsi="Cambria Math"/>
                      </w:rPr>
                      <m:t>(h)</m:t>
                    </m:r>
                  </m:sup>
                </m:sSup>
                <m:r>
                  <w:rPr>
                    <w:rFonts w:ascii="Cambria Math" w:hAnsi="Cambria Math"/>
                  </w:rPr>
                  <m:t>=</m:t>
                </m:r>
                <m:sSub>
                  <m:sSubPr>
                    <m:ctrlPr>
                      <w:rPr>
                        <w:rFonts w:ascii="Cambria Math" w:hAnsi="Cambria Math"/>
                      </w:rPr>
                    </m:ctrlPr>
                  </m:sSubPr>
                  <m:e>
                    <m:r>
                      <w:rPr>
                        <w:rFonts w:ascii="Cambria Math" w:hAnsi="Cambria Math"/>
                      </w:rPr>
                      <m:t>softmax</m:t>
                    </m:r>
                  </m:e>
                  <m:sub>
                    <m:r>
                      <w:rPr>
                        <w:rFonts w:ascii="Cambria Math" w:hAnsi="Cambria Math"/>
                      </w:rPr>
                      <m:t>key</m:t>
                    </m:r>
                  </m:sub>
                </m:sSub>
                <m:d>
                  <m:dPr>
                    <m:ctrlPr>
                      <w:rPr>
                        <w:rFonts w:ascii="Cambria Math" w:hAnsi="Cambria Math"/>
                        <w:i/>
                      </w:rPr>
                    </m:ctrlPr>
                  </m:dPr>
                  <m:e>
                    <m:f>
                      <m:fPr>
                        <m:ctrlPr>
                          <w:rPr>
                            <w:rFonts w:ascii="Cambria Math" w:hAnsi="Cambria Math"/>
                            <w:i/>
                          </w:rPr>
                        </m:ctrlPr>
                      </m:fPr>
                      <m:num>
                        <m:sSup>
                          <m:sSupPr>
                            <m:ctrlPr>
                              <w:rPr>
                                <w:rFonts w:ascii="Cambria Math" w:hAnsi="Cambria Math"/>
                              </w:rPr>
                            </m:ctrlPr>
                          </m:sSupPr>
                          <m:e>
                            <m:r>
                              <w:rPr>
                                <w:rFonts w:ascii="Cambria Math" w:hAnsi="Cambria Math"/>
                              </w:rPr>
                              <m:t>Q</m:t>
                            </m:r>
                          </m:e>
                          <m:sup>
                            <m:d>
                              <m:dPr>
                                <m:ctrlPr>
                                  <w:rPr>
                                    <w:rFonts w:ascii="Cambria Math" w:hAnsi="Cambria Math"/>
                                    <w:i/>
                                  </w:rPr>
                                </m:ctrlPr>
                              </m:dPr>
                              <m:e>
                                <m:r>
                                  <w:rPr>
                                    <w:rFonts w:ascii="Cambria Math" w:hAnsi="Cambria Math"/>
                                  </w:rPr>
                                  <m:t>h</m:t>
                                </m:r>
                              </m:e>
                            </m:d>
                          </m:sup>
                        </m:sSup>
                        <m:sSup>
                          <m:sSupPr>
                            <m:ctrlPr>
                              <w:rPr>
                                <w:rFonts w:ascii="Cambria Math" w:hAnsi="Cambria Math"/>
                              </w:rPr>
                            </m:ctrlPr>
                          </m:sSupPr>
                          <m:e>
                            <m:r>
                              <w:rPr>
                                <w:rFonts w:ascii="Cambria Math" w:hAnsi="Cambria Math"/>
                              </w:rPr>
                              <m:t>K</m:t>
                            </m:r>
                          </m:e>
                          <m:sup>
                            <m:d>
                              <m:dPr>
                                <m:ctrlPr>
                                  <w:rPr>
                                    <w:rFonts w:ascii="Cambria Math" w:hAnsi="Cambria Math"/>
                                    <w:i/>
                                  </w:rPr>
                                </m:ctrlPr>
                              </m:dPr>
                              <m:e>
                                <m:r>
                                  <w:rPr>
                                    <w:rFonts w:ascii="Cambria Math" w:hAnsi="Cambria Math"/>
                                  </w:rPr>
                                  <m:t>h</m:t>
                                </m:r>
                              </m:e>
                            </m:d>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rPr>
                                </m:ctrlPr>
                              </m:sSubPr>
                              <m:e>
                                <m:r>
                                  <w:rPr>
                                    <w:rFonts w:ascii="Cambria Math" w:hAnsi="Cambria Math"/>
                                  </w:rPr>
                                  <m:t>d</m:t>
                                </m:r>
                              </m:e>
                              <m:sub>
                                <m:r>
                                  <w:rPr>
                                    <w:rFonts w:ascii="Cambria Math" w:hAnsi="Cambria Math"/>
                                  </w:rPr>
                                  <m:t>h</m:t>
                                </m:r>
                              </m:sub>
                            </m:sSub>
                          </m:e>
                        </m:rad>
                      </m:den>
                    </m:f>
                    <m:r>
                      <w:rPr>
                        <w:rFonts w:ascii="Cambria Math" w:hAnsi="Cambria Math"/>
                      </w:rPr>
                      <m:t>+</m:t>
                    </m:r>
                    <m:sSub>
                      <m:sSubPr>
                        <m:ctrlPr>
                          <w:rPr>
                            <w:rFonts w:ascii="Cambria Math" w:hAnsi="Cambria Math"/>
                          </w:rPr>
                        </m:ctrlPr>
                      </m:sSubPr>
                      <m:e>
                        <m:r>
                          <w:rPr>
                            <w:rFonts w:ascii="Cambria Math" w:hAnsi="Cambria Math"/>
                          </w:rPr>
                          <m:t>1</m:t>
                        </m:r>
                      </m:e>
                      <m:sub>
                        <m:r>
                          <w:rPr>
                            <w:rFonts w:ascii="Cambria Math" w:hAnsi="Cambria Math"/>
                          </w:rPr>
                          <m:t>T</m:t>
                        </m:r>
                      </m:sub>
                    </m:sSub>
                    <m:sSup>
                      <m:sSupPr>
                        <m:ctrlPr>
                          <w:rPr>
                            <w:rFonts w:ascii="Cambria Math" w:hAnsi="Cambria Math"/>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s</m:t>
                                </m:r>
                              </m:e>
                            </m:func>
                          </m:e>
                        </m:d>
                      </m:e>
                      <m:sup>
                        <m:r>
                          <w:rPr>
                            <w:rFonts w:ascii="Cambria Math" w:hAnsi="Cambria Math"/>
                          </w:rPr>
                          <m:t>T</m:t>
                        </m:r>
                      </m:sup>
                    </m:sSup>
                  </m:e>
                </m:d>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 xml:space="preserve">=1,  </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r>
                  <w:rPr>
                    <w:rFonts w:ascii="Cambria Math" w:hAnsi="Cambria Math"/>
                  </w:rPr>
                  <m:t>.</m:t>
                </m:r>
              </m:oMath>
            </m:oMathPara>
          </w:p>
        </w:tc>
        <w:tc>
          <w:tcPr>
            <w:tcW w:w="518" w:type="dxa"/>
            <w:tcMar>
              <w:top w:w="0" w:type="dxa"/>
              <w:left w:w="0" w:type="dxa"/>
              <w:bottom w:w="0" w:type="dxa"/>
              <w:right w:w="0" w:type="dxa"/>
            </w:tcMar>
            <w:vAlign w:val="center"/>
          </w:tcPr>
          <w:p w14:paraId="27A0AE3A" w14:textId="77777777" w:rsidR="004C250E" w:rsidRDefault="00000000">
            <w:pPr>
              <w:keepLines/>
              <w:spacing w:before="40" w:after="80" w:line="240" w:lineRule="auto"/>
              <w:jc w:val="right"/>
            </w:pPr>
            <w:r>
              <w:rPr>
                <w:sz w:val="18"/>
              </w:rPr>
              <w:t>(10)</w:t>
            </w:r>
          </w:p>
        </w:tc>
      </w:tr>
    </w:tbl>
    <w:p w14:paraId="3329274F" w14:textId="77777777" w:rsidR="004C250E" w:rsidRDefault="00000000">
      <w:pPr>
        <w:spacing w:after="100" w:line="259" w:lineRule="auto"/>
      </w:pPr>
      <w:r>
        <w:lastRenderedPageBreak/>
        <w:t xml:space="preserve">The vector s includes multiplicity one for the class token and </w:t>
      </w:r>
      <m:oMath>
        <m:sSub>
          <m:sSubPr>
            <m:ctrlPr>
              <w:rPr>
                <w:rFonts w:ascii="Cambria Math" w:hAnsi="Cambria Math"/>
              </w:rPr>
            </m:ctrlPr>
          </m:sSubPr>
          <m:e>
            <m:r>
              <w:rPr>
                <w:rFonts w:ascii="Cambria Math" w:hAnsi="Cambria Math"/>
              </w:rPr>
              <m:t>m</m:t>
            </m:r>
          </m:e>
          <m:sub>
            <m:r>
              <w:rPr>
                <w:rFonts w:ascii="Cambria Math" w:hAnsi="Cambria Math"/>
              </w:rPr>
              <m:t>j</m:t>
            </m:r>
          </m:sub>
        </m:sSub>
      </m:oMath>
      <w:r>
        <w:t>=|</w:t>
      </w:r>
      <m:oMath>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for patch carriers; </w:t>
      </w:r>
      <m:oMath>
        <m:sSub>
          <m:sSubPr>
            <m:ctrlPr>
              <w:rPr>
                <w:rFonts w:ascii="Cambria Math" w:hAnsi="Cambria Math"/>
              </w:rPr>
            </m:ctrlPr>
          </m:sSubPr>
          <m:e>
            <m:r>
              <w:rPr>
                <w:rFonts w:ascii="Cambria Math" w:hAnsi="Cambria Math"/>
              </w:rPr>
              <m:t>1</m:t>
            </m:r>
          </m:e>
          <m:sub>
            <m:r>
              <w:rPr>
                <w:rFonts w:ascii="Cambria Math" w:hAnsi="Cambria Math"/>
              </w:rPr>
              <m:t>T</m:t>
            </m:r>
          </m:sub>
        </m:sSub>
      </m:oMath>
      <w:r>
        <w:t xml:space="preserve"> broadcasts the log-size bias over query positions. This proportional-attention correction is used in Token Merging (ToMe) to account for merged-token size [13]. The implementation applies the same key bias in each compressed downstream attention block.</w:t>
      </w:r>
    </w:p>
    <w:p w14:paraId="4CD5E01C" w14:textId="77777777" w:rsidR="004C250E" w:rsidRDefault="00000000">
      <w:pPr>
        <w:pStyle w:val="Heading2"/>
      </w:pPr>
      <w:r>
        <w:rPr>
          <w:rFonts w:ascii="Times New Roman" w:hAnsi="Times New Roman"/>
        </w:rPr>
        <w:t>6.2 Confirmatory Compression Results</w:t>
      </w:r>
    </w:p>
    <w:p w14:paraId="440366EA" w14:textId="77777777" w:rsidR="004C250E" w:rsidRDefault="00000000">
      <w:pPr>
        <w:spacing w:after="100" w:line="259" w:lineRule="auto"/>
      </w:pPr>
      <w:r>
        <w:t>At each architecture’s most aggressive tested token budget, Table IV compares the strongest of the tested conventional pruning baselines with Group Mean, ToMe, the per-image Full-J oracle, and rank-16 and rank-32 operator-aware variants. Operator-aware variants exceed the strongest pruning result by 4.2–12.0 percentage points in these rows. The margin is smaller against Group Mean and ToMe: Full-J ranges from 0.6 points below Group Mean for DeiT-Small to 1.3 points above it for DINOv2, and is 0.6 points below ToMe for DeiT-Small while exceeding it in the other three rows. The rank-restricted results also vary by architecture. These comparisons therefore do not show universal dominance over the stronger merging baselines. Full-J requires an image-specific downstream Jacobian and is an offline oracle, not a practical inference method. The budgets differ by architecture (32 retained tokens for DeiT-Tiny, DeiT-Small, and ViT-B/16 AugReg; 42 for DINOv2 ViT-S/14), so rows are within-architecture comparisons rather than a matched token-count experiment. Figure 8 presents the full accuracy-token curves.</w:t>
      </w:r>
    </w:p>
    <w:p w14:paraId="5190098E" w14:textId="77777777" w:rsidR="004C250E" w:rsidRDefault="00000000">
      <w:pPr>
        <w:spacing w:after="100" w:line="259" w:lineRule="auto"/>
      </w:pPr>
      <w:r>
        <w:t>TABLE IV</w:t>
      </w:r>
    </w:p>
    <w:p w14:paraId="1DCB71AB" w14:textId="77777777" w:rsidR="004C250E" w:rsidRDefault="00000000">
      <w:pPr>
        <w:spacing w:after="100" w:line="259" w:lineRule="auto"/>
      </w:pPr>
      <w:r>
        <w:t>STRICT CONFIRMATORY TOP-1 ACCURACY AT THE MOST AGGRESSIVE TESTED BUDGET</w:t>
      </w:r>
    </w:p>
    <w:p w14:paraId="20D461DF" w14:textId="77777777" w:rsidR="004C250E" w:rsidRDefault="00000000">
      <w:pPr>
        <w:spacing w:after="100" w:line="259" w:lineRule="auto"/>
      </w:pPr>
      <w:r>
        <w:t>Top-1 accuracy on N=1,000 held-out images per architecture. The pruning entry is the strongest among Random, Norm, and Attention Pruning at the listed budget; each budget is the lowest evaluated for its architecture.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9"/>
        <w:gridCol w:w="1249"/>
        <w:gridCol w:w="1249"/>
        <w:gridCol w:w="1249"/>
        <w:gridCol w:w="1249"/>
        <w:gridCol w:w="1249"/>
        <w:gridCol w:w="1249"/>
        <w:gridCol w:w="1249"/>
      </w:tblGrid>
      <w:tr w:rsidR="004C250E" w14:paraId="5B17EB77" w14:textId="77777777" w:rsidTr="005D5368">
        <w:trPr>
          <w:tblHeader/>
        </w:trPr>
        <w:tc>
          <w:tcPr>
            <w:tcW w:w="1249" w:type="dxa"/>
            <w:tcBorders>
              <w:top w:val="single" w:sz="4" w:space="0" w:color="auto"/>
              <w:bottom w:val="single" w:sz="4" w:space="0" w:color="auto"/>
            </w:tcBorders>
            <w:tcMar>
              <w:top w:w="55" w:type="dxa"/>
              <w:left w:w="65" w:type="dxa"/>
              <w:bottom w:w="55" w:type="dxa"/>
              <w:right w:w="65" w:type="dxa"/>
            </w:tcMar>
            <w:vAlign w:val="center"/>
          </w:tcPr>
          <w:p w14:paraId="0EBB7D0F" w14:textId="77777777" w:rsidR="004C250E" w:rsidRPr="005D5368" w:rsidRDefault="00000000">
            <w:pPr>
              <w:jc w:val="center"/>
              <w:rPr>
                <w:szCs w:val="32"/>
              </w:rPr>
            </w:pPr>
            <w:r w:rsidRPr="005D5368">
              <w:rPr>
                <w:b/>
                <w:color w:val="17232D"/>
                <w:szCs w:val="32"/>
              </w:rPr>
              <w:t>Architecture</w:t>
            </w:r>
          </w:p>
        </w:tc>
        <w:tc>
          <w:tcPr>
            <w:tcW w:w="1249" w:type="dxa"/>
            <w:tcBorders>
              <w:top w:val="single" w:sz="4" w:space="0" w:color="auto"/>
              <w:bottom w:val="single" w:sz="4" w:space="0" w:color="auto"/>
            </w:tcBorders>
            <w:tcMar>
              <w:top w:w="55" w:type="dxa"/>
              <w:left w:w="65" w:type="dxa"/>
              <w:bottom w:w="55" w:type="dxa"/>
              <w:right w:w="65" w:type="dxa"/>
            </w:tcMar>
            <w:vAlign w:val="center"/>
          </w:tcPr>
          <w:p w14:paraId="49B96225" w14:textId="77777777" w:rsidR="004C250E" w:rsidRPr="005D5368" w:rsidRDefault="00000000">
            <w:pPr>
              <w:jc w:val="center"/>
              <w:rPr>
                <w:szCs w:val="32"/>
              </w:rPr>
            </w:pPr>
            <w:r w:rsidRPr="005D5368">
              <w:rPr>
                <w:b/>
                <w:color w:val="17232D"/>
                <w:szCs w:val="32"/>
              </w:rPr>
              <w:t>Budget</w:t>
            </w:r>
          </w:p>
        </w:tc>
        <w:tc>
          <w:tcPr>
            <w:tcW w:w="1249" w:type="dxa"/>
            <w:tcBorders>
              <w:top w:val="single" w:sz="4" w:space="0" w:color="auto"/>
              <w:bottom w:val="single" w:sz="4" w:space="0" w:color="auto"/>
            </w:tcBorders>
            <w:tcMar>
              <w:top w:w="55" w:type="dxa"/>
              <w:left w:w="65" w:type="dxa"/>
              <w:bottom w:w="55" w:type="dxa"/>
              <w:right w:w="65" w:type="dxa"/>
            </w:tcMar>
            <w:vAlign w:val="center"/>
          </w:tcPr>
          <w:p w14:paraId="67F6FA09" w14:textId="77777777" w:rsidR="004C250E" w:rsidRPr="005D5368" w:rsidRDefault="00000000">
            <w:pPr>
              <w:jc w:val="center"/>
              <w:rPr>
                <w:szCs w:val="32"/>
              </w:rPr>
            </w:pPr>
            <w:r w:rsidRPr="005D5368">
              <w:rPr>
                <w:b/>
                <w:color w:val="17232D"/>
                <w:szCs w:val="32"/>
              </w:rPr>
              <w:t>Best pruning baseline</w:t>
            </w:r>
          </w:p>
        </w:tc>
        <w:tc>
          <w:tcPr>
            <w:tcW w:w="1249" w:type="dxa"/>
            <w:tcBorders>
              <w:top w:val="single" w:sz="4" w:space="0" w:color="auto"/>
              <w:bottom w:val="single" w:sz="4" w:space="0" w:color="auto"/>
            </w:tcBorders>
            <w:tcMar>
              <w:top w:w="55" w:type="dxa"/>
              <w:left w:w="65" w:type="dxa"/>
              <w:bottom w:w="55" w:type="dxa"/>
              <w:right w:w="65" w:type="dxa"/>
            </w:tcMar>
            <w:vAlign w:val="center"/>
          </w:tcPr>
          <w:p w14:paraId="08E307E2" w14:textId="77777777" w:rsidR="004C250E" w:rsidRPr="005D5368" w:rsidRDefault="00000000">
            <w:pPr>
              <w:jc w:val="center"/>
              <w:rPr>
                <w:szCs w:val="32"/>
              </w:rPr>
            </w:pPr>
            <w:r w:rsidRPr="005D5368">
              <w:rPr>
                <w:b/>
                <w:color w:val="17232D"/>
                <w:szCs w:val="32"/>
              </w:rPr>
              <w:t>Group Mean</w:t>
            </w:r>
          </w:p>
        </w:tc>
        <w:tc>
          <w:tcPr>
            <w:tcW w:w="1249" w:type="dxa"/>
            <w:tcBorders>
              <w:top w:val="single" w:sz="4" w:space="0" w:color="auto"/>
              <w:bottom w:val="single" w:sz="4" w:space="0" w:color="auto"/>
            </w:tcBorders>
            <w:tcMar>
              <w:top w:w="55" w:type="dxa"/>
              <w:left w:w="65" w:type="dxa"/>
              <w:bottom w:w="55" w:type="dxa"/>
              <w:right w:w="65" w:type="dxa"/>
            </w:tcMar>
            <w:vAlign w:val="center"/>
          </w:tcPr>
          <w:p w14:paraId="08B23010" w14:textId="77777777" w:rsidR="004C250E" w:rsidRPr="005D5368" w:rsidRDefault="00000000">
            <w:pPr>
              <w:jc w:val="center"/>
              <w:rPr>
                <w:szCs w:val="32"/>
              </w:rPr>
            </w:pPr>
            <w:r w:rsidRPr="005D5368">
              <w:rPr>
                <w:b/>
                <w:color w:val="17232D"/>
                <w:szCs w:val="32"/>
              </w:rPr>
              <w:t>ToMe</w:t>
            </w:r>
          </w:p>
        </w:tc>
        <w:tc>
          <w:tcPr>
            <w:tcW w:w="1249" w:type="dxa"/>
            <w:tcBorders>
              <w:top w:val="single" w:sz="4" w:space="0" w:color="auto"/>
              <w:bottom w:val="single" w:sz="4" w:space="0" w:color="auto"/>
            </w:tcBorders>
            <w:tcMar>
              <w:top w:w="55" w:type="dxa"/>
              <w:left w:w="65" w:type="dxa"/>
              <w:bottom w:w="55" w:type="dxa"/>
              <w:right w:w="65" w:type="dxa"/>
            </w:tcMar>
            <w:vAlign w:val="center"/>
          </w:tcPr>
          <w:p w14:paraId="36EA89D0" w14:textId="77777777" w:rsidR="004C250E" w:rsidRPr="005D5368" w:rsidRDefault="00000000">
            <w:pPr>
              <w:jc w:val="center"/>
              <w:rPr>
                <w:szCs w:val="32"/>
              </w:rPr>
            </w:pPr>
            <w:r w:rsidRPr="005D5368">
              <w:rPr>
                <w:b/>
                <w:color w:val="17232D"/>
                <w:szCs w:val="32"/>
              </w:rPr>
              <w:t>Full-J oracle</w:t>
            </w:r>
          </w:p>
        </w:tc>
        <w:tc>
          <w:tcPr>
            <w:tcW w:w="1249" w:type="dxa"/>
            <w:tcBorders>
              <w:top w:val="single" w:sz="4" w:space="0" w:color="auto"/>
              <w:bottom w:val="single" w:sz="4" w:space="0" w:color="auto"/>
            </w:tcBorders>
            <w:tcMar>
              <w:top w:w="55" w:type="dxa"/>
              <w:left w:w="65" w:type="dxa"/>
              <w:bottom w:w="55" w:type="dxa"/>
              <w:right w:w="65" w:type="dxa"/>
            </w:tcMar>
            <w:vAlign w:val="center"/>
          </w:tcPr>
          <w:p w14:paraId="5EB5CCA6" w14:textId="77777777" w:rsidR="004C250E" w:rsidRPr="005D5368" w:rsidRDefault="00000000">
            <w:pPr>
              <w:jc w:val="center"/>
              <w:rPr>
                <w:szCs w:val="32"/>
              </w:rPr>
            </w:pPr>
            <w:r w:rsidRPr="005D5368">
              <w:rPr>
                <w:b/>
                <w:color w:val="17232D"/>
                <w:szCs w:val="32"/>
              </w:rPr>
              <w:t>Rank-16</w:t>
            </w:r>
          </w:p>
        </w:tc>
        <w:tc>
          <w:tcPr>
            <w:tcW w:w="1249" w:type="dxa"/>
            <w:tcBorders>
              <w:top w:val="single" w:sz="4" w:space="0" w:color="auto"/>
              <w:bottom w:val="single" w:sz="4" w:space="0" w:color="auto"/>
            </w:tcBorders>
            <w:tcMar>
              <w:top w:w="55" w:type="dxa"/>
              <w:left w:w="65" w:type="dxa"/>
              <w:bottom w:w="55" w:type="dxa"/>
              <w:right w:w="65" w:type="dxa"/>
            </w:tcMar>
            <w:vAlign w:val="center"/>
          </w:tcPr>
          <w:p w14:paraId="7F78DF35" w14:textId="77777777" w:rsidR="004C250E" w:rsidRPr="005D5368" w:rsidRDefault="00000000">
            <w:pPr>
              <w:jc w:val="center"/>
              <w:rPr>
                <w:szCs w:val="32"/>
              </w:rPr>
            </w:pPr>
            <w:r w:rsidRPr="005D5368">
              <w:rPr>
                <w:b/>
                <w:color w:val="17232D"/>
                <w:szCs w:val="32"/>
              </w:rPr>
              <w:t>Rank-32</w:t>
            </w:r>
          </w:p>
        </w:tc>
      </w:tr>
      <w:tr w:rsidR="004C250E" w14:paraId="1112368E" w14:textId="77777777" w:rsidTr="005D5368">
        <w:tc>
          <w:tcPr>
            <w:tcW w:w="1249" w:type="dxa"/>
            <w:tcBorders>
              <w:top w:val="single" w:sz="4" w:space="0" w:color="auto"/>
            </w:tcBorders>
            <w:tcMar>
              <w:top w:w="55" w:type="dxa"/>
              <w:left w:w="65" w:type="dxa"/>
              <w:bottom w:w="55" w:type="dxa"/>
              <w:right w:w="65" w:type="dxa"/>
            </w:tcMar>
            <w:vAlign w:val="center"/>
          </w:tcPr>
          <w:p w14:paraId="3FB10DC5" w14:textId="77777777" w:rsidR="004C250E" w:rsidRPr="005D5368" w:rsidRDefault="00000000">
            <w:pPr>
              <w:rPr>
                <w:szCs w:val="32"/>
              </w:rPr>
            </w:pPr>
            <w:r w:rsidRPr="005D5368">
              <w:rPr>
                <w:szCs w:val="32"/>
              </w:rPr>
              <w:t>DeiT-Tiny</w:t>
            </w:r>
          </w:p>
        </w:tc>
        <w:tc>
          <w:tcPr>
            <w:tcW w:w="1249" w:type="dxa"/>
            <w:tcBorders>
              <w:top w:val="single" w:sz="4" w:space="0" w:color="auto"/>
            </w:tcBorders>
            <w:tcMar>
              <w:top w:w="55" w:type="dxa"/>
              <w:left w:w="65" w:type="dxa"/>
              <w:bottom w:w="55" w:type="dxa"/>
              <w:right w:w="65" w:type="dxa"/>
            </w:tcMar>
            <w:vAlign w:val="center"/>
          </w:tcPr>
          <w:p w14:paraId="066A1ABB" w14:textId="77777777" w:rsidR="004C250E" w:rsidRPr="005D5368" w:rsidRDefault="00000000">
            <w:pPr>
              <w:jc w:val="center"/>
              <w:rPr>
                <w:szCs w:val="32"/>
              </w:rPr>
            </w:pPr>
            <w:r w:rsidRPr="005D5368">
              <w:rPr>
                <w:szCs w:val="32"/>
              </w:rPr>
              <w:t>32</w:t>
            </w:r>
          </w:p>
        </w:tc>
        <w:tc>
          <w:tcPr>
            <w:tcW w:w="1249" w:type="dxa"/>
            <w:tcBorders>
              <w:top w:val="single" w:sz="4" w:space="0" w:color="auto"/>
            </w:tcBorders>
            <w:tcMar>
              <w:top w:w="55" w:type="dxa"/>
              <w:left w:w="65" w:type="dxa"/>
              <w:bottom w:w="55" w:type="dxa"/>
              <w:right w:w="65" w:type="dxa"/>
            </w:tcMar>
            <w:vAlign w:val="center"/>
          </w:tcPr>
          <w:p w14:paraId="2F903B72" w14:textId="77777777" w:rsidR="004C250E" w:rsidRPr="005D5368" w:rsidRDefault="00000000">
            <w:pPr>
              <w:jc w:val="center"/>
              <w:rPr>
                <w:szCs w:val="32"/>
              </w:rPr>
            </w:pPr>
            <w:r w:rsidRPr="005D5368">
              <w:rPr>
                <w:szCs w:val="32"/>
              </w:rPr>
              <w:t>Random, 58.6%</w:t>
            </w:r>
          </w:p>
        </w:tc>
        <w:tc>
          <w:tcPr>
            <w:tcW w:w="1249" w:type="dxa"/>
            <w:tcBorders>
              <w:top w:val="single" w:sz="4" w:space="0" w:color="auto"/>
            </w:tcBorders>
            <w:tcMar>
              <w:top w:w="55" w:type="dxa"/>
              <w:left w:w="65" w:type="dxa"/>
              <w:bottom w:w="55" w:type="dxa"/>
              <w:right w:w="65" w:type="dxa"/>
            </w:tcMar>
            <w:vAlign w:val="center"/>
          </w:tcPr>
          <w:p w14:paraId="4B455124" w14:textId="77777777" w:rsidR="004C250E" w:rsidRPr="005D5368" w:rsidRDefault="00000000">
            <w:pPr>
              <w:jc w:val="center"/>
              <w:rPr>
                <w:szCs w:val="32"/>
              </w:rPr>
            </w:pPr>
            <w:r w:rsidRPr="005D5368">
              <w:rPr>
                <w:szCs w:val="32"/>
              </w:rPr>
              <w:t>66.5%</w:t>
            </w:r>
          </w:p>
        </w:tc>
        <w:tc>
          <w:tcPr>
            <w:tcW w:w="1249" w:type="dxa"/>
            <w:tcBorders>
              <w:top w:val="single" w:sz="4" w:space="0" w:color="auto"/>
            </w:tcBorders>
            <w:tcMar>
              <w:top w:w="55" w:type="dxa"/>
              <w:left w:w="65" w:type="dxa"/>
              <w:bottom w:w="55" w:type="dxa"/>
              <w:right w:w="65" w:type="dxa"/>
            </w:tcMar>
            <w:vAlign w:val="center"/>
          </w:tcPr>
          <w:p w14:paraId="3D46ABEB" w14:textId="77777777" w:rsidR="004C250E" w:rsidRPr="005D5368" w:rsidRDefault="00000000">
            <w:pPr>
              <w:jc w:val="center"/>
              <w:rPr>
                <w:szCs w:val="32"/>
              </w:rPr>
            </w:pPr>
            <w:r w:rsidRPr="005D5368">
              <w:rPr>
                <w:szCs w:val="32"/>
              </w:rPr>
              <w:t>65.8%</w:t>
            </w:r>
          </w:p>
        </w:tc>
        <w:tc>
          <w:tcPr>
            <w:tcW w:w="1249" w:type="dxa"/>
            <w:tcBorders>
              <w:top w:val="single" w:sz="4" w:space="0" w:color="auto"/>
            </w:tcBorders>
            <w:tcMar>
              <w:top w:w="55" w:type="dxa"/>
              <w:left w:w="65" w:type="dxa"/>
              <w:bottom w:w="55" w:type="dxa"/>
              <w:right w:w="65" w:type="dxa"/>
            </w:tcMar>
            <w:vAlign w:val="center"/>
          </w:tcPr>
          <w:p w14:paraId="5B3E280B" w14:textId="77777777" w:rsidR="004C250E" w:rsidRPr="005D5368" w:rsidRDefault="00000000">
            <w:pPr>
              <w:jc w:val="center"/>
              <w:rPr>
                <w:szCs w:val="32"/>
              </w:rPr>
            </w:pPr>
            <w:r w:rsidRPr="005D5368">
              <w:rPr>
                <w:szCs w:val="32"/>
              </w:rPr>
              <w:t>67.1%</w:t>
            </w:r>
          </w:p>
        </w:tc>
        <w:tc>
          <w:tcPr>
            <w:tcW w:w="1249" w:type="dxa"/>
            <w:tcBorders>
              <w:top w:val="single" w:sz="4" w:space="0" w:color="auto"/>
            </w:tcBorders>
            <w:tcMar>
              <w:top w:w="55" w:type="dxa"/>
              <w:left w:w="65" w:type="dxa"/>
              <w:bottom w:w="55" w:type="dxa"/>
              <w:right w:w="65" w:type="dxa"/>
            </w:tcMar>
            <w:vAlign w:val="center"/>
          </w:tcPr>
          <w:p w14:paraId="7A930762" w14:textId="77777777" w:rsidR="004C250E" w:rsidRPr="005D5368" w:rsidRDefault="00000000">
            <w:pPr>
              <w:jc w:val="center"/>
              <w:rPr>
                <w:szCs w:val="32"/>
              </w:rPr>
            </w:pPr>
            <w:r w:rsidRPr="005D5368">
              <w:rPr>
                <w:szCs w:val="32"/>
              </w:rPr>
              <w:t>67.1%</w:t>
            </w:r>
          </w:p>
        </w:tc>
        <w:tc>
          <w:tcPr>
            <w:tcW w:w="1249" w:type="dxa"/>
            <w:tcBorders>
              <w:top w:val="single" w:sz="4" w:space="0" w:color="auto"/>
            </w:tcBorders>
            <w:tcMar>
              <w:top w:w="55" w:type="dxa"/>
              <w:left w:w="65" w:type="dxa"/>
              <w:bottom w:w="55" w:type="dxa"/>
              <w:right w:w="65" w:type="dxa"/>
            </w:tcMar>
            <w:vAlign w:val="center"/>
          </w:tcPr>
          <w:p w14:paraId="758F2F30" w14:textId="77777777" w:rsidR="004C250E" w:rsidRPr="005D5368" w:rsidRDefault="00000000">
            <w:pPr>
              <w:jc w:val="center"/>
              <w:rPr>
                <w:szCs w:val="32"/>
              </w:rPr>
            </w:pPr>
            <w:r w:rsidRPr="005D5368">
              <w:rPr>
                <w:szCs w:val="32"/>
              </w:rPr>
              <w:t>67.9%</w:t>
            </w:r>
          </w:p>
        </w:tc>
      </w:tr>
      <w:tr w:rsidR="004C250E" w14:paraId="646C3173" w14:textId="77777777" w:rsidTr="005D5368">
        <w:tc>
          <w:tcPr>
            <w:tcW w:w="1249" w:type="dxa"/>
            <w:tcMar>
              <w:top w:w="55" w:type="dxa"/>
              <w:left w:w="65" w:type="dxa"/>
              <w:bottom w:w="55" w:type="dxa"/>
              <w:right w:w="65" w:type="dxa"/>
            </w:tcMar>
            <w:vAlign w:val="center"/>
          </w:tcPr>
          <w:p w14:paraId="02C3B1A4" w14:textId="77777777" w:rsidR="004C250E" w:rsidRPr="005D5368" w:rsidRDefault="00000000">
            <w:pPr>
              <w:rPr>
                <w:szCs w:val="32"/>
              </w:rPr>
            </w:pPr>
            <w:r w:rsidRPr="005D5368">
              <w:rPr>
                <w:szCs w:val="32"/>
              </w:rPr>
              <w:t>DeiT-Small</w:t>
            </w:r>
          </w:p>
        </w:tc>
        <w:tc>
          <w:tcPr>
            <w:tcW w:w="1249" w:type="dxa"/>
            <w:tcMar>
              <w:top w:w="55" w:type="dxa"/>
              <w:left w:w="65" w:type="dxa"/>
              <w:bottom w:w="55" w:type="dxa"/>
              <w:right w:w="65" w:type="dxa"/>
            </w:tcMar>
            <w:vAlign w:val="center"/>
          </w:tcPr>
          <w:p w14:paraId="2882A211" w14:textId="77777777" w:rsidR="004C250E" w:rsidRPr="005D5368" w:rsidRDefault="00000000">
            <w:pPr>
              <w:jc w:val="center"/>
              <w:rPr>
                <w:szCs w:val="32"/>
              </w:rPr>
            </w:pPr>
            <w:r w:rsidRPr="005D5368">
              <w:rPr>
                <w:szCs w:val="32"/>
              </w:rPr>
              <w:t>32</w:t>
            </w:r>
          </w:p>
        </w:tc>
        <w:tc>
          <w:tcPr>
            <w:tcW w:w="1249" w:type="dxa"/>
            <w:tcMar>
              <w:top w:w="55" w:type="dxa"/>
              <w:left w:w="65" w:type="dxa"/>
              <w:bottom w:w="55" w:type="dxa"/>
              <w:right w:w="65" w:type="dxa"/>
            </w:tcMar>
            <w:vAlign w:val="center"/>
          </w:tcPr>
          <w:p w14:paraId="36903694" w14:textId="77777777" w:rsidR="004C250E" w:rsidRPr="005D5368" w:rsidRDefault="00000000">
            <w:pPr>
              <w:jc w:val="center"/>
              <w:rPr>
                <w:szCs w:val="32"/>
              </w:rPr>
            </w:pPr>
            <w:r w:rsidRPr="005D5368">
              <w:rPr>
                <w:szCs w:val="32"/>
              </w:rPr>
              <w:t>Attention, 71.6%</w:t>
            </w:r>
          </w:p>
        </w:tc>
        <w:tc>
          <w:tcPr>
            <w:tcW w:w="1249" w:type="dxa"/>
            <w:tcMar>
              <w:top w:w="55" w:type="dxa"/>
              <w:left w:w="65" w:type="dxa"/>
              <w:bottom w:w="55" w:type="dxa"/>
              <w:right w:w="65" w:type="dxa"/>
            </w:tcMar>
            <w:vAlign w:val="center"/>
          </w:tcPr>
          <w:p w14:paraId="558A926C" w14:textId="77777777" w:rsidR="004C250E" w:rsidRPr="005D5368" w:rsidRDefault="00000000">
            <w:pPr>
              <w:jc w:val="center"/>
              <w:rPr>
                <w:szCs w:val="32"/>
              </w:rPr>
            </w:pPr>
            <w:r w:rsidRPr="005D5368">
              <w:rPr>
                <w:szCs w:val="32"/>
              </w:rPr>
              <w:t>76.4%</w:t>
            </w:r>
          </w:p>
        </w:tc>
        <w:tc>
          <w:tcPr>
            <w:tcW w:w="1249" w:type="dxa"/>
            <w:tcMar>
              <w:top w:w="55" w:type="dxa"/>
              <w:left w:w="65" w:type="dxa"/>
              <w:bottom w:w="55" w:type="dxa"/>
              <w:right w:w="65" w:type="dxa"/>
            </w:tcMar>
            <w:vAlign w:val="center"/>
          </w:tcPr>
          <w:p w14:paraId="40201E17" w14:textId="77777777" w:rsidR="004C250E" w:rsidRPr="005D5368" w:rsidRDefault="00000000">
            <w:pPr>
              <w:jc w:val="center"/>
              <w:rPr>
                <w:szCs w:val="32"/>
              </w:rPr>
            </w:pPr>
            <w:r w:rsidRPr="005D5368">
              <w:rPr>
                <w:szCs w:val="32"/>
              </w:rPr>
              <w:t>76.4%</w:t>
            </w:r>
          </w:p>
        </w:tc>
        <w:tc>
          <w:tcPr>
            <w:tcW w:w="1249" w:type="dxa"/>
            <w:tcMar>
              <w:top w:w="55" w:type="dxa"/>
              <w:left w:w="65" w:type="dxa"/>
              <w:bottom w:w="55" w:type="dxa"/>
              <w:right w:w="65" w:type="dxa"/>
            </w:tcMar>
            <w:vAlign w:val="center"/>
          </w:tcPr>
          <w:p w14:paraId="2B2F1E91" w14:textId="77777777" w:rsidR="004C250E" w:rsidRPr="005D5368" w:rsidRDefault="00000000">
            <w:pPr>
              <w:jc w:val="center"/>
              <w:rPr>
                <w:szCs w:val="32"/>
              </w:rPr>
            </w:pPr>
            <w:r w:rsidRPr="005D5368">
              <w:rPr>
                <w:szCs w:val="32"/>
              </w:rPr>
              <w:t>75.8%</w:t>
            </w:r>
          </w:p>
        </w:tc>
        <w:tc>
          <w:tcPr>
            <w:tcW w:w="1249" w:type="dxa"/>
            <w:tcMar>
              <w:top w:w="55" w:type="dxa"/>
              <w:left w:w="65" w:type="dxa"/>
              <w:bottom w:w="55" w:type="dxa"/>
              <w:right w:w="65" w:type="dxa"/>
            </w:tcMar>
            <w:vAlign w:val="center"/>
          </w:tcPr>
          <w:p w14:paraId="49B45BB8" w14:textId="77777777" w:rsidR="004C250E" w:rsidRPr="005D5368" w:rsidRDefault="00000000">
            <w:pPr>
              <w:jc w:val="center"/>
              <w:rPr>
                <w:szCs w:val="32"/>
              </w:rPr>
            </w:pPr>
            <w:r w:rsidRPr="005D5368">
              <w:rPr>
                <w:szCs w:val="32"/>
              </w:rPr>
              <w:t>76.5%</w:t>
            </w:r>
          </w:p>
        </w:tc>
        <w:tc>
          <w:tcPr>
            <w:tcW w:w="1249" w:type="dxa"/>
            <w:tcMar>
              <w:top w:w="55" w:type="dxa"/>
              <w:left w:w="65" w:type="dxa"/>
              <w:bottom w:w="55" w:type="dxa"/>
              <w:right w:w="65" w:type="dxa"/>
            </w:tcMar>
            <w:vAlign w:val="center"/>
          </w:tcPr>
          <w:p w14:paraId="272F80C8" w14:textId="77777777" w:rsidR="004C250E" w:rsidRPr="005D5368" w:rsidRDefault="00000000">
            <w:pPr>
              <w:jc w:val="center"/>
              <w:rPr>
                <w:szCs w:val="32"/>
              </w:rPr>
            </w:pPr>
            <w:r w:rsidRPr="005D5368">
              <w:rPr>
                <w:szCs w:val="32"/>
              </w:rPr>
              <w:t>76.5%</w:t>
            </w:r>
          </w:p>
        </w:tc>
      </w:tr>
      <w:tr w:rsidR="004C250E" w14:paraId="740FC707" w14:textId="77777777" w:rsidTr="005D5368">
        <w:tc>
          <w:tcPr>
            <w:tcW w:w="1249" w:type="dxa"/>
            <w:tcMar>
              <w:top w:w="55" w:type="dxa"/>
              <w:left w:w="65" w:type="dxa"/>
              <w:bottom w:w="55" w:type="dxa"/>
              <w:right w:w="65" w:type="dxa"/>
            </w:tcMar>
            <w:vAlign w:val="center"/>
          </w:tcPr>
          <w:p w14:paraId="25B1FCD8" w14:textId="77777777" w:rsidR="004C250E" w:rsidRPr="005D5368" w:rsidRDefault="00000000">
            <w:pPr>
              <w:rPr>
                <w:szCs w:val="32"/>
              </w:rPr>
            </w:pPr>
            <w:r w:rsidRPr="005D5368">
              <w:rPr>
                <w:szCs w:val="32"/>
              </w:rPr>
              <w:t>ViT-B/16 AugReg</w:t>
            </w:r>
          </w:p>
        </w:tc>
        <w:tc>
          <w:tcPr>
            <w:tcW w:w="1249" w:type="dxa"/>
            <w:tcMar>
              <w:top w:w="55" w:type="dxa"/>
              <w:left w:w="65" w:type="dxa"/>
              <w:bottom w:w="55" w:type="dxa"/>
              <w:right w:w="65" w:type="dxa"/>
            </w:tcMar>
            <w:vAlign w:val="center"/>
          </w:tcPr>
          <w:p w14:paraId="383DABCF" w14:textId="77777777" w:rsidR="004C250E" w:rsidRPr="005D5368" w:rsidRDefault="00000000">
            <w:pPr>
              <w:jc w:val="center"/>
              <w:rPr>
                <w:szCs w:val="32"/>
              </w:rPr>
            </w:pPr>
            <w:r w:rsidRPr="005D5368">
              <w:rPr>
                <w:szCs w:val="32"/>
              </w:rPr>
              <w:t>32</w:t>
            </w:r>
          </w:p>
        </w:tc>
        <w:tc>
          <w:tcPr>
            <w:tcW w:w="1249" w:type="dxa"/>
            <w:tcMar>
              <w:top w:w="55" w:type="dxa"/>
              <w:left w:w="65" w:type="dxa"/>
              <w:bottom w:w="55" w:type="dxa"/>
              <w:right w:w="65" w:type="dxa"/>
            </w:tcMar>
            <w:vAlign w:val="center"/>
          </w:tcPr>
          <w:p w14:paraId="30F4E6A9" w14:textId="77777777" w:rsidR="004C250E" w:rsidRPr="005D5368" w:rsidRDefault="00000000">
            <w:pPr>
              <w:jc w:val="center"/>
              <w:rPr>
                <w:szCs w:val="32"/>
              </w:rPr>
            </w:pPr>
            <w:r w:rsidRPr="005D5368">
              <w:rPr>
                <w:szCs w:val="32"/>
              </w:rPr>
              <w:t>Random, 69.2%</w:t>
            </w:r>
          </w:p>
        </w:tc>
        <w:tc>
          <w:tcPr>
            <w:tcW w:w="1249" w:type="dxa"/>
            <w:tcMar>
              <w:top w:w="55" w:type="dxa"/>
              <w:left w:w="65" w:type="dxa"/>
              <w:bottom w:w="55" w:type="dxa"/>
              <w:right w:w="65" w:type="dxa"/>
            </w:tcMar>
            <w:vAlign w:val="center"/>
          </w:tcPr>
          <w:p w14:paraId="3E41BFA8" w14:textId="77777777" w:rsidR="004C250E" w:rsidRPr="005D5368" w:rsidRDefault="00000000">
            <w:pPr>
              <w:jc w:val="center"/>
              <w:rPr>
                <w:szCs w:val="32"/>
              </w:rPr>
            </w:pPr>
            <w:r w:rsidRPr="005D5368">
              <w:rPr>
                <w:szCs w:val="32"/>
              </w:rPr>
              <w:t>73.2%</w:t>
            </w:r>
          </w:p>
        </w:tc>
        <w:tc>
          <w:tcPr>
            <w:tcW w:w="1249" w:type="dxa"/>
            <w:tcMar>
              <w:top w:w="55" w:type="dxa"/>
              <w:left w:w="65" w:type="dxa"/>
              <w:bottom w:w="55" w:type="dxa"/>
              <w:right w:w="65" w:type="dxa"/>
            </w:tcMar>
            <w:vAlign w:val="center"/>
          </w:tcPr>
          <w:p w14:paraId="7B6256D6" w14:textId="77777777" w:rsidR="004C250E" w:rsidRPr="005D5368" w:rsidRDefault="00000000">
            <w:pPr>
              <w:jc w:val="center"/>
              <w:rPr>
                <w:szCs w:val="32"/>
              </w:rPr>
            </w:pPr>
            <w:r w:rsidRPr="005D5368">
              <w:rPr>
                <w:szCs w:val="32"/>
              </w:rPr>
              <w:t>73.0%</w:t>
            </w:r>
          </w:p>
        </w:tc>
        <w:tc>
          <w:tcPr>
            <w:tcW w:w="1249" w:type="dxa"/>
            <w:tcMar>
              <w:top w:w="55" w:type="dxa"/>
              <w:left w:w="65" w:type="dxa"/>
              <w:bottom w:w="55" w:type="dxa"/>
              <w:right w:w="65" w:type="dxa"/>
            </w:tcMar>
            <w:vAlign w:val="center"/>
          </w:tcPr>
          <w:p w14:paraId="06AA4289" w14:textId="77777777" w:rsidR="004C250E" w:rsidRPr="005D5368" w:rsidRDefault="00000000">
            <w:pPr>
              <w:jc w:val="center"/>
              <w:rPr>
                <w:szCs w:val="32"/>
              </w:rPr>
            </w:pPr>
            <w:r w:rsidRPr="005D5368">
              <w:rPr>
                <w:szCs w:val="32"/>
              </w:rPr>
              <w:t>74.4%</w:t>
            </w:r>
          </w:p>
        </w:tc>
        <w:tc>
          <w:tcPr>
            <w:tcW w:w="1249" w:type="dxa"/>
            <w:tcMar>
              <w:top w:w="55" w:type="dxa"/>
              <w:left w:w="65" w:type="dxa"/>
              <w:bottom w:w="55" w:type="dxa"/>
              <w:right w:w="65" w:type="dxa"/>
            </w:tcMar>
            <w:vAlign w:val="center"/>
          </w:tcPr>
          <w:p w14:paraId="4CC73FBC" w14:textId="77777777" w:rsidR="004C250E" w:rsidRPr="005D5368" w:rsidRDefault="00000000">
            <w:pPr>
              <w:jc w:val="center"/>
              <w:rPr>
                <w:szCs w:val="32"/>
              </w:rPr>
            </w:pPr>
            <w:r w:rsidRPr="005D5368">
              <w:rPr>
                <w:szCs w:val="32"/>
              </w:rPr>
              <w:t>73.7%</w:t>
            </w:r>
          </w:p>
        </w:tc>
        <w:tc>
          <w:tcPr>
            <w:tcW w:w="1249" w:type="dxa"/>
            <w:tcMar>
              <w:top w:w="55" w:type="dxa"/>
              <w:left w:w="65" w:type="dxa"/>
              <w:bottom w:w="55" w:type="dxa"/>
              <w:right w:w="65" w:type="dxa"/>
            </w:tcMar>
            <w:vAlign w:val="center"/>
          </w:tcPr>
          <w:p w14:paraId="12E4F175" w14:textId="77777777" w:rsidR="004C250E" w:rsidRPr="005D5368" w:rsidRDefault="00000000">
            <w:pPr>
              <w:jc w:val="center"/>
              <w:rPr>
                <w:szCs w:val="32"/>
              </w:rPr>
            </w:pPr>
            <w:r w:rsidRPr="005D5368">
              <w:rPr>
                <w:szCs w:val="32"/>
              </w:rPr>
              <w:t>74.2%</w:t>
            </w:r>
          </w:p>
        </w:tc>
      </w:tr>
      <w:tr w:rsidR="004C250E" w14:paraId="56DEBADF" w14:textId="77777777" w:rsidTr="005D5368">
        <w:tc>
          <w:tcPr>
            <w:tcW w:w="1249" w:type="dxa"/>
            <w:tcBorders>
              <w:bottom w:val="single" w:sz="4" w:space="0" w:color="auto"/>
            </w:tcBorders>
            <w:tcMar>
              <w:top w:w="55" w:type="dxa"/>
              <w:left w:w="65" w:type="dxa"/>
              <w:bottom w:w="55" w:type="dxa"/>
              <w:right w:w="65" w:type="dxa"/>
            </w:tcMar>
            <w:vAlign w:val="center"/>
          </w:tcPr>
          <w:p w14:paraId="1C535A38" w14:textId="77777777" w:rsidR="004C250E" w:rsidRPr="005D5368" w:rsidRDefault="00000000">
            <w:pPr>
              <w:rPr>
                <w:szCs w:val="32"/>
              </w:rPr>
            </w:pPr>
            <w:r w:rsidRPr="005D5368">
              <w:rPr>
                <w:szCs w:val="32"/>
              </w:rPr>
              <w:t>DINOv2 ViT-S/14</w:t>
            </w:r>
          </w:p>
        </w:tc>
        <w:tc>
          <w:tcPr>
            <w:tcW w:w="1249" w:type="dxa"/>
            <w:tcBorders>
              <w:bottom w:val="single" w:sz="4" w:space="0" w:color="auto"/>
            </w:tcBorders>
            <w:tcMar>
              <w:top w:w="55" w:type="dxa"/>
              <w:left w:w="65" w:type="dxa"/>
              <w:bottom w:w="55" w:type="dxa"/>
              <w:right w:w="65" w:type="dxa"/>
            </w:tcMar>
            <w:vAlign w:val="center"/>
          </w:tcPr>
          <w:p w14:paraId="44B8E7CA" w14:textId="77777777" w:rsidR="004C250E" w:rsidRPr="005D5368" w:rsidRDefault="00000000">
            <w:pPr>
              <w:jc w:val="center"/>
              <w:rPr>
                <w:szCs w:val="32"/>
              </w:rPr>
            </w:pPr>
            <w:r w:rsidRPr="005D5368">
              <w:rPr>
                <w:szCs w:val="32"/>
              </w:rPr>
              <w:t>42</w:t>
            </w:r>
          </w:p>
        </w:tc>
        <w:tc>
          <w:tcPr>
            <w:tcW w:w="1249" w:type="dxa"/>
            <w:tcBorders>
              <w:bottom w:val="single" w:sz="4" w:space="0" w:color="auto"/>
            </w:tcBorders>
            <w:tcMar>
              <w:top w:w="55" w:type="dxa"/>
              <w:left w:w="65" w:type="dxa"/>
              <w:bottom w:w="55" w:type="dxa"/>
              <w:right w:w="65" w:type="dxa"/>
            </w:tcMar>
            <w:vAlign w:val="center"/>
          </w:tcPr>
          <w:p w14:paraId="04A11B3C" w14:textId="77777777" w:rsidR="004C250E" w:rsidRPr="005D5368" w:rsidRDefault="00000000">
            <w:pPr>
              <w:jc w:val="center"/>
              <w:rPr>
                <w:szCs w:val="32"/>
              </w:rPr>
            </w:pPr>
            <w:r w:rsidRPr="005D5368">
              <w:rPr>
                <w:szCs w:val="32"/>
              </w:rPr>
              <w:t>Random, 61.5%</w:t>
            </w:r>
          </w:p>
        </w:tc>
        <w:tc>
          <w:tcPr>
            <w:tcW w:w="1249" w:type="dxa"/>
            <w:tcBorders>
              <w:bottom w:val="single" w:sz="4" w:space="0" w:color="auto"/>
            </w:tcBorders>
            <w:tcMar>
              <w:top w:w="55" w:type="dxa"/>
              <w:left w:w="65" w:type="dxa"/>
              <w:bottom w:w="55" w:type="dxa"/>
              <w:right w:w="65" w:type="dxa"/>
            </w:tcMar>
            <w:vAlign w:val="center"/>
          </w:tcPr>
          <w:p w14:paraId="339E8106" w14:textId="77777777" w:rsidR="004C250E" w:rsidRPr="005D5368" w:rsidRDefault="00000000">
            <w:pPr>
              <w:jc w:val="center"/>
              <w:rPr>
                <w:szCs w:val="32"/>
              </w:rPr>
            </w:pPr>
            <w:r w:rsidRPr="005D5368">
              <w:rPr>
                <w:szCs w:val="32"/>
              </w:rPr>
              <w:t>72.2%</w:t>
            </w:r>
          </w:p>
        </w:tc>
        <w:tc>
          <w:tcPr>
            <w:tcW w:w="1249" w:type="dxa"/>
            <w:tcBorders>
              <w:bottom w:val="single" w:sz="4" w:space="0" w:color="auto"/>
            </w:tcBorders>
            <w:tcMar>
              <w:top w:w="55" w:type="dxa"/>
              <w:left w:w="65" w:type="dxa"/>
              <w:bottom w:w="55" w:type="dxa"/>
              <w:right w:w="65" w:type="dxa"/>
            </w:tcMar>
            <w:vAlign w:val="center"/>
          </w:tcPr>
          <w:p w14:paraId="62C88DCE" w14:textId="77777777" w:rsidR="004C250E" w:rsidRPr="005D5368" w:rsidRDefault="00000000">
            <w:pPr>
              <w:jc w:val="center"/>
              <w:rPr>
                <w:szCs w:val="32"/>
              </w:rPr>
            </w:pPr>
            <w:r w:rsidRPr="005D5368">
              <w:rPr>
                <w:szCs w:val="32"/>
              </w:rPr>
              <w:t>69.4%</w:t>
            </w:r>
          </w:p>
        </w:tc>
        <w:tc>
          <w:tcPr>
            <w:tcW w:w="1249" w:type="dxa"/>
            <w:tcBorders>
              <w:bottom w:val="single" w:sz="4" w:space="0" w:color="auto"/>
            </w:tcBorders>
            <w:tcMar>
              <w:top w:w="55" w:type="dxa"/>
              <w:left w:w="65" w:type="dxa"/>
              <w:bottom w:w="55" w:type="dxa"/>
              <w:right w:w="65" w:type="dxa"/>
            </w:tcMar>
            <w:vAlign w:val="center"/>
          </w:tcPr>
          <w:p w14:paraId="42F514BE" w14:textId="77777777" w:rsidR="004C250E" w:rsidRPr="005D5368" w:rsidRDefault="00000000">
            <w:pPr>
              <w:jc w:val="center"/>
              <w:rPr>
                <w:szCs w:val="32"/>
              </w:rPr>
            </w:pPr>
            <w:r w:rsidRPr="005D5368">
              <w:rPr>
                <w:szCs w:val="32"/>
              </w:rPr>
              <w:t>73.5%</w:t>
            </w:r>
          </w:p>
        </w:tc>
        <w:tc>
          <w:tcPr>
            <w:tcW w:w="1249" w:type="dxa"/>
            <w:tcBorders>
              <w:bottom w:val="single" w:sz="4" w:space="0" w:color="auto"/>
            </w:tcBorders>
            <w:tcMar>
              <w:top w:w="55" w:type="dxa"/>
              <w:left w:w="65" w:type="dxa"/>
              <w:bottom w:w="55" w:type="dxa"/>
              <w:right w:w="65" w:type="dxa"/>
            </w:tcMar>
            <w:vAlign w:val="center"/>
          </w:tcPr>
          <w:p w14:paraId="4F298EFF" w14:textId="77777777" w:rsidR="004C250E" w:rsidRPr="005D5368" w:rsidRDefault="00000000">
            <w:pPr>
              <w:jc w:val="center"/>
              <w:rPr>
                <w:szCs w:val="32"/>
              </w:rPr>
            </w:pPr>
            <w:r w:rsidRPr="005D5368">
              <w:rPr>
                <w:szCs w:val="32"/>
              </w:rPr>
              <w:t>73.2%</w:t>
            </w:r>
          </w:p>
        </w:tc>
        <w:tc>
          <w:tcPr>
            <w:tcW w:w="1249" w:type="dxa"/>
            <w:tcBorders>
              <w:bottom w:val="single" w:sz="4" w:space="0" w:color="auto"/>
            </w:tcBorders>
            <w:tcMar>
              <w:top w:w="55" w:type="dxa"/>
              <w:left w:w="65" w:type="dxa"/>
              <w:bottom w:w="55" w:type="dxa"/>
              <w:right w:w="65" w:type="dxa"/>
            </w:tcMar>
            <w:vAlign w:val="center"/>
          </w:tcPr>
          <w:p w14:paraId="085F9B8A" w14:textId="77777777" w:rsidR="004C250E" w:rsidRPr="005D5368" w:rsidRDefault="00000000">
            <w:pPr>
              <w:jc w:val="center"/>
              <w:rPr>
                <w:szCs w:val="32"/>
              </w:rPr>
            </w:pPr>
            <w:r w:rsidRPr="005D5368">
              <w:rPr>
                <w:szCs w:val="32"/>
              </w:rPr>
              <w:t>73.0%</w:t>
            </w:r>
          </w:p>
        </w:tc>
      </w:tr>
    </w:tbl>
    <w:p w14:paraId="39B3F0A0" w14:textId="77777777" w:rsidR="004C250E" w:rsidRDefault="004C250E">
      <w:pPr>
        <w:spacing w:after="20"/>
      </w:pPr>
    </w:p>
    <w:p w14:paraId="47230E61" w14:textId="77777777" w:rsidR="004C250E" w:rsidRDefault="00000000">
      <w:pPr>
        <w:spacing w:after="100" w:line="259" w:lineRule="auto"/>
      </w:pPr>
      <w:r>
        <w:t>A same-group control compares Group Mean and Operator-Aware carriers on the same image, at the same token budget, with identical assignments S. For primary feature-similarity grouping, the same-image, same-budget difference in linearized operator residual (Group Mean minus Operator-Aware) is positive on all 20,000 image-by-budget rows; averaging equally over five budgets and 1,000 held-out images per architecture gives mean Δ of 1.27 (DeiT-Tiny), 1.48 (DeiT-Small), 2.53 (ViT-B/16 AugReg), and 7.20 (DINOv2 ViT-S/14). These are descriptive operator-residual contrasts with images reused across budgets, not a significance test or evidence that Top-1 or nonlinear final-logit damage must improve. The accuracy comparisons in Table IV remain architecture- and budget-dependent: for example, Group Mean and ToMe tie for DeiT-Small at the most aggressive budget, while their ordering differs elsewhere. Across the evaluated method, budget, and seed conditions, operator residual ‖J E‖ is associated with measured logit-L2 distortion: per-architecture Pearson r ranges from 0.739 to 0.866, and Spearman ρ ranges from 0.792 to 0.916. Because the same held-out cohort is reused across conditions, this is a condition-level association rather than an image-level generalization estimate. Rank-16 and rank-32 outcomes vary by architecture and budget; the confirmatory data do not support a universal recovery fraction. Figure 8 reports the measured accuracy-token curves, while Table IV lists rank-16 and rank-32 Top-1 at each architecture's most aggressive tested budget.</w:t>
      </w:r>
    </w:p>
    <w:p w14:paraId="26EB7A6E" w14:textId="77777777" w:rsidR="004C250E" w:rsidRDefault="00000000">
      <w:pPr>
        <w:keepNext/>
        <w:keepLines/>
        <w:spacing w:after="20"/>
        <w:jc w:val="center"/>
      </w:pPr>
      <w:r>
        <w:rPr>
          <w:noProof/>
        </w:rPr>
        <w:lastRenderedPageBreak/>
        <w:drawing>
          <wp:inline distT="0" distB="0" distL="0" distR="0" wp14:anchorId="0E35E398" wp14:editId="4468E734">
            <wp:extent cx="6172200" cy="36638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operator_compression.png"/>
                    <pic:cNvPicPr/>
                  </pic:nvPicPr>
                  <pic:blipFill>
                    <a:blip r:embed="rId13"/>
                    <a:stretch>
                      <a:fillRect/>
                    </a:stretch>
                  </pic:blipFill>
                  <pic:spPr>
                    <a:xfrm>
                      <a:off x="0" y="0"/>
                      <a:ext cx="6172200" cy="3663846"/>
                    </a:xfrm>
                    <a:prstGeom prst="rect">
                      <a:avLst/>
                    </a:prstGeom>
                  </pic:spPr>
                </pic:pic>
              </a:graphicData>
            </a:graphic>
          </wp:inline>
        </w:drawing>
      </w:r>
    </w:p>
    <w:p w14:paraId="32C4839C" w14:textId="77777777" w:rsidR="004C250E" w:rsidRDefault="00000000">
      <w:pPr>
        <w:keepLines/>
        <w:spacing w:after="80"/>
        <w:jc w:val="center"/>
      </w:pPr>
      <w:r>
        <w:rPr>
          <w:i/>
          <w:color w:val="4C5963"/>
          <w:sz w:val="17"/>
        </w:rPr>
        <w:t>Figure 8. Confirmatory Top-1 accuracy versus retained patch-token fraction for four architectures. Curves show pruning, Group Mean, ToMe, the full-J oracle, and rank-32; rank-16 Top-1 is listed in Table IV at the most aggressive tested budget. Each architecture uses N=1,000 held-out images.</w:t>
      </w:r>
    </w:p>
    <w:p w14:paraId="37F9D39C" w14:textId="77777777" w:rsidR="004C250E" w:rsidRDefault="00000000">
      <w:pPr>
        <w:spacing w:after="100" w:line="259" w:lineRule="auto"/>
      </w:pPr>
      <w:r>
        <w:t>The Full-J formulation is evaluated as an offline, image-conditioned oracle rather than a deployable efficient-inference algorithm. Calibration-frozen carrier approximations and measured accuracy–throughput tradeoffs are evaluated separately in Supplementary Section S13; these experiments do not establish a general deployment advantage.</w:t>
      </w:r>
    </w:p>
    <w:p w14:paraId="0637DCA5" w14:textId="77777777" w:rsidR="004C250E" w:rsidRDefault="00000000">
      <w:pPr>
        <w:pStyle w:val="Heading1"/>
      </w:pPr>
      <w:r>
        <w:rPr>
          <w:rFonts w:ascii="Times New Roman" w:hAnsi="Times New Roman"/>
        </w:rPr>
        <w:t>7. Limitations</w:t>
      </w:r>
    </w:p>
    <w:p w14:paraId="281858AB" w14:textId="77777777" w:rsidR="004C250E" w:rsidRDefault="00000000">
      <w:pPr>
        <w:spacing w:after="100" w:line="259" w:lineRule="auto"/>
      </w:pPr>
      <w:r>
        <w:t>Mechanistic evidence comes from finite, protocol-specific cohorts in Table I and four pretrained ViT families evaluated on one ImageNet validation subset; broader model and task coverage remains untested. The exploratory joint-stream grid reuses its N=100 images for direction estimation and response measurement, so it is descriptive rather than held out. The margin-gradient and readout-Jacobian analyses characterize local, first-order behavior, and a threshold-defined near-null fraction does not establish exact nonlinear invariance. Full-J requires a per-image Jacobian and is an offline oracle. The practical-carrier and operator-space studies use distinct protocols and endpoints, while measured full-model runtime is specific to the tested hardware, batch sizes, and implementations. The evidence does not establish a general deployment advantage.</w:t>
      </w:r>
    </w:p>
    <w:p w14:paraId="490E70D6" w14:textId="77777777" w:rsidR="004C250E" w:rsidRDefault="00000000">
      <w:pPr>
        <w:pStyle w:val="Heading1"/>
      </w:pPr>
      <w:r>
        <w:rPr>
          <w:rFonts w:ascii="Times New Roman" w:hAnsi="Times New Roman"/>
        </w:rPr>
        <w:t>8. Conclusion</w:t>
      </w:r>
    </w:p>
    <w:p w14:paraId="4A0B9DFB" w14:textId="77777777" w:rsidR="004C250E" w:rsidRDefault="00000000">
      <w:pPr>
        <w:spacing w:after="100" w:line="259" w:lineRule="auto"/>
      </w:pPr>
      <w:r>
        <w:t>Across four tested ViT families, late-layer patch content is conditionally replaceable under feature-geometry and token-position-diversity constraints. The mechanistic evidence links this fixed-slot intervention to architecture-dependent functional sensitivity, coherent Value-path accumulation and cancellation, and depth-varying effective rank. End-to-end Jacobian predictions are more strongly associated with measured damage than single-block predictions under the tested mixture of 100 perturbation vectors per model. In the separate confirmatory compression benchmark, operator-aware variants exceed the strongest pruning baselines by 4.2–12.0 percentage points at the most aggressive tested budgets, but ToMe remains competitive, Group Mean is not uniformly worse, and rank-restricted outcomes vary across architectures. The bounded compression result uses an offline, image-conditioned Full-J oracle; practical carrier evidence is summarized in Supplementary Section S13, and the available measurements do not establish a general deployment advantage.</w:t>
      </w:r>
    </w:p>
    <w:p w14:paraId="3AB870AA" w14:textId="77777777" w:rsidR="004C250E" w:rsidRDefault="00000000">
      <w:pPr>
        <w:pStyle w:val="Heading1"/>
      </w:pPr>
      <w:r>
        <w:rPr>
          <w:rFonts w:ascii="Times New Roman" w:hAnsi="Times New Roman"/>
        </w:rPr>
        <w:lastRenderedPageBreak/>
        <w:t>Reproducibility and Evidence</w:t>
      </w:r>
    </w:p>
    <w:p w14:paraId="50C6F25D" w14:textId="77777777" w:rsidR="004C250E" w:rsidRDefault="00000000">
      <w:pPr>
        <w:spacing w:after="100" w:line="259" w:lineRule="auto"/>
      </w:pPr>
      <w:r>
        <w:t>Code and audited data supporting the confirmatory compression and real classifier-carrier benchmarks are available in the [Patch-Content-Fungibility repository](https://github.com/nhatminh-115/Patch-Content-Fungibility).</w:t>
      </w:r>
    </w:p>
    <w:p w14:paraId="7B4CB3FF" w14:textId="77777777" w:rsidR="004C250E" w:rsidRDefault="00000000">
      <w:pPr>
        <w:pStyle w:val="Heading1"/>
      </w:pPr>
      <w:r>
        <w:t>References</w:t>
      </w:r>
    </w:p>
    <w:p w14:paraId="48A23226" w14:textId="77777777" w:rsidR="004C250E" w:rsidRDefault="00000000">
      <w:pPr>
        <w:spacing w:after="80" w:line="240" w:lineRule="auto"/>
        <w:ind w:left="403" w:hanging="403"/>
      </w:pPr>
      <w:r>
        <w:rPr>
          <w:color w:val="26343D"/>
          <w:sz w:val="17"/>
        </w:rPr>
        <w:t>[1] A. Vaswani, N. Shazeer, N. Parmar, J. Uszkoreit, L. Jones, A. N. Gomez, et al., “Attention is All you Need,” in Advances in Neural Information Processing Systems, vol. 30, pp. 5998–6008, 2017. Available: https://proceedings.neurips.cc/paper_files/paper/2017/hash/3f5ee243547dee91fbd053c1c4a845aa-Abstract.html.</w:t>
      </w:r>
    </w:p>
    <w:p w14:paraId="116AC708" w14:textId="77777777" w:rsidR="004C250E" w:rsidRDefault="00000000">
      <w:pPr>
        <w:spacing w:after="80" w:line="240" w:lineRule="auto"/>
        <w:ind w:left="403" w:hanging="403"/>
      </w:pPr>
      <w:r>
        <w:rPr>
          <w:color w:val="26343D"/>
          <w:sz w:val="17"/>
        </w:rPr>
        <w:t>[2] A. Dosovitskiy, L. Beyer, A. Kolesnikov, D. Weissenborn, X. Zhai, T. Unterthiner, et al., “An Image is Worth 16x16 Words: Transformers for Image Recognition at Scale,” in Proc. Int. Conf. Learn. Represent., 2021. Available: https://openreview.net/forum?id=YicbFdNTTy.</w:t>
      </w:r>
    </w:p>
    <w:p w14:paraId="48622E9C" w14:textId="77777777" w:rsidR="004C250E" w:rsidRDefault="00000000">
      <w:pPr>
        <w:spacing w:after="80" w:line="240" w:lineRule="auto"/>
        <w:ind w:left="403" w:hanging="403"/>
      </w:pPr>
      <w:r>
        <w:rPr>
          <w:color w:val="26343D"/>
          <w:sz w:val="17"/>
        </w:rPr>
        <w:t>[3] H. Touvron, M. Cord, M. Douze, F. Massa, A. Sablayrolles, H. Jégou, “Training data-efficient image transformers &amp; distillation through attention,” in Proc. 38th Int. Conf. Mach. Learn., vol. 139, pp. 10347–10357, 2021. Available: https://proceedings.mlr.press/v139/touvron21a.html.</w:t>
      </w:r>
    </w:p>
    <w:p w14:paraId="79A2F30E" w14:textId="77777777" w:rsidR="004C250E" w:rsidRDefault="00000000">
      <w:pPr>
        <w:spacing w:after="80" w:line="240" w:lineRule="auto"/>
        <w:ind w:left="403" w:hanging="403"/>
      </w:pPr>
      <w:r>
        <w:rPr>
          <w:color w:val="26343D"/>
          <w:sz w:val="17"/>
        </w:rPr>
        <w:t>[4] M. Caron, H. Touvron, I. Misra, H. Jégou, J. Mairal, P. Bojanowski, et al., “Emerging Properties in Self-Supervised Vision Transformers,” in Proc. IEEE/CVF Int. Conf. Comput. Vis., pp. 9650–9660, 2021. DOI: 10.1109/ICCV48922.2021.00951.</w:t>
      </w:r>
    </w:p>
    <w:p w14:paraId="7B535EDC" w14:textId="77777777" w:rsidR="004C250E" w:rsidRDefault="00000000">
      <w:pPr>
        <w:spacing w:after="80" w:line="240" w:lineRule="auto"/>
        <w:ind w:left="403" w:hanging="403"/>
      </w:pPr>
      <w:r>
        <w:rPr>
          <w:color w:val="26343D"/>
          <w:sz w:val="17"/>
        </w:rPr>
        <w:t>[5] M. Oquab, T. Darcet, T. Moutakanni, H. Vo, M. Szafraniec, V. Khalidov, et al., “DINOv2: Learning Robust Visual Features without Supervision,” in Transactions on Machine Learning Research, 2024. Available: https://openreview.net/forum?id=a68SUt6zFt.</w:t>
      </w:r>
    </w:p>
    <w:p w14:paraId="486B2B03" w14:textId="77777777" w:rsidR="004C250E" w:rsidRDefault="00000000">
      <w:pPr>
        <w:spacing w:after="80" w:line="240" w:lineRule="auto"/>
        <w:ind w:left="403" w:hanging="403"/>
      </w:pPr>
      <w:r>
        <w:rPr>
          <w:color w:val="26343D"/>
          <w:sz w:val="17"/>
        </w:rPr>
        <w:t>[6] Z. Liu, Y. Lin, Y. Cao, H. Hu, Y. Wei, Z. Zhang, et al., “Swin Transformer: Hierarchical Vision Transformer Using Shifted Windows,” in Proc. IEEE/CVF Int. Conf. Comput. Vis., pp. 10012–10022, 2021. DOI: 10.1109/ICCV48922.2021.00986.</w:t>
      </w:r>
    </w:p>
    <w:p w14:paraId="525DED20" w14:textId="77777777" w:rsidR="004C250E" w:rsidRDefault="00000000">
      <w:pPr>
        <w:spacing w:after="80" w:line="240" w:lineRule="auto"/>
        <w:ind w:left="403" w:hanging="403"/>
      </w:pPr>
      <w:r>
        <w:rPr>
          <w:color w:val="26343D"/>
          <w:sz w:val="17"/>
        </w:rPr>
        <w:t>[7] K. He, X. Chen, S. Xie, Y. Li, P. Dollár, R. Girshick, “Masked Autoencoders Are Scalable Vision Learners,” in Proc. IEEE/CVF Conf. Comput. Vis. Pattern Recognit., pp. 16000–16009, 2022. DOI: 10.1109/CVPR52688.2022.01553.</w:t>
      </w:r>
    </w:p>
    <w:p w14:paraId="785ED90F" w14:textId="77777777" w:rsidR="004C250E" w:rsidRDefault="00000000">
      <w:pPr>
        <w:spacing w:after="80" w:line="240" w:lineRule="auto"/>
        <w:ind w:left="403" w:hanging="403"/>
      </w:pPr>
      <w:r>
        <w:rPr>
          <w:color w:val="26343D"/>
          <w:sz w:val="17"/>
        </w:rPr>
        <w:t>[8] X. Zhai, A. Kolesnikov, N. Houlsby, L. Beyer, “Scaling Vision Transformers,” in Proc. IEEE/CVF Conf. Comput. Vis. Pattern Recognit., pp. 12104–12113, 2022. DOI: 10.1109/CVPR52688.2022.01179.</w:t>
      </w:r>
    </w:p>
    <w:p w14:paraId="69BA1EFD" w14:textId="77777777" w:rsidR="004C250E" w:rsidRDefault="00000000">
      <w:pPr>
        <w:spacing w:after="80" w:line="240" w:lineRule="auto"/>
        <w:ind w:left="403" w:hanging="403"/>
      </w:pPr>
      <w:r>
        <w:rPr>
          <w:color w:val="26343D"/>
          <w:sz w:val="17"/>
        </w:rPr>
        <w:t>[9] A. Steiner, A. Kolesnikov, X. Zhai, R. Wightman, J. Uszkoreit, L. Beyer, “How to Train Your ViT? Data, Augmentation, and Regularization in Vision Transformers,” in Transactions on Machine Learning Research, 2022. Available: https://openreview.net/forum?id=4nPswr1KcP.</w:t>
      </w:r>
    </w:p>
    <w:p w14:paraId="2443CA92" w14:textId="77777777" w:rsidR="004C250E" w:rsidRDefault="00000000">
      <w:pPr>
        <w:spacing w:after="80" w:line="240" w:lineRule="auto"/>
        <w:ind w:left="403" w:hanging="403"/>
      </w:pPr>
      <w:r>
        <w:rPr>
          <w:color w:val="26343D"/>
          <w:sz w:val="17"/>
        </w:rPr>
        <w:t>[10] T. Darcet, M. Oquab, J. Mairal, P. Bojanowski, “Vision Transformers Need Registers,” in Proc. Int. Conf. Learn. Represent., 2024. Available: https://openreview.net/forum?id=L6T2bA1sJN.</w:t>
      </w:r>
    </w:p>
    <w:p w14:paraId="57BF03C7" w14:textId="77777777" w:rsidR="004C250E" w:rsidRDefault="00000000">
      <w:pPr>
        <w:spacing w:after="80" w:line="240" w:lineRule="auto"/>
        <w:ind w:left="403" w:hanging="403"/>
      </w:pPr>
      <w:r>
        <w:rPr>
          <w:color w:val="26343D"/>
          <w:sz w:val="17"/>
        </w:rPr>
        <w:t>[11] Y. Rao, W. Zhao, B. Liu, J. Lu, J. Zhou, C.-J. Hsieh, “DynamicViT: Efficient Vision Transformers with Dynamic Token Sparsification,” in Advances in Neural Information Processing Systems, vol. 34, pp. 13937–13949, 2021. Available: https://proceedings.neurips.cc/paper/2021/hash/747d3443e319a22747fbb873e8b2f9f2-Abstract.html.</w:t>
      </w:r>
    </w:p>
    <w:p w14:paraId="5600C0BC" w14:textId="77777777" w:rsidR="004C250E" w:rsidRDefault="00000000">
      <w:pPr>
        <w:spacing w:after="80" w:line="240" w:lineRule="auto"/>
        <w:ind w:left="403" w:hanging="403"/>
      </w:pPr>
      <w:r>
        <w:rPr>
          <w:color w:val="26343D"/>
          <w:sz w:val="17"/>
        </w:rPr>
        <w:t>[12] Y. Liang, C. Ge, Z. Tong, Y. Song, J. Wang, P. Xie, “Not All Patches Are What You Need: Expediting Vision Transformers via Token Reorganizations,” in Proc. Int. Conf. Learn. Represent., 2022. Available: https://openreview.net/forum?id=I90fplp5b3.</w:t>
      </w:r>
    </w:p>
    <w:p w14:paraId="75EEC529" w14:textId="77777777" w:rsidR="004C250E" w:rsidRDefault="00000000">
      <w:pPr>
        <w:spacing w:after="80" w:line="240" w:lineRule="auto"/>
        <w:ind w:left="403" w:hanging="403"/>
      </w:pPr>
      <w:r>
        <w:rPr>
          <w:color w:val="26343D"/>
          <w:sz w:val="17"/>
        </w:rPr>
        <w:t>[13] D. Bolya, C.-Y. Fu, X. Dai, P. Zhang, C. Feichtenhofer, J. Hoffman, “Token Merging: Your ViT But Faster,” in Proc. Int. Conf. Learn. Represent., 2023. Available: https://openreview.net/forum?id=JroZRaRw7Eu.</w:t>
      </w:r>
    </w:p>
    <w:p w14:paraId="640EA011" w14:textId="77777777" w:rsidR="004C250E" w:rsidRDefault="00000000">
      <w:pPr>
        <w:spacing w:after="80" w:line="240" w:lineRule="auto"/>
        <w:ind w:left="403" w:hanging="403"/>
      </w:pPr>
      <w:r>
        <w:rPr>
          <w:color w:val="26343D"/>
          <w:sz w:val="17"/>
        </w:rPr>
        <w:t>[14] S. Long, Z. Zhao, J. Pi, S. Wang, J. Wang, “Beyond Attentive Tokens: Incorporating Token Importance and Diversity for Efficient Vision Transformers,” in Proc. IEEE/CVF Conf. Comput. Vis. Pattern Recognit. (CVPR), pp. 10334–10343, 2023. Available: https://openaccess.thecvf.com/content/CVPR2023/html/Long_Beyond_Attentive_Tokens_Incorporating_Token_Importance_and_Diversity_for_Efficient_CVPR_2023_paper.html.</w:t>
      </w:r>
    </w:p>
    <w:p w14:paraId="201F94DA" w14:textId="77777777" w:rsidR="004C250E" w:rsidRDefault="00000000">
      <w:pPr>
        <w:spacing w:after="80" w:line="240" w:lineRule="auto"/>
        <w:ind w:left="403" w:hanging="403"/>
      </w:pPr>
      <w:r>
        <w:rPr>
          <w:color w:val="26343D"/>
          <w:sz w:val="17"/>
        </w:rPr>
        <w:t>[15] H. Yin, A. Vahdat, J. M. Alvarez, A. Mallya, J. Kautz, P. Molchanov, “A-ViT: Adaptive Tokens for Efficient Vision Transformer,” in Proc. IEEE/CVF Conf. Comput. Vis. Pattern Recognit., pp. 10809–10818, 2022. DOI: 10.1109/CVPR52688.2022.01054.</w:t>
      </w:r>
    </w:p>
    <w:p w14:paraId="769E3F84" w14:textId="77777777" w:rsidR="004C250E" w:rsidRDefault="00000000">
      <w:pPr>
        <w:spacing w:after="80" w:line="240" w:lineRule="auto"/>
        <w:ind w:left="403" w:hanging="403"/>
      </w:pPr>
      <w:r>
        <w:rPr>
          <w:color w:val="26343D"/>
          <w:sz w:val="17"/>
        </w:rPr>
        <w:t>[16] L. Meng, H. Li, B.-C. Chen, S. Lan, Z. Wu, Y.-G. Jiang, et al., “AdaViT: Adaptive Vision Transformers for Efficient Image Recognition,” in Proc. IEEE/CVF Conf. Comput. Vis. Pattern Recognit., pp. 12309–12318, 2022. DOI: 10.1109/CVPR52688.2022.01199.</w:t>
      </w:r>
    </w:p>
    <w:p w14:paraId="2FF7A05E" w14:textId="77777777" w:rsidR="004C250E" w:rsidRDefault="00000000">
      <w:pPr>
        <w:spacing w:after="80" w:line="240" w:lineRule="auto"/>
        <w:ind w:left="403" w:hanging="403"/>
      </w:pPr>
      <w:r>
        <w:rPr>
          <w:color w:val="26343D"/>
          <w:sz w:val="17"/>
        </w:rPr>
        <w:t>[17] M. S. Ryoo, A. J. Piergiovanni, A. Arnab, M. Dehghani, A. Angelova, “TokenLearner: Adaptive Space-Time Tokenization for Videos,” in Advances in Neural Information Processing Systems, vol. 34, pp. 12786–12797, 2021. Available: https://proceedings.neurips.cc/paper/2021/hash/6a30e32e56fce5cf381895dfe6ca7b6f-Abstract.html.</w:t>
      </w:r>
    </w:p>
    <w:p w14:paraId="49D001E7" w14:textId="77777777" w:rsidR="004C250E" w:rsidRDefault="00000000">
      <w:pPr>
        <w:spacing w:after="80" w:line="240" w:lineRule="auto"/>
        <w:ind w:left="403" w:hanging="403"/>
      </w:pPr>
      <w:r>
        <w:rPr>
          <w:color w:val="26343D"/>
          <w:sz w:val="17"/>
        </w:rPr>
        <w:t>[18] D. Marin, J.-H. R. Chang, A. Ranjan, A. Prabhu, M. Rastegari, O. Tuzel, “Token Pooling in Vision Transformers for Image Classification,” in Proc. IEEE/CVF Winter Conf. Appl. Comput. Vis., pp. 12–21, 2023. DOI: 10.1109/WACV56688.2023.00010.</w:t>
      </w:r>
    </w:p>
    <w:p w14:paraId="4BE5C6E5" w14:textId="77777777" w:rsidR="004C250E" w:rsidRDefault="00000000">
      <w:pPr>
        <w:spacing w:after="80" w:line="240" w:lineRule="auto"/>
        <w:ind w:left="403" w:hanging="403"/>
      </w:pPr>
      <w:r>
        <w:rPr>
          <w:color w:val="26343D"/>
          <w:sz w:val="17"/>
        </w:rPr>
        <w:t>[19] M. Fayyaz, S. A. Koohpayegani, F. R. Jafari, S. Sengupta, H. R. V. Joze, E. Sommerlade, et al., “Adaptive Token Sampling for Efficient Vision Transformers,” in Computer Vision – ECCV 2022, vol. 13671, pp. 396–414, 2022. DOI: 10.1007/978-3-031-20083-0_24.</w:t>
      </w:r>
    </w:p>
    <w:p w14:paraId="490C2013" w14:textId="77777777" w:rsidR="004C250E" w:rsidRDefault="00000000">
      <w:pPr>
        <w:spacing w:after="80" w:line="240" w:lineRule="auto"/>
        <w:ind w:left="403" w:hanging="403"/>
      </w:pPr>
      <w:r>
        <w:rPr>
          <w:color w:val="26343D"/>
          <w:sz w:val="17"/>
        </w:rPr>
        <w:t>[20] B. Pan, R. Panda, Y. Jiang, Z. Wang, R. Feris, A. Oliva, “IA-RED²: Interpretability-Aware Redundancy Reduction for Vision Transformers,” in Advances in Neural Information Processing Systems, vol. 34, 2021. Available: https://proceedings.neurips.cc/paper/2021/hash/d072677d210ac4c03ba046120f0802ec-Abstract.html.</w:t>
      </w:r>
    </w:p>
    <w:p w14:paraId="71374D6B" w14:textId="77777777" w:rsidR="004C250E" w:rsidRDefault="00000000">
      <w:pPr>
        <w:spacing w:after="80" w:line="240" w:lineRule="auto"/>
        <w:ind w:left="403" w:hanging="403"/>
      </w:pPr>
      <w:r>
        <w:rPr>
          <w:color w:val="26343D"/>
          <w:sz w:val="17"/>
        </w:rPr>
        <w:t>[21] Y. Liu, C. Matsoukas, F. Strand, H. Azizpour, K. Smith, “PatchDropout: Economizing Vision Transformers Using Patch Dropout,” in Proc. IEEE/CVF Winter Conf. Appl. Comput. Vis., pp. 3953–3962, 2023. DOI: 10.1109/WACV56688.2023.00394.</w:t>
      </w:r>
    </w:p>
    <w:p w14:paraId="71A1FDE0" w14:textId="77777777" w:rsidR="004C250E" w:rsidRDefault="00000000">
      <w:pPr>
        <w:spacing w:after="80" w:line="240" w:lineRule="auto"/>
        <w:ind w:left="403" w:hanging="403"/>
      </w:pPr>
      <w:r>
        <w:rPr>
          <w:color w:val="26343D"/>
          <w:sz w:val="17"/>
        </w:rPr>
        <w:t>[22] L. Yu, W. Xiang, “X-Pruner: eXplainable Pruning for Vision Transformers,” in Proc. IEEE/CVF Conf. Comput. Vis. Pattern Recognit., pp. 24355–24363, 2023. DOI: 10.1109/CVPR52729.2023.02333.</w:t>
      </w:r>
    </w:p>
    <w:p w14:paraId="6E956BE4" w14:textId="77777777" w:rsidR="004C250E" w:rsidRDefault="00000000">
      <w:pPr>
        <w:spacing w:after="80" w:line="240" w:lineRule="auto"/>
        <w:ind w:left="403" w:hanging="403"/>
      </w:pPr>
      <w:r>
        <w:rPr>
          <w:color w:val="26343D"/>
          <w:sz w:val="17"/>
        </w:rPr>
        <w:t>[23] H. Yang, H. Yin, M. Shen, P. Molchanov, H. Li, J. Kautz, “Global Vision Transformer Pruning With Hessian-Aware Saliency,” in Proc. IEEE/CVF Conf. Comput. Vis. Pattern Recognit., pp. 18547–18557, 2023. DOI: 10.1109/CVPR52729.2023.01779.</w:t>
      </w:r>
    </w:p>
    <w:p w14:paraId="7558EADB" w14:textId="77777777" w:rsidR="004C250E" w:rsidRDefault="00000000">
      <w:pPr>
        <w:spacing w:after="80" w:line="240" w:lineRule="auto"/>
        <w:ind w:left="403" w:hanging="403"/>
      </w:pPr>
      <w:r>
        <w:rPr>
          <w:color w:val="26343D"/>
          <w:sz w:val="17"/>
        </w:rPr>
        <w:lastRenderedPageBreak/>
        <w:t>[24] S. Wei, T. Ye, S. Zhang, Y. Tang, J. Liang, “Joint Token Pruning and Squeezing Towards More Aggressive Compression of Vision Transformers,” in Proc. IEEE/CVF Conf. Comput. Vis. Pattern Recognit., pp. 2092–2101, 2023. DOI: 10.1109/CVPR52729.2023.00208.</w:t>
      </w:r>
    </w:p>
    <w:p w14:paraId="6F36DC73" w14:textId="77777777" w:rsidR="004C250E" w:rsidRDefault="00000000">
      <w:pPr>
        <w:spacing w:after="80" w:line="240" w:lineRule="auto"/>
        <w:ind w:left="403" w:hanging="403"/>
      </w:pPr>
      <w:r>
        <w:rPr>
          <w:color w:val="26343D"/>
          <w:sz w:val="17"/>
        </w:rPr>
        <w:t>[25] Q. Tang, B. Zhang, J. Liu, F. Liu, Y. Liu, “Dynamic Token Pruning in Plain Vision Transformers for Semantic Segmentation,” in Proc. IEEE/CVF Int. Conf. Comput. Vis., pp. 777–786, 2023. DOI: 10.1109/ICCV51070.2023.00078.</w:t>
      </w:r>
    </w:p>
    <w:p w14:paraId="26B42296" w14:textId="77777777" w:rsidR="004C250E" w:rsidRDefault="00000000">
      <w:pPr>
        <w:spacing w:after="80" w:line="240" w:lineRule="auto"/>
        <w:ind w:left="403" w:hanging="403"/>
      </w:pPr>
      <w:r>
        <w:rPr>
          <w:color w:val="26343D"/>
          <w:sz w:val="17"/>
        </w:rPr>
        <w:t>[26] Y. Xu, Z. Zhang, M. Zhang, K. Sheng, K. Li, W. Dong, et al., “Evo-ViT: Slow-Fast Token Evolution for Dynamic Vision Transformer,” in Proc. AAAI Conf. Artif. Intell., vol. 36, no. 3, pp. 2964–2972, 2022. DOI: 10.1609/aaai.v36i3.20202.</w:t>
      </w:r>
    </w:p>
    <w:p w14:paraId="679FA33D" w14:textId="77777777" w:rsidR="004C250E" w:rsidRDefault="00000000">
      <w:pPr>
        <w:spacing w:after="80" w:line="240" w:lineRule="auto"/>
        <w:ind w:left="403" w:hanging="403"/>
      </w:pPr>
      <w:r>
        <w:rPr>
          <w:color w:val="26343D"/>
          <w:sz w:val="17"/>
        </w:rPr>
        <w:t>[27] L. Song, S. Zhang, S. Liu, Z. Li, X. He, H. Sun, et al., “Dynamic Grained Encoder for Vision Transformers,” in Advances in Neural Information Processing Systems, vol. 34, 2021. Available: https://proceedings.neurips.cc/paper/2021/hash/2d969e2cee8cfa07ce7ca0bb13c7a36d-Abstract.html.</w:t>
      </w:r>
    </w:p>
    <w:p w14:paraId="724657B0" w14:textId="77777777" w:rsidR="004C250E" w:rsidRDefault="00000000">
      <w:pPr>
        <w:spacing w:after="80" w:line="240" w:lineRule="auto"/>
        <w:ind w:left="403" w:hanging="403"/>
      </w:pPr>
      <w:r>
        <w:rPr>
          <w:color w:val="26343D"/>
          <w:sz w:val="17"/>
        </w:rPr>
        <w:t>[28] Z. Kong, P. Dong, X. Ma, X. Meng, W. Niu, M. Sun, et al., “SPViT: Enabling Faster Vision Transformers via Latency-Aware Soft Token Pruning,” in Computer Vision – ECCV 2022, vol. 13671, pp. 620–640, 2022. DOI: 10.1007/978-3-031-20083-0_37.</w:t>
      </w:r>
    </w:p>
    <w:p w14:paraId="0F9EF6CC" w14:textId="77777777" w:rsidR="004C250E" w:rsidRDefault="00000000">
      <w:pPr>
        <w:spacing w:after="80" w:line="240" w:lineRule="auto"/>
        <w:ind w:left="403" w:hanging="403"/>
      </w:pPr>
      <w:r>
        <w:rPr>
          <w:color w:val="26343D"/>
          <w:sz w:val="17"/>
        </w:rPr>
        <w:t>[29] Y. Tang, K. Han, Y. Wang, C. Xu, J. Guo, C. Xu, et al., “Patch Slimming for Efficient Vision Transformers,” in Proc. IEEE/CVF Conf. Comput. Vis. Pattern Recognit., pp. 12165–12174, 2022. DOI: 10.1109/CVPR52688.2022.01185.</w:t>
      </w:r>
    </w:p>
    <w:p w14:paraId="606EAD53" w14:textId="77777777" w:rsidR="004C250E" w:rsidRDefault="00000000">
      <w:pPr>
        <w:spacing w:after="80" w:line="240" w:lineRule="auto"/>
        <w:ind w:left="403" w:hanging="403"/>
      </w:pPr>
      <w:r>
        <w:rPr>
          <w:color w:val="26343D"/>
          <w:sz w:val="17"/>
        </w:rPr>
        <w:t>[30] Y. Wang, R. Huang, S. Song, Z. Huang, G. Huang, “Not All Images Are Worth 16x16 Words: Dynamic Transformers for Efficient Image Recognition,” in Advances in Neural Information Processing Systems, vol. 34, 2021. Available: https://proceedings.neurips.cc/paper/2021/hash/64517d8435994992e682b3e4aa0a0661-Abstract.html.</w:t>
      </w:r>
    </w:p>
    <w:p w14:paraId="10FC325B" w14:textId="77777777" w:rsidR="004C250E" w:rsidRDefault="00000000">
      <w:pPr>
        <w:spacing w:after="80" w:line="240" w:lineRule="auto"/>
        <w:ind w:left="403" w:hanging="403"/>
      </w:pPr>
      <w:r>
        <w:rPr>
          <w:color w:val="26343D"/>
          <w:sz w:val="17"/>
        </w:rPr>
        <w:t>[31] T. Chen, Y. Cheng, Z. Gan, L. Yuan, L. Zhang, Z. Wang, “Chasing Sparsity in Vision Transformers: An End-to-End Exploration,” in Advances in Neural Information Processing Systems, vol. 34, 2021. Available: https://proceedings.neurips.cc/paper/2021/file/a61f27ab2165df0e18cc9433bd7f27c5-Abstract.html.</w:t>
      </w:r>
    </w:p>
    <w:p w14:paraId="3624816F" w14:textId="77777777" w:rsidR="004C250E" w:rsidRDefault="00000000">
      <w:pPr>
        <w:spacing w:after="80" w:line="240" w:lineRule="auto"/>
        <w:ind w:left="403" w:hanging="403"/>
      </w:pPr>
      <w:r>
        <w:rPr>
          <w:color w:val="26343D"/>
          <w:sz w:val="17"/>
        </w:rPr>
        <w:t>[32] X. Chen, Z. Liu, H. Tang, L. Yi, H. Zhao, S. Han, “SparseViT: Revisiting Activation Sparsity for Efficient High-Resolution Vision Transformer,” in Proc. IEEE/CVF Conf. Comput. Vis. Pattern Recognit., pp. 2061–2070, 2023. DOI: 10.1109/CVPR52729.2023.00205.</w:t>
      </w:r>
    </w:p>
    <w:p w14:paraId="318657E4" w14:textId="77777777" w:rsidR="004C250E" w:rsidRDefault="00000000">
      <w:pPr>
        <w:spacing w:after="80" w:line="240" w:lineRule="auto"/>
        <w:ind w:left="403" w:hanging="403"/>
      </w:pPr>
      <w:r>
        <w:rPr>
          <w:color w:val="26343D"/>
          <w:sz w:val="17"/>
        </w:rPr>
        <w:t>[33] C. Zheng, Z. Li, K. Zhang, Z. Yang, W. Tan, J. Xiao, et al., “SAViT: Structure-Aware Vision Transformer Pruning via Collaborative Optimization,” in Advances in Neural Information Processing Systems, vol. 35, pp. 9010–9023, 2022. DOI: 10.52202/068431-0655.</w:t>
      </w:r>
    </w:p>
    <w:p w14:paraId="09E69422" w14:textId="77777777" w:rsidR="004C250E" w:rsidRDefault="00000000">
      <w:pPr>
        <w:spacing w:after="80" w:line="240" w:lineRule="auto"/>
        <w:ind w:left="403" w:hanging="403"/>
      </w:pPr>
      <w:r>
        <w:rPr>
          <w:color w:val="26343D"/>
          <w:sz w:val="17"/>
        </w:rPr>
        <w:t>[34] S. Han, J. Pool, J. Tran, W. J. Dally, “Learning Both Weights and Connections for Efficient Neural Networks,” in Advances in Neural Information Processing Systems, vol. 28, 2015. Available: https://proceedings.neurips.cc/paper/2015/hash/ae0eb3eed39d2bcef4622b2499a05fe6-Abstract.html.</w:t>
      </w:r>
    </w:p>
    <w:p w14:paraId="6DCD88B5" w14:textId="77777777" w:rsidR="004C250E" w:rsidRDefault="00000000">
      <w:pPr>
        <w:spacing w:after="80" w:line="240" w:lineRule="auto"/>
        <w:ind w:left="403" w:hanging="403"/>
      </w:pPr>
      <w:r>
        <w:rPr>
          <w:color w:val="26343D"/>
          <w:sz w:val="17"/>
        </w:rPr>
        <w:t>[35] P. Molchanov, S. Tyree, T. Karras, T. Aila, J. Kautz, “Pruning Convolutional Neural Networks for Resource Efficient Inference,” in Proc. Int. Conf. Learn. Represent., 2017. Available: https://openreview.net/forum?id=SJGCiw5gl.</w:t>
      </w:r>
    </w:p>
    <w:p w14:paraId="010275FA" w14:textId="77777777" w:rsidR="004C250E" w:rsidRDefault="00000000">
      <w:pPr>
        <w:spacing w:after="80" w:line="240" w:lineRule="auto"/>
        <w:ind w:left="403" w:hanging="403"/>
      </w:pPr>
      <w:r>
        <w:rPr>
          <w:color w:val="26343D"/>
          <w:sz w:val="17"/>
        </w:rPr>
        <w:t>[36] J. Frankle, M. Carbin, “The Lottery Ticket Hypothesis: Finding Sparse, Trainable Neural Networks,” in Proc. Int. Conf. Learn. Represent., 2019. Available: https://openreview.net/forum?id=rJl-b3RcF7.</w:t>
      </w:r>
    </w:p>
    <w:p w14:paraId="5674B2CA" w14:textId="77777777" w:rsidR="004C250E" w:rsidRDefault="00000000">
      <w:pPr>
        <w:spacing w:after="80" w:line="240" w:lineRule="auto"/>
        <w:ind w:left="403" w:hanging="403"/>
      </w:pPr>
      <w:r>
        <w:rPr>
          <w:color w:val="26343D"/>
          <w:sz w:val="17"/>
        </w:rPr>
        <w:t>[37] V. Sanh, T. Wolf, A. M. Rush, “Movement Pruning: Adaptive Sparsity by Fine-Tuning,” in Advances in Neural Information Processing Systems, vol. 33, pp. 20378–20389, 2020. Available: https://proceedings.neurips.cc/paper/2020/hash/eae15aabaa768ae4a5993a8a4f4fa6e4-Abstract.html.</w:t>
      </w:r>
    </w:p>
    <w:p w14:paraId="55FBC759" w14:textId="77777777" w:rsidR="004C250E" w:rsidRDefault="00000000">
      <w:pPr>
        <w:spacing w:after="80" w:line="240" w:lineRule="auto"/>
        <w:ind w:left="403" w:hanging="403"/>
      </w:pPr>
      <w:r>
        <w:rPr>
          <w:color w:val="26343D"/>
          <w:sz w:val="17"/>
        </w:rPr>
        <w:t>[38] E. Frantar, D. Alistarh, “SparseGPT: Massive Language Models Can Be Accurately Pruned in One-Shot,” in Proc. 40th Int. Conf. Mach. Learn., vol. 202, pp. 10323–10337, 2023. Available: https://proceedings.mlr.press/v202/frantar23a.html.</w:t>
      </w:r>
    </w:p>
    <w:p w14:paraId="371B9014" w14:textId="77777777" w:rsidR="004C250E" w:rsidRDefault="00000000">
      <w:pPr>
        <w:spacing w:after="80" w:line="240" w:lineRule="auto"/>
        <w:ind w:left="403" w:hanging="403"/>
      </w:pPr>
      <w:r>
        <w:rPr>
          <w:color w:val="26343D"/>
          <w:sz w:val="17"/>
        </w:rPr>
        <w:t>[39] M. Sun, Z. Liu, A. Bair, J. Z. Kolter, “A Simple and Effective Pruning Approach for Large Language Models,” in Proc. Int. Conf. Learn. Represent., 2024. Available: https://openreview.net/forum?id=PxoFut3dWW.</w:t>
      </w:r>
    </w:p>
    <w:p w14:paraId="37731493" w14:textId="77777777" w:rsidR="004C250E" w:rsidRDefault="00000000">
      <w:pPr>
        <w:spacing w:after="80" w:line="240" w:lineRule="auto"/>
        <w:ind w:left="403" w:hanging="403"/>
      </w:pPr>
      <w:r>
        <w:rPr>
          <w:color w:val="26343D"/>
          <w:sz w:val="17"/>
        </w:rPr>
        <w:t>[40] S. Ashkboos, M. L. Croci, M. Gennari do Nascimento, T. Hoefler, J. Hensman, “SliceGPT: Compress Large Language Models by Deleting Rows and Columns,” in Proc. Int. Conf. Learn. Represent., 2024. Available: https://openreview.net/forum?id=vXxardq6db.</w:t>
      </w:r>
    </w:p>
    <w:p w14:paraId="54E925EA" w14:textId="77777777" w:rsidR="004C250E" w:rsidRDefault="00000000">
      <w:pPr>
        <w:spacing w:after="80" w:line="240" w:lineRule="auto"/>
        <w:ind w:left="403" w:hanging="403"/>
      </w:pPr>
      <w:r>
        <w:rPr>
          <w:color w:val="26343D"/>
          <w:sz w:val="17"/>
        </w:rPr>
        <w:t>[41] X. Wang, Y. Zheng, Z. Wan, M. Zhang, “SVD-LLM: Truncation-aware Singular Value Decomposition for Large Language Model Compression,” in Proc. Int. Conf. Learn. Represent., 2025. Available: https://proceedings.iclr.cc/paper_files/paper/2025/hash/3104e1ab39875cf54fe1eb4473e7c5a1-Abstract-Conference.html.</w:t>
      </w:r>
    </w:p>
    <w:p w14:paraId="0F606C09" w14:textId="77777777" w:rsidR="004368BE" w:rsidRDefault="00000000">
      <w:pPr>
        <w:spacing w:after="80" w:line="240" w:lineRule="auto"/>
        <w:ind w:left="403" w:hanging="403"/>
      </w:pPr>
      <w:r>
        <w:rPr>
          <w:color w:val="26343D"/>
          <w:sz w:val="17"/>
        </w:rPr>
        <w:t>[42] A. Bond, E. E. Özlü, T. Çimen, I. U. Melanlioglu, T. Birdal, E. Erdem, et al., “Task-Induced Riemannian Metrics for Vision Transformer Feature Spaces,” arXiv preprint arXiv:2609.27988 [cs.CV], 2026. Available: https://arxiv.org/abs/2609.27988.</w:t>
      </w:r>
    </w:p>
    <w:p w14:paraId="011D4993" w14:textId="77777777" w:rsidR="004368BE" w:rsidRDefault="00000000">
      <w:pPr>
        <w:spacing w:after="80" w:line="240" w:lineRule="auto"/>
        <w:ind w:left="403" w:hanging="403"/>
      </w:pPr>
      <w:r>
        <w:rPr>
          <w:color w:val="26343D"/>
          <w:sz w:val="17"/>
        </w:rPr>
        <w:t>[43] H. Liu, A. Singh, Y. Li, H. Wang, “Approximate Nullspace Augmented Finetuning for Robust Vision Transformers,” in Conference on Parsimony and Learning, vol. 280, pp. 1–23, 2025. Available: https://proceedings.mlr.press/v280/liu25a.html.</w:t>
      </w:r>
    </w:p>
    <w:p w14:paraId="5B9C37A2" w14:textId="77777777" w:rsidR="004C250E" w:rsidRDefault="00000000">
      <w:pPr>
        <w:spacing w:after="80" w:line="240" w:lineRule="auto"/>
        <w:ind w:left="403" w:hanging="403"/>
      </w:pPr>
      <w:r>
        <w:rPr>
          <w:color w:val="26343D"/>
          <w:sz w:val="17"/>
        </w:rPr>
        <w:t>[44] F. Parodi, J. K. Matelsky, M. Segado, “Zero-Ablation Overstates Register Content Dependence in DINO Vision Transformers,” in Proc. IEEE/CVF Conf. Comput. Vis. Pattern Recognit. (CVPR) Workshops, pp. 4164–4170, 2026. Available: https://openaccess.thecvf.com/content/CVPR2026W/HOW/html/Parodi_Zero-Ablation_Overstates_Register_Content_Dependence_in_DINO_Vision_Transformers_CVPRW_2026_paper.html.</w:t>
      </w:r>
    </w:p>
    <w:p w14:paraId="130F3AA4" w14:textId="77777777" w:rsidR="004C250E" w:rsidRDefault="00000000">
      <w:pPr>
        <w:spacing w:after="80" w:line="240" w:lineRule="auto"/>
        <w:ind w:left="403" w:hanging="403"/>
      </w:pPr>
      <w:r>
        <w:rPr>
          <w:color w:val="26343D"/>
          <w:sz w:val="17"/>
        </w:rPr>
        <w:t>[45] Y. LeCun, J. S. Denker, S. A. Solla, “Optimal Brain Damage,” in Advances in Neural Information Processing Systems, vol. 2, pp. 598–605, 1989. Available: https://proceedings.neurips.cc/paper/1989/hash/6c9882bbac1c7093bd25041881277658-Abstract.html.</w:t>
      </w:r>
    </w:p>
    <w:p w14:paraId="4A495D06" w14:textId="77777777" w:rsidR="004C250E" w:rsidRDefault="00000000">
      <w:pPr>
        <w:spacing w:after="80" w:line="240" w:lineRule="auto"/>
        <w:ind w:left="403" w:hanging="403"/>
      </w:pPr>
      <w:r>
        <w:rPr>
          <w:color w:val="26343D"/>
          <w:sz w:val="17"/>
        </w:rPr>
        <w:t>[46] B. Hassibi, D. G. Stork, “Optimal Brain Surgeon and general network pruning,” in Proceedings of the IEEE Proc. IEEE Int. Conf. Neural Netw., vol. 1, pp. 293–299, 1993. DOI: 10.1109/ICNN.1993.298572.</w:t>
      </w:r>
    </w:p>
    <w:p w14:paraId="7B8298E6" w14:textId="77777777" w:rsidR="004C250E" w:rsidRDefault="00000000">
      <w:pPr>
        <w:spacing w:after="80" w:line="240" w:lineRule="auto"/>
        <w:ind w:left="403" w:hanging="403"/>
      </w:pPr>
      <w:r>
        <w:rPr>
          <w:color w:val="26343D"/>
          <w:sz w:val="17"/>
        </w:rPr>
        <w:t>[47] C. Thrash, K. Chen, S. Kolouri, “Output-aware Residual Stream Pruning for Large Language Models,” in arXiv preprint arXiv:2609.35579, 2026. DOI: 10.48550/arXiv.2609.35579.</w:t>
      </w:r>
    </w:p>
    <w:p w14:paraId="5C30BB12" w14:textId="77777777" w:rsidR="004C250E" w:rsidRDefault="00000000">
      <w:pPr>
        <w:spacing w:after="80" w:line="240" w:lineRule="auto"/>
        <w:ind w:left="403" w:hanging="403"/>
      </w:pPr>
      <w:r>
        <w:rPr>
          <w:color w:val="26343D"/>
          <w:sz w:val="17"/>
        </w:rPr>
        <w:t>[48] S. Jain, B. C. Wallace, “Attention Is Not Explanation,” in Proceedings of the 2019 Conference of the North American Chapter of the Association for Computational Linguistics: Human Language Technologies, pp. 3543–3556, 2019. DOI: 10.18653/v1/N19-1357.</w:t>
      </w:r>
    </w:p>
    <w:p w14:paraId="548583C5" w14:textId="77777777" w:rsidR="004C250E" w:rsidRDefault="00000000">
      <w:pPr>
        <w:spacing w:after="80" w:line="240" w:lineRule="auto"/>
        <w:ind w:left="403" w:hanging="403"/>
      </w:pPr>
      <w:r>
        <w:rPr>
          <w:color w:val="26343D"/>
          <w:sz w:val="17"/>
        </w:rPr>
        <w:t>[49] S. Serrano, N. A. Smith, “Is Attention Interpretable?,” in Proceedings of the 57th Annual Meeting of the Association for Computational Linguistics, pp. 2931–2951, 2019. DOI: 10.18653/v1/P19-1282.</w:t>
      </w:r>
    </w:p>
    <w:p w14:paraId="211CFB6E" w14:textId="77777777" w:rsidR="004C250E" w:rsidRDefault="00000000">
      <w:pPr>
        <w:spacing w:after="80" w:line="240" w:lineRule="auto"/>
        <w:ind w:left="403" w:hanging="403"/>
      </w:pPr>
      <w:r>
        <w:rPr>
          <w:color w:val="26343D"/>
          <w:sz w:val="17"/>
        </w:rPr>
        <w:lastRenderedPageBreak/>
        <w:t>[50] S. Wiegreffe, Y. Pinter, “Attention Is Not Not Explanation,” in Proceedings of the 2019 Conference on Empirical Methods in Natural Language Processing and the 9th International Joint Conference on Natural Language Processing, pp. 11–20, 2019. DOI: 10.18653/v1/D19-1002.</w:t>
      </w:r>
    </w:p>
    <w:p w14:paraId="6FE65CC9" w14:textId="77777777" w:rsidR="004C250E" w:rsidRDefault="00000000">
      <w:pPr>
        <w:spacing w:after="80" w:line="240" w:lineRule="auto"/>
        <w:ind w:left="403" w:hanging="403"/>
      </w:pPr>
      <w:r>
        <w:rPr>
          <w:color w:val="26343D"/>
          <w:sz w:val="17"/>
        </w:rPr>
        <w:t>[51] S. Abnar, W. Zuidema, “Quantifying Attention Flow in Transformers,” in Proceedings of the 58th Annual Meeting of the Association for Computational Linguistics, pp. 4190–4197, 2020. DOI: 10.18653/v1/2020.acl-main.385.</w:t>
      </w:r>
    </w:p>
    <w:p w14:paraId="73828334" w14:textId="77777777" w:rsidR="004C250E" w:rsidRDefault="00000000">
      <w:pPr>
        <w:spacing w:after="80" w:line="240" w:lineRule="auto"/>
        <w:ind w:left="403" w:hanging="403"/>
      </w:pPr>
      <w:r>
        <w:rPr>
          <w:color w:val="26343D"/>
          <w:sz w:val="17"/>
        </w:rPr>
        <w:t>[52] M. Sundararajan, A. Taly, Q. Yan, “Axiomatic Attribution for Deep Networks,” in Proc. 34th Int. Conf. Mach. Learn., vol. 70, pp. 3319–3328, 2017. Available: https://proceedings.mlr.press/v70/sundararajan17a.html.</w:t>
      </w:r>
    </w:p>
    <w:p w14:paraId="70F04937" w14:textId="77777777" w:rsidR="004C250E" w:rsidRDefault="00000000">
      <w:pPr>
        <w:spacing w:after="80" w:line="240" w:lineRule="auto"/>
        <w:ind w:left="403" w:hanging="403"/>
      </w:pPr>
      <w:r>
        <w:rPr>
          <w:color w:val="26343D"/>
          <w:sz w:val="17"/>
        </w:rPr>
        <w:t>[53] J. Adebayo, J. Gilmer, M. Muelly, I. Goodfellow, M. Hardt, B. Kim, “Sanity Checks for Saliency Maps,” in Advances in Neural Information Processing Systems, vol. 31, pp. 9505–9515, 2018. Available: https://proceedings.neurips.cc/paper/2018/hash/294a8ed24b1ad22ec2e7efea049b8737-Abstract.html.</w:t>
      </w:r>
    </w:p>
    <w:p w14:paraId="4D35AF67" w14:textId="77777777" w:rsidR="004C250E" w:rsidRDefault="00000000">
      <w:pPr>
        <w:spacing w:after="80" w:line="240" w:lineRule="auto"/>
        <w:ind w:left="403" w:hanging="403"/>
      </w:pPr>
      <w:r>
        <w:rPr>
          <w:color w:val="26343D"/>
          <w:sz w:val="17"/>
        </w:rPr>
        <w:t>[54] H. Chefer, S. Gur, L. Wolf, “Transformer Interpretability Beyond Attention Visualization,” in Proc. IEEE/CVF Conf. Comput. Vis. Pattern Recognit., pp. 782–791, 2021. DOI: 10.1109/CVPR46437.2021.00084.</w:t>
      </w:r>
    </w:p>
    <w:p w14:paraId="1F96D5F7" w14:textId="77777777" w:rsidR="004C250E" w:rsidRDefault="00000000">
      <w:pPr>
        <w:spacing w:after="80" w:line="240" w:lineRule="auto"/>
        <w:ind w:left="403" w:hanging="403"/>
      </w:pPr>
      <w:r>
        <w:rPr>
          <w:color w:val="26343D"/>
          <w:sz w:val="17"/>
        </w:rPr>
        <w:t>[55] A. Geiger, Z. Wu, C. Potts, T. Icard, N. Goodman, “Inducing Causal Structure for Interpretable Neural Networks,” in Proc. 39th Int. Conf. Mach. Learn., vol. 162, pp. 7324–7338, 2022. Available: https://proceedings.mlr.press/v162/geiger22a.html.</w:t>
      </w:r>
    </w:p>
    <w:sectPr w:rsidR="004C250E"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6135557">
    <w:abstractNumId w:val="8"/>
  </w:num>
  <w:num w:numId="2" w16cid:durableId="747194711">
    <w:abstractNumId w:val="6"/>
  </w:num>
  <w:num w:numId="3" w16cid:durableId="588924605">
    <w:abstractNumId w:val="5"/>
  </w:num>
  <w:num w:numId="4" w16cid:durableId="771556560">
    <w:abstractNumId w:val="4"/>
  </w:num>
  <w:num w:numId="5" w16cid:durableId="35275456">
    <w:abstractNumId w:val="7"/>
  </w:num>
  <w:num w:numId="6" w16cid:durableId="874850476">
    <w:abstractNumId w:val="3"/>
  </w:num>
  <w:num w:numId="7" w16cid:durableId="3286165">
    <w:abstractNumId w:val="2"/>
  </w:num>
  <w:num w:numId="8" w16cid:durableId="894046361">
    <w:abstractNumId w:val="1"/>
  </w:num>
  <w:num w:numId="9" w16cid:durableId="660544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36B"/>
    <w:rsid w:val="0015074B"/>
    <w:rsid w:val="0029639D"/>
    <w:rsid w:val="00326F90"/>
    <w:rsid w:val="003E1B6A"/>
    <w:rsid w:val="004368BE"/>
    <w:rsid w:val="004C250E"/>
    <w:rsid w:val="004E1E68"/>
    <w:rsid w:val="005B4464"/>
    <w:rsid w:val="005D5368"/>
    <w:rsid w:val="00713869"/>
    <w:rsid w:val="007336CA"/>
    <w:rsid w:val="007E599C"/>
    <w:rsid w:val="00854860"/>
    <w:rsid w:val="00A3332A"/>
    <w:rsid w:val="00A439D2"/>
    <w:rsid w:val="00AA1D8D"/>
    <w:rsid w:val="00B47730"/>
    <w:rsid w:val="00B63702"/>
    <w:rsid w:val="00BA0128"/>
    <w:rsid w:val="00CB0664"/>
    <w:rsid w:val="00D412D2"/>
    <w:rsid w:val="00E32168"/>
    <w:rsid w:val="00ED7B1F"/>
    <w:rsid w:val="00FC693F"/>
    <w:rsid w:val="00FE65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91D7CF"/>
  <w14:defaultImageDpi w14:val="300"/>
  <w15:docId w15:val="{1E468958-C57C-41E0-B024-3DDAF8837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202A32"/>
      <w:sz w:val="20"/>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17</Pages>
  <Words>9308</Words>
  <Characters>53059</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Patch-Content Fungibility: Geometry, Functional Transmission, and Operator-Aware Token Compression</dc:title>
  <dc:subject>Evidence-checked manuscript with IEEE-numbered references</dc:subject>
  <dc:creator>python-docx</dc:creator>
  <cp:keywords/>
  <dc:description>generated by python-docx</dc:description>
  <cp:lastModifiedBy>Minh Nhật</cp:lastModifiedBy>
  <cp:revision>11</cp:revision>
  <dcterms:created xsi:type="dcterms:W3CDTF">2013-12-23T23:15:00Z</dcterms:created>
  <dcterms:modified xsi:type="dcterms:W3CDTF">2026-10-10T13:17:00Z</dcterms:modified>
  <cp:category/>
</cp:coreProperties>
</file>