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9F79"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0758C9F7" w14:textId="77777777" w:rsidR="004C250E" w:rsidRDefault="00000000">
      <w:pPr>
        <w:spacing w:after="100" w:line="259" w:lineRule="auto"/>
      </w:pPr>
      <w:r>
        <w:t>Anonymous Authors</w:t>
      </w:r>
    </w:p>
    <w:p w14:paraId="7448B682" w14:textId="77777777" w:rsidR="004C250E" w:rsidRDefault="00000000">
      <w:pPr>
        <w:spacing w:after="100" w:line="259" w:lineRule="auto"/>
      </w:pPr>
      <w:r>
        <w:t>Under review</w:t>
      </w:r>
    </w:p>
    <w:p w14:paraId="248E98C2" w14:textId="77777777" w:rsidR="004C250E" w:rsidRDefault="00000000">
      <w:pPr>
        <w:pStyle w:val="Heading1"/>
      </w:pPr>
      <w:r>
        <w:rPr>
          <w:rFonts w:ascii="Times New Roman" w:hAnsi="Times New Roman"/>
        </w:rPr>
        <w:t>Abstract</w:t>
      </w:r>
    </w:p>
    <w:p w14:paraId="0D8703F3" w14:textId="77777777" w:rsidR="004C250E" w:rsidRDefault="00000000">
      <w:pPr>
        <w:spacing w:after="100" w:line="259" w:lineRule="auto"/>
      </w:pPr>
      <w:r>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near-null expansion at the primary threshold is evident in three models but small in DINOv2. As a bounded application, we evaluate operator-aware compression using an offline, per-image downstream-Jacobian oracle on 1,000 held-out images per architecture. At the most aggressive tested budgets, operator-aware variants improve Top-1 by 4.2–12.0 percentage points over the strongest pruning baseline, but ToMe remains competitive and Full-J is not uniformly better than Group Mean or ToMe. The evidence supports Patch-Content Fungibility as a mechanistic account and an oracle-level compression opportunity, but does not establish a general deployment advantage.</w:t>
      </w:r>
    </w:p>
    <w:p w14:paraId="0FAF40F8" w14:textId="77777777" w:rsidR="004C250E" w:rsidRDefault="00000000">
      <w:pPr>
        <w:pStyle w:val="Heading1"/>
      </w:pPr>
      <w:r>
        <w:rPr>
          <w:rFonts w:ascii="Times New Roman" w:hAnsi="Times New Roman"/>
        </w:rPr>
        <w:t>1. Introduction</w:t>
      </w:r>
    </w:p>
    <w:p w14:paraId="515C2CB4"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582BE196"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267A1C6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5A12869"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0298216F"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jointly bound replacement tolerance; and whether those mechanisms can inform operator-aware compression, including where the translation fails. We study these questions as a ViT-specific account of Patch-Content Fungibility (PCF). The argument proceeds from fixed-slot causal replacement, through geometric and functional mechanisms, to compression as a bounded application whose nonlinear classification and measured throughput must be assessed separately.</w:t>
      </w:r>
    </w:p>
    <w:p w14:paraId="21475846" w14:textId="77777777" w:rsidR="004C250E" w:rsidRDefault="00000000">
      <w:pPr>
        <w:pStyle w:val="Heading1"/>
      </w:pPr>
      <w:r>
        <w:rPr>
          <w:rFonts w:ascii="Times New Roman" w:hAnsi="Times New Roman"/>
        </w:rPr>
        <w:t>2. Related Work</w:t>
      </w:r>
    </w:p>
    <w:p w14:paraId="49122AB5"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groups patches into B carriers and shortens the sequence for subsequent computation.</w:t>
      </w:r>
    </w:p>
    <w:p w14:paraId="58FD31DA" w14:textId="77777777" w:rsidR="004C250E" w:rsidRDefault="00000000">
      <w:pPr>
        <w:spacing w:after="100" w:line="259" w:lineRule="auto"/>
      </w:pPr>
      <w:r>
        <w:t>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it does not claim to introduce surrogate replacement [42].</w:t>
      </w:r>
    </w:p>
    <w:p w14:paraId="046E58B5"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[43], [44]. A recent public preprint, Output-aware Residual Stream Pruning, couples activation statistics with output sensitivity to prune LLM residual-stream dimensions [45].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84DC96F" w14:textId="77777777" w:rsidR="004C250E" w:rsidRDefault="00000000">
      <w:pPr>
        <w:spacing w:after="100" w:line="259" w:lineRule="auto"/>
      </w:pPr>
      <w:r>
        <w:lastRenderedPageBreak/>
        <w:t>Interpretability research cautions that attention weights alone need not explain a model's decision. Controlled studies examine whether attention is explanation and how explanation changes under interventions [46]–[48]. Attention flow, Integrated Gradients, saliency-map sanity checks, and transformer-specific relevance propagation provide complementary methods for tracing or attributing model behavior [49]–[52]. Causal abstraction offers a framework for connecting interventions to model-level causal structure [53]. Our evidence uses direct activation interventions and held-out prediction of perturbation damage; it is bounded to the tested models, readouts, and cohorts.</w:t>
      </w:r>
    </w:p>
    <w:p w14:paraId="7B356B35" w14:textId="77777777" w:rsidR="004C250E" w:rsidRDefault="00000000">
      <w:pPr>
        <w:pStyle w:val="Heading1"/>
      </w:pPr>
      <w:r>
        <w:rPr>
          <w:rFonts w:ascii="Times New Roman" w:hAnsi="Times New Roman"/>
        </w:rPr>
        <w:t>3. Experimental Setup and Interventions</w:t>
      </w:r>
    </w:p>
    <w:p w14:paraId="4B5EBFD2"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and perturbation cohorts remain distinct. Supplementary Section S13 describes the separate practical-carrier cohorts and operator-space endpoints.</w:t>
      </w:r>
    </w:p>
    <w:p w14:paraId="0CF1C6F7" w14:textId="77777777" w:rsidR="004C250E" w:rsidRDefault="00000000">
      <w:pPr>
        <w:spacing w:after="100" w:line="259" w:lineRule="auto"/>
      </w:pPr>
      <w:r>
        <w:t>TABLE I</w:t>
      </w:r>
    </w:p>
    <w:p w14:paraId="326AA5E2" w14:textId="77777777" w:rsidR="004C250E" w:rsidRDefault="00000000">
      <w:pPr>
        <w:spacing w:after="100" w:line="259" w:lineRule="auto"/>
      </w:pPr>
      <w:r>
        <w:t>PRIMARY RESULTS AND EVIDENCE SCOPE</w:t>
      </w:r>
    </w:p>
    <w:p w14:paraId="406A92C3" w14:textId="77777777" w:rsidR="004C250E" w:rsidRDefault="00000000">
      <w:pPr>
        <w:spacing w:after="100" w:line="259" w:lineRule="auto"/>
      </w:pPr>
      <w: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22BBFBD0"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38D1D81"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67B1AF75"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A5144A"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6082D3B" w14:textId="77777777" w:rsidR="004C250E" w:rsidRPr="005D5368" w:rsidRDefault="00000000">
            <w:pPr>
              <w:jc w:val="center"/>
              <w:rPr>
                <w:szCs w:val="28"/>
              </w:rPr>
            </w:pPr>
            <w:r w:rsidRPr="005D5368">
              <w:rPr>
                <w:b/>
                <w:color w:val="17232D"/>
                <w:szCs w:val="28"/>
              </w:rPr>
              <w:t>Main finding</w:t>
            </w:r>
          </w:p>
        </w:tc>
      </w:tr>
      <w:tr w:rsidR="004C250E" w:rsidRPr="005D5368" w14:paraId="49786EDE" w14:textId="77777777" w:rsidTr="005D5368">
        <w:tc>
          <w:tcPr>
            <w:tcW w:w="2498" w:type="dxa"/>
            <w:tcBorders>
              <w:top w:val="single" w:sz="4" w:space="0" w:color="auto"/>
            </w:tcBorders>
            <w:tcMar>
              <w:top w:w="55" w:type="dxa"/>
              <w:left w:w="65" w:type="dxa"/>
              <w:bottom w:w="55" w:type="dxa"/>
              <w:right w:w="65" w:type="dxa"/>
            </w:tcMar>
            <w:vAlign w:val="center"/>
          </w:tcPr>
          <w:p w14:paraId="20B82A10"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543276F0"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2F09A7D6"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20787DA2"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2F63991B" w14:textId="77777777" w:rsidTr="005D5368">
        <w:tc>
          <w:tcPr>
            <w:tcW w:w="2498" w:type="dxa"/>
            <w:tcMar>
              <w:top w:w="55" w:type="dxa"/>
              <w:left w:w="65" w:type="dxa"/>
              <w:bottom w:w="55" w:type="dxa"/>
              <w:right w:w="65" w:type="dxa"/>
            </w:tcMar>
            <w:vAlign w:val="center"/>
          </w:tcPr>
          <w:p w14:paraId="2C420B46"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CB740FC"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450B78"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7CD5C13F"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637B7E48" w14:textId="77777777" w:rsidTr="005D5368">
        <w:tc>
          <w:tcPr>
            <w:tcW w:w="2498" w:type="dxa"/>
            <w:tcMar>
              <w:top w:w="55" w:type="dxa"/>
              <w:left w:w="65" w:type="dxa"/>
              <w:bottom w:w="55" w:type="dxa"/>
              <w:right w:w="65" w:type="dxa"/>
            </w:tcMar>
            <w:vAlign w:val="center"/>
          </w:tcPr>
          <w:p w14:paraId="1AF5672B"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5383A59A"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7C74DBA2"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2A1ADC20"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65341C32" w14:textId="77777777" w:rsidTr="005D5368">
        <w:tc>
          <w:tcPr>
            <w:tcW w:w="2498" w:type="dxa"/>
            <w:tcMar>
              <w:top w:w="55" w:type="dxa"/>
              <w:left w:w="65" w:type="dxa"/>
              <w:bottom w:w="55" w:type="dxa"/>
              <w:right w:w="65" w:type="dxa"/>
            </w:tcMar>
            <w:vAlign w:val="center"/>
          </w:tcPr>
          <w:p w14:paraId="13A87503" w14:textId="77777777" w:rsidR="004C250E" w:rsidRPr="005D5368" w:rsidRDefault="00000000">
            <w:pPr>
              <w:rPr>
                <w:szCs w:val="28"/>
              </w:rPr>
            </w:pPr>
            <w:r w:rsidRPr="005D5368">
              <w:rPr>
                <w:szCs w:val="28"/>
              </w:rPr>
              <w:t>Multi-block operator prediction</w:t>
            </w:r>
          </w:p>
        </w:tc>
        <w:tc>
          <w:tcPr>
            <w:tcW w:w="2498" w:type="dxa"/>
            <w:tcMar>
              <w:top w:w="55" w:type="dxa"/>
              <w:left w:w="65" w:type="dxa"/>
              <w:bottom w:w="55" w:type="dxa"/>
              <w:right w:w="65" w:type="dxa"/>
            </w:tcMar>
            <w:vAlign w:val="center"/>
          </w:tcPr>
          <w:p w14:paraId="409DBA4C"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E00D703"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01459364"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2B71A00" w14:textId="77777777" w:rsidTr="005D5368">
        <w:trPr>
          <w:cantSplit/>
        </w:trPr>
        <w:tc>
          <w:tcPr>
            <w:tcW w:w="2498" w:type="dxa"/>
            <w:tcMar>
              <w:top w:w="55" w:type="dxa"/>
              <w:left w:w="65" w:type="dxa"/>
              <w:bottom w:w="55" w:type="dxa"/>
              <w:right w:w="65" w:type="dxa"/>
            </w:tcMar>
            <w:vAlign w:val="center"/>
          </w:tcPr>
          <w:p w14:paraId="1B2AA533"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E105E35"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4FAF86F"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0B19AAB8" w14:textId="77777777" w:rsidR="004C250E" w:rsidRPr="005D5368" w:rsidRDefault="00000000">
            <w:pPr>
              <w:jc w:val="center"/>
              <w:rPr>
                <w:szCs w:val="28"/>
              </w:rPr>
            </w:pPr>
            <w:r w:rsidRPr="005D5368">
              <w:rPr>
                <w:szCs w:val="28"/>
              </w:rPr>
              <w:t xml:space="preserve">At the most aggressive tested budgets, operator-aware methods beat the strongest </w:t>
            </w:r>
            <w:r w:rsidRPr="005D5368">
              <w:rPr>
                <w:szCs w:val="28"/>
              </w:rPr>
              <w:lastRenderedPageBreak/>
              <w:t>pruning baselines by 4.2–12.0 pp; ToMe remains competitive.</w:t>
            </w:r>
          </w:p>
        </w:tc>
      </w:tr>
    </w:tbl>
    <w:p w14:paraId="4A7667DC" w14:textId="77777777" w:rsidR="004C250E" w:rsidRDefault="004C250E">
      <w:pPr>
        <w:spacing w:after="20"/>
      </w:pPr>
    </w:p>
    <w:p w14:paraId="3B7B3A70"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017DBA86"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BF21BA4" w14:textId="77777777">
        <w:trPr>
          <w:cantSplit/>
          <w:jc w:val="center"/>
        </w:trPr>
        <w:tc>
          <w:tcPr>
            <w:tcW w:w="518" w:type="dxa"/>
            <w:tcMar>
              <w:top w:w="0" w:type="dxa"/>
              <w:left w:w="0" w:type="dxa"/>
              <w:bottom w:w="0" w:type="dxa"/>
              <w:right w:w="0" w:type="dxa"/>
            </w:tcMar>
            <w:vAlign w:val="center"/>
          </w:tcPr>
          <w:p w14:paraId="4F69665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890D20"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39C955EC" w14:textId="77777777" w:rsidR="004C250E" w:rsidRDefault="00000000">
            <w:pPr>
              <w:keepLines/>
              <w:spacing w:before="40" w:after="80" w:line="240" w:lineRule="auto"/>
              <w:jc w:val="right"/>
            </w:pPr>
            <w:r>
              <w:rPr>
                <w:sz w:val="18"/>
              </w:rPr>
              <w:t>(1)</w:t>
            </w:r>
          </w:p>
        </w:tc>
      </w:tr>
    </w:tbl>
    <w:p w14:paraId="121B6BC6"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410254E2"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117F46A9"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117F46A9" w14:textId="77777777" w:rsidR="004C250E" w:rsidRDefault="00000000">
      <w:pPr>
        <w:spacing w:after="100" w:line="259" w:lineRule="auto"/>
      </w:pPr>
      <w:r>
        <w:t>Practical-carrier classifier, operator-space, and throughput procedures are described separately in Supplementary Section S13.</w:t>
      </w:r>
    </w:p>
    <w:p w14:paraId="091FB077" w14:textId="77777777" w:rsidR="004C250E" w:rsidRDefault="00000000">
      <w:pPr>
        <w:pStyle w:val="Heading1"/>
      </w:pPr>
      <w:r>
        <w:rPr>
          <w:rFonts w:ascii="Times New Roman" w:hAnsi="Times New Roman"/>
        </w:rPr>
        <w:t>4. Geometric and Diversity Constraints on Patch-Content Fungibility</w:t>
      </w:r>
    </w:p>
    <w:p w14:paraId="1FC17C4E" w14:textId="77777777" w:rsidR="004C250E" w:rsidRDefault="00000000">
      <w:pPr>
        <w:pStyle w:val="Heading2"/>
      </w:pPr>
      <w:r>
        <w:rPr>
          <w:rFonts w:ascii="Times New Roman" w:hAnsi="Times New Roman"/>
        </w:rPr>
        <w:t>4.1 Depth-Dependent Replacement Tolerance</w:t>
      </w:r>
    </w:p>
    <w:p w14:paraId="5CCA8337"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w:t>
      </w:r>
      <w:r>
        <w:lastRenderedPageBreak/>
        <w:t>Tiny (59.1% vs. 67.2%) and DeiT-Small (69.6% vs. 76.1%), and at depth 7 in ViT-B/16 AugReg (70.4% vs. 74.5%). Gaussian replacement exhibits similar preservation in several settings, achieving 75.3% accuracy on DeiT-Small at depth 8.</w:t>
      </w:r>
    </w:p>
    <w:p w14:paraId="6018CEBD" w14:textId="77777777" w:rsidR="004C250E"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32C008DF"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0C210F2F"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6B502C14" w14:textId="77777777" w:rsidR="004C250E" w:rsidRDefault="00000000">
      <w:pPr>
        <w:pStyle w:val="Heading2"/>
      </w:pPr>
      <w:r>
        <w:rPr>
          <w:rFonts w:ascii="Times New Roman" w:hAnsi="Times New Roman"/>
        </w:rPr>
        <w:t>4.2 Geometric and Diversity Constraints</w:t>
      </w:r>
    </w:p>
    <w:p w14:paraId="7DB7E955"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37F5BA4"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17EB5C80"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3B485DA3"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623D0676"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5A2DCB4F"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29DD8BDD" w14:textId="77777777" w:rsidR="004C250E" w:rsidRDefault="00000000">
      <w:pPr>
        <w:pStyle w:val="Heading1"/>
      </w:pPr>
      <w:r>
        <w:rPr>
          <w:rFonts w:ascii="Times New Roman" w:hAnsi="Times New Roman"/>
        </w:rPr>
        <w:t>5. Functional Geometry and Attention-Mediated Transmission</w:t>
      </w:r>
    </w:p>
    <w:p w14:paraId="334B61EC" w14:textId="77777777" w:rsidR="004C250E" w:rsidRDefault="00000000">
      <w:pPr>
        <w:pStyle w:val="Heading2"/>
      </w:pPr>
      <w:r>
        <w:rPr>
          <w:rFonts w:ascii="Times New Roman" w:hAnsi="Times New Roman"/>
        </w:rPr>
        <w:t>5.1 Anisotropy and Functional Geometry</w:t>
      </w:r>
    </w:p>
    <w:p w14:paraId="6DF85CE5"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78A491B" w14:textId="77777777">
        <w:trPr>
          <w:cantSplit/>
          <w:jc w:val="center"/>
        </w:trPr>
        <w:tc>
          <w:tcPr>
            <w:tcW w:w="518" w:type="dxa"/>
            <w:tcMar>
              <w:top w:w="0" w:type="dxa"/>
              <w:left w:w="0" w:type="dxa"/>
              <w:bottom w:w="0" w:type="dxa"/>
              <w:right w:w="0" w:type="dxa"/>
            </w:tcMar>
            <w:vAlign w:val="center"/>
          </w:tcPr>
          <w:p w14:paraId="6C10A5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5BAE5F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E161A3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30F87AC3" w14:textId="77777777" w:rsidR="004C250E" w:rsidRDefault="00000000">
            <w:pPr>
              <w:keepLines/>
              <w:spacing w:before="40" w:after="80" w:line="240" w:lineRule="auto"/>
              <w:jc w:val="right"/>
            </w:pPr>
            <w:r>
              <w:rPr>
                <w:sz w:val="18"/>
              </w:rPr>
              <w:t>(2)</w:t>
            </w:r>
          </w:p>
        </w:tc>
      </w:tr>
    </w:tbl>
    <w:p w14:paraId="1F23687A" w14:textId="77777777" w:rsidR="004C250E" w:rsidRDefault="00000000">
      <w:pPr>
        <w:keepLines/>
        <w:spacing w:after="100" w:line="259" w:lineRule="auto"/>
      </w:pPr>
      <w:r>
        <w:lastRenderedPageBreak/>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2C6BD7BA"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403FD861"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C5CEAF6"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43AEC485" w14:textId="77777777" w:rsidR="004C250E" w:rsidRDefault="00000000">
      <w:pPr>
        <w:spacing w:after="100" w:line="259" w:lineRule="auto"/>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22B6048D"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3BD94DB8"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1A876409" w14:textId="77777777" w:rsidR="004C250E" w:rsidRDefault="00000000">
      <w:pPr>
        <w:pStyle w:val="Heading2"/>
      </w:pPr>
      <w:r>
        <w:rPr>
          <w:rFonts w:ascii="Times New Roman" w:hAnsi="Times New Roman"/>
        </w:rPr>
        <w:t>5.2 Value-Path Coherence and Cancellation</w:t>
      </w:r>
    </w:p>
    <w:p w14:paraId="57157F17"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6EB97CAE" w14:textId="77777777" w:rsidR="004C250E" w:rsidRDefault="00000000">
      <w:pPr>
        <w:spacing w:after="100" w:line="259" w:lineRule="auto"/>
      </w:pPr>
      <w:r>
        <w:lastRenderedPageBreak/>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5CF10B8E"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2655399A"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2E8F9BD1"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458F6C9" w14:textId="77777777">
        <w:trPr>
          <w:cantSplit/>
          <w:jc w:val="center"/>
        </w:trPr>
        <w:tc>
          <w:tcPr>
            <w:tcW w:w="518" w:type="dxa"/>
            <w:tcMar>
              <w:top w:w="0" w:type="dxa"/>
              <w:left w:w="0" w:type="dxa"/>
              <w:bottom w:w="0" w:type="dxa"/>
              <w:right w:w="0" w:type="dxa"/>
            </w:tcMar>
            <w:vAlign w:val="center"/>
          </w:tcPr>
          <w:p w14:paraId="565976B8"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2C49DC"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B1A4EAB"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1B48D67B" w14:textId="77777777" w:rsidR="004C250E" w:rsidRDefault="00000000">
            <w:pPr>
              <w:keepLines/>
              <w:spacing w:before="40" w:after="80" w:line="240" w:lineRule="auto"/>
              <w:jc w:val="right"/>
            </w:pPr>
            <w:r>
              <w:rPr>
                <w:sz w:val="18"/>
              </w:rPr>
              <w:t>(3)</w:t>
            </w:r>
          </w:p>
        </w:tc>
      </w:tr>
    </w:tbl>
    <w:p w14:paraId="74006F82"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4FC2BD0B" w14:textId="77777777" w:rsidR="004C250E" w:rsidRDefault="00000000">
      <w:pPr>
        <w:pStyle w:val="Heading2"/>
      </w:pPr>
      <w:r>
        <w:rPr>
          <w:rFonts w:ascii="Times New Roman" w:hAnsi="Times New Roman"/>
        </w:rPr>
        <w:lastRenderedPageBreak/>
        <w:t>5.3 End-to-End Functional Transmission</w:t>
      </w:r>
    </w:p>
    <w:p w14:paraId="7CDB41B5"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C5BC8C3" w14:textId="77777777">
        <w:trPr>
          <w:cantSplit/>
          <w:jc w:val="center"/>
        </w:trPr>
        <w:tc>
          <w:tcPr>
            <w:tcW w:w="518" w:type="dxa"/>
            <w:tcMar>
              <w:top w:w="0" w:type="dxa"/>
              <w:left w:w="0" w:type="dxa"/>
              <w:bottom w:w="0" w:type="dxa"/>
              <w:right w:w="0" w:type="dxa"/>
            </w:tcMar>
            <w:vAlign w:val="center"/>
          </w:tcPr>
          <w:p w14:paraId="0274C07B"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408EEB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5BBFAD7"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792F8B3" w14:textId="77777777" w:rsidR="004C250E" w:rsidRDefault="00000000">
            <w:pPr>
              <w:keepLines/>
              <w:spacing w:before="40" w:after="80" w:line="240" w:lineRule="auto"/>
              <w:jc w:val="right"/>
            </w:pPr>
            <w:r>
              <w:rPr>
                <w:sz w:val="18"/>
              </w:rPr>
              <w:t>(4)</w:t>
            </w:r>
          </w:p>
        </w:tc>
      </w:tr>
    </w:tbl>
    <w:p w14:paraId="1831C399"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482987A5"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7C458E38"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136DECEA"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7B267624"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0D8F3892"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36BF0B" w14:textId="77777777">
        <w:trPr>
          <w:cantSplit/>
          <w:jc w:val="center"/>
        </w:trPr>
        <w:tc>
          <w:tcPr>
            <w:tcW w:w="518" w:type="dxa"/>
            <w:tcMar>
              <w:top w:w="0" w:type="dxa"/>
              <w:left w:w="0" w:type="dxa"/>
              <w:bottom w:w="0" w:type="dxa"/>
              <w:right w:w="0" w:type="dxa"/>
            </w:tcMar>
            <w:vAlign w:val="center"/>
          </w:tcPr>
          <w:p w14:paraId="4A79E552"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15F620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0340FF04"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6F83E6B6" w14:textId="77777777" w:rsidR="004C250E" w:rsidRDefault="00000000">
            <w:pPr>
              <w:keepLines/>
              <w:spacing w:before="40" w:after="80" w:line="240" w:lineRule="auto"/>
              <w:jc w:val="right"/>
            </w:pPr>
            <w:r>
              <w:rPr>
                <w:sz w:val="18"/>
              </w:rPr>
              <w:t>(5)</w:t>
            </w:r>
          </w:p>
        </w:tc>
      </w:tr>
    </w:tbl>
    <w:p w14:paraId="794BDB30"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6E24CA9A"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147D740D"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BD9E52D"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6139A9A4"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7C2DDE8D"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w:t>
      </w:r>
      <w:r>
        <w:lastRenderedPageBreak/>
        <w:t>coherence, and downstream transmission jointly constrain perturbation damage in the tested settings, motivating the operator-aware compression analysis in Section 6.</w:t>
      </w:r>
    </w:p>
    <w:p w14:paraId="06BFCF99" w14:textId="77777777" w:rsidR="004C250E" w:rsidRDefault="00000000">
      <w:pPr>
        <w:pStyle w:val="Heading1"/>
      </w:pPr>
      <w:r>
        <w:rPr>
          <w:rFonts w:ascii="Times New Roman" w:hAnsi="Times New Roman"/>
        </w:rPr>
        <w:t>6. Operator-Aware Token Compression</w:t>
      </w:r>
    </w:p>
    <w:p w14:paraId="078BC42D" w14:textId="77777777" w:rsidR="004C250E" w:rsidRDefault="00000000">
      <w:pPr>
        <w:pStyle w:val="Heading2"/>
      </w:pPr>
      <w:r>
        <w:rPr>
          <w:rFonts w:ascii="Times New Roman" w:hAnsi="Times New Roman"/>
        </w:rPr>
        <w:t>6.1 Carrier Grouping and Optimization</w:t>
      </w:r>
    </w:p>
    <w:p w14:paraId="17F1B08A"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0CE2CE" w14:textId="77777777" w:rsidTr="00A3332A">
        <w:trPr>
          <w:cantSplit/>
          <w:jc w:val="center"/>
        </w:trPr>
        <w:tc>
          <w:tcPr>
            <w:tcW w:w="518" w:type="dxa"/>
            <w:tcMar>
              <w:top w:w="0" w:type="dxa"/>
              <w:left w:w="0" w:type="dxa"/>
              <w:bottom w:w="0" w:type="dxa"/>
              <w:right w:w="0" w:type="dxa"/>
            </w:tcMar>
            <w:vAlign w:val="center"/>
          </w:tcPr>
          <w:p w14:paraId="2E0E6ED5"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7ABEACE7"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7FFC1DB7" w14:textId="77777777" w:rsidR="004C250E" w:rsidRDefault="00000000">
            <w:pPr>
              <w:keepLines/>
              <w:spacing w:before="40" w:after="80" w:line="240" w:lineRule="auto"/>
              <w:jc w:val="right"/>
            </w:pPr>
            <w:r>
              <w:rPr>
                <w:sz w:val="18"/>
              </w:rPr>
              <w:t>(6)</w:t>
            </w:r>
          </w:p>
        </w:tc>
      </w:tr>
    </w:tbl>
    <w:p w14:paraId="3765ACE9" w14:textId="77777777"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52A749B3" w14:textId="77777777"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995253" w14:textId="77777777">
        <w:trPr>
          <w:cantSplit/>
          <w:jc w:val="center"/>
        </w:trPr>
        <w:tc>
          <w:tcPr>
            <w:tcW w:w="518" w:type="dxa"/>
            <w:tcMar>
              <w:top w:w="0" w:type="dxa"/>
              <w:left w:w="0" w:type="dxa"/>
              <w:bottom w:w="0" w:type="dxa"/>
              <w:right w:w="0" w:type="dxa"/>
            </w:tcMar>
            <w:vAlign w:val="center"/>
          </w:tcPr>
          <w:p w14:paraId="76C336C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A1A9AC9"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9B0E6F7" w14:textId="77777777" w:rsidR="004C250E" w:rsidRDefault="00000000">
            <w:pPr>
              <w:keepLines/>
              <w:spacing w:before="40" w:after="80" w:line="240" w:lineRule="auto"/>
              <w:jc w:val="right"/>
            </w:pPr>
            <w:r>
              <w:rPr>
                <w:sz w:val="18"/>
              </w:rPr>
              <w:t>(7)</w:t>
            </w:r>
          </w:p>
        </w:tc>
      </w:tr>
    </w:tbl>
    <w:p w14:paraId="4EF7DD4B"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F72AC23" w14:textId="77777777">
        <w:trPr>
          <w:cantSplit/>
          <w:jc w:val="center"/>
        </w:trPr>
        <w:tc>
          <w:tcPr>
            <w:tcW w:w="518" w:type="dxa"/>
            <w:tcMar>
              <w:top w:w="0" w:type="dxa"/>
              <w:left w:w="0" w:type="dxa"/>
              <w:bottom w:w="0" w:type="dxa"/>
              <w:right w:w="0" w:type="dxa"/>
            </w:tcMar>
            <w:vAlign w:val="center"/>
          </w:tcPr>
          <w:p w14:paraId="15F1675C"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6916E81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2ED3D3D7" w14:textId="77777777" w:rsidR="004C250E" w:rsidRDefault="00000000">
            <w:pPr>
              <w:keepLines/>
              <w:spacing w:before="40" w:after="80" w:line="240" w:lineRule="auto"/>
              <w:jc w:val="right"/>
            </w:pPr>
            <w:r>
              <w:rPr>
                <w:sz w:val="18"/>
              </w:rPr>
              <w:t>(8)</w:t>
            </w:r>
          </w:p>
        </w:tc>
      </w:tr>
    </w:tbl>
    <w:p w14:paraId="3D4263B3"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36F7B194" w14:textId="77777777" w:rsidR="005B4464" w:rsidRDefault="00000000">
      <w:pPr>
        <w:spacing w:after="100" w:line="259" w:lineRule="auto"/>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551C531" w14:textId="77777777">
        <w:trPr>
          <w:cantSplit/>
          <w:jc w:val="center"/>
        </w:trPr>
        <w:tc>
          <w:tcPr>
            <w:tcW w:w="518" w:type="dxa"/>
            <w:tcMar>
              <w:top w:w="0" w:type="dxa"/>
              <w:left w:w="0" w:type="dxa"/>
              <w:bottom w:w="0" w:type="dxa"/>
              <w:right w:w="0" w:type="dxa"/>
            </w:tcMar>
            <w:vAlign w:val="center"/>
          </w:tcPr>
          <w:p w14:paraId="576455A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F36CE2C"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3490340B" w14:textId="77777777" w:rsidR="00BA0128" w:rsidRDefault="00BA0128">
            <w:pPr>
              <w:keepLines/>
              <w:spacing w:after="0" w:line="240" w:lineRule="auto"/>
              <w:jc w:val="center"/>
            </w:pPr>
          </w:p>
          <w:p w14:paraId="1B295D78"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1CF38569" w14:textId="77777777" w:rsidR="004C250E" w:rsidRDefault="00000000">
            <w:pPr>
              <w:keepLines/>
              <w:spacing w:before="40" w:after="80" w:line="240" w:lineRule="auto"/>
              <w:jc w:val="right"/>
            </w:pPr>
            <w:r>
              <w:rPr>
                <w:sz w:val="18"/>
              </w:rPr>
              <w:t>(9)</w:t>
            </w:r>
          </w:p>
        </w:tc>
      </w:tr>
    </w:tbl>
    <w:p w14:paraId="6D06BD8B"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36A2680C"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E7571AC" w14:textId="77777777">
        <w:trPr>
          <w:cantSplit/>
          <w:jc w:val="center"/>
        </w:trPr>
        <w:tc>
          <w:tcPr>
            <w:tcW w:w="518" w:type="dxa"/>
            <w:tcMar>
              <w:top w:w="0" w:type="dxa"/>
              <w:left w:w="0" w:type="dxa"/>
              <w:bottom w:w="0" w:type="dxa"/>
              <w:right w:w="0" w:type="dxa"/>
            </w:tcMar>
            <w:vAlign w:val="center"/>
          </w:tcPr>
          <w:p w14:paraId="0F7E533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C4B9AC1" w14:textId="1B017448"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B7CD146" w14:textId="77777777" w:rsidR="004C250E" w:rsidRDefault="00000000">
            <w:pPr>
              <w:keepLines/>
              <w:spacing w:before="40" w:after="80" w:line="240" w:lineRule="auto"/>
              <w:jc w:val="right"/>
            </w:pPr>
            <w:r>
              <w:rPr>
                <w:sz w:val="18"/>
              </w:rPr>
              <w:t>(10)</w:t>
            </w:r>
          </w:p>
        </w:tc>
      </w:tr>
    </w:tbl>
    <w:p w14:paraId="7A96CE70" w14:textId="77777777" w:rsidR="004C250E"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67AA1BE" w14:textId="77777777" w:rsidR="004C250E" w:rsidRDefault="00000000">
      <w:pPr>
        <w:pStyle w:val="Heading2"/>
      </w:pPr>
      <w:r>
        <w:rPr>
          <w:rFonts w:ascii="Times New Roman" w:hAnsi="Times New Roman"/>
        </w:rPr>
        <w:t>6.2 Confirmatory Compression Results</w:t>
      </w:r>
    </w:p>
    <w:p w14:paraId="299B9DAA" w14:textId="77777777" w:rsidR="004C250E" w:rsidRDefault="00000000">
      <w:pPr>
        <w:spacing w:after="100" w:line="259" w:lineRule="auto"/>
      </w:pPr>
      <w:r>
        <w:t>At each architecture’s most aggressive tested token budget, Table II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These comparisons therefore do not show universal dominance over the stronger merging baselines.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51FC399B" w14:textId="77777777" w:rsidR="004C250E" w:rsidRDefault="00000000">
      <w:pPr>
        <w:spacing w:after="100" w:line="259" w:lineRule="auto"/>
      </w:pPr>
      <w:r>
        <w:t>TABLE II</w:t>
      </w:r>
    </w:p>
    <w:p w14:paraId="543AC7A6" w14:textId="77777777" w:rsidR="004C250E" w:rsidRDefault="00000000">
      <w:pPr>
        <w:spacing w:after="100" w:line="259" w:lineRule="auto"/>
      </w:pPr>
      <w:r>
        <w:t>STRICT CONFIRMATORY TOP-1 ACCURACY AT THE MOST AGGRESSIVE TESTED BUDGET</w:t>
      </w:r>
    </w:p>
    <w:p w14:paraId="6E0A0B10"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094B963A"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125743E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8D4955D"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E72DD36"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79D44F3"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6ADA12"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93CBC6E"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A15A44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B4BE2E0" w14:textId="77777777" w:rsidR="004C250E" w:rsidRPr="005D5368" w:rsidRDefault="00000000">
            <w:pPr>
              <w:jc w:val="center"/>
              <w:rPr>
                <w:szCs w:val="32"/>
              </w:rPr>
            </w:pPr>
            <w:r w:rsidRPr="005D5368">
              <w:rPr>
                <w:b/>
                <w:color w:val="17232D"/>
                <w:szCs w:val="32"/>
              </w:rPr>
              <w:t>Rank-32</w:t>
            </w:r>
          </w:p>
        </w:tc>
      </w:tr>
      <w:tr w:rsidR="004C250E" w14:paraId="3C9A5873" w14:textId="77777777" w:rsidTr="005D5368">
        <w:tc>
          <w:tcPr>
            <w:tcW w:w="1249" w:type="dxa"/>
            <w:tcBorders>
              <w:top w:val="single" w:sz="4" w:space="0" w:color="auto"/>
            </w:tcBorders>
            <w:tcMar>
              <w:top w:w="55" w:type="dxa"/>
              <w:left w:w="65" w:type="dxa"/>
              <w:bottom w:w="55" w:type="dxa"/>
              <w:right w:w="65" w:type="dxa"/>
            </w:tcMar>
            <w:vAlign w:val="center"/>
          </w:tcPr>
          <w:p w14:paraId="33CEE34C"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22F2A53D"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51B9EBB4"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64942A5C"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232A00B0"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1D691DAE"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4A46976"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126EB820" w14:textId="77777777" w:rsidR="004C250E" w:rsidRPr="005D5368" w:rsidRDefault="00000000">
            <w:pPr>
              <w:jc w:val="center"/>
              <w:rPr>
                <w:szCs w:val="32"/>
              </w:rPr>
            </w:pPr>
            <w:r w:rsidRPr="005D5368">
              <w:rPr>
                <w:szCs w:val="32"/>
              </w:rPr>
              <w:t>67.9%</w:t>
            </w:r>
          </w:p>
        </w:tc>
      </w:tr>
      <w:tr w:rsidR="004C250E" w14:paraId="4A44AD01" w14:textId="77777777" w:rsidTr="005D5368">
        <w:tc>
          <w:tcPr>
            <w:tcW w:w="1249" w:type="dxa"/>
            <w:tcMar>
              <w:top w:w="55" w:type="dxa"/>
              <w:left w:w="65" w:type="dxa"/>
              <w:bottom w:w="55" w:type="dxa"/>
              <w:right w:w="65" w:type="dxa"/>
            </w:tcMar>
            <w:vAlign w:val="center"/>
          </w:tcPr>
          <w:p w14:paraId="08400FCB"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1CAA9453"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708E2C2"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0AF0059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35126464"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1DA22C91"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71948127"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692BA422" w14:textId="77777777" w:rsidR="004C250E" w:rsidRPr="005D5368" w:rsidRDefault="00000000">
            <w:pPr>
              <w:jc w:val="center"/>
              <w:rPr>
                <w:szCs w:val="32"/>
              </w:rPr>
            </w:pPr>
            <w:r w:rsidRPr="005D5368">
              <w:rPr>
                <w:szCs w:val="32"/>
              </w:rPr>
              <w:t>76.5%</w:t>
            </w:r>
          </w:p>
        </w:tc>
      </w:tr>
      <w:tr w:rsidR="004C250E" w14:paraId="12A836C1" w14:textId="77777777" w:rsidTr="005D5368">
        <w:tc>
          <w:tcPr>
            <w:tcW w:w="1249" w:type="dxa"/>
            <w:tcMar>
              <w:top w:w="55" w:type="dxa"/>
              <w:left w:w="65" w:type="dxa"/>
              <w:bottom w:w="55" w:type="dxa"/>
              <w:right w:w="65" w:type="dxa"/>
            </w:tcMar>
            <w:vAlign w:val="center"/>
          </w:tcPr>
          <w:p w14:paraId="47ADD47B"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72BD59B5"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65276B97"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34575CFE"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16974DA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458A96D2"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70C8D4FF"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63A02B41" w14:textId="77777777" w:rsidR="004C250E" w:rsidRPr="005D5368" w:rsidRDefault="00000000">
            <w:pPr>
              <w:jc w:val="center"/>
              <w:rPr>
                <w:szCs w:val="32"/>
              </w:rPr>
            </w:pPr>
            <w:r w:rsidRPr="005D5368">
              <w:rPr>
                <w:szCs w:val="32"/>
              </w:rPr>
              <w:t>74.2%</w:t>
            </w:r>
          </w:p>
        </w:tc>
      </w:tr>
      <w:tr w:rsidR="004C250E" w14:paraId="42A1D496" w14:textId="77777777" w:rsidTr="005D5368">
        <w:tc>
          <w:tcPr>
            <w:tcW w:w="1249" w:type="dxa"/>
            <w:tcBorders>
              <w:bottom w:val="single" w:sz="4" w:space="0" w:color="auto"/>
            </w:tcBorders>
            <w:tcMar>
              <w:top w:w="55" w:type="dxa"/>
              <w:left w:w="65" w:type="dxa"/>
              <w:bottom w:w="55" w:type="dxa"/>
              <w:right w:w="65" w:type="dxa"/>
            </w:tcMar>
            <w:vAlign w:val="center"/>
          </w:tcPr>
          <w:p w14:paraId="5A49514B"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49C0998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7CCE2CAC"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0C94CCE1"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43849A19"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51187A10"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330F8E81"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76DACAC5" w14:textId="77777777" w:rsidR="004C250E" w:rsidRPr="005D5368" w:rsidRDefault="00000000">
            <w:pPr>
              <w:jc w:val="center"/>
              <w:rPr>
                <w:szCs w:val="32"/>
              </w:rPr>
            </w:pPr>
            <w:r w:rsidRPr="005D5368">
              <w:rPr>
                <w:szCs w:val="32"/>
              </w:rPr>
              <w:t>73.0%</w:t>
            </w:r>
          </w:p>
        </w:tc>
      </w:tr>
    </w:tbl>
    <w:p w14:paraId="5565636B" w14:textId="77777777" w:rsidR="004C250E" w:rsidRDefault="004C250E">
      <w:pPr>
        <w:spacing w:after="20"/>
      </w:pPr>
    </w:p>
    <w:p w14:paraId="2DA3F369"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II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II lists rank-16 and rank-32 Top-1 at each architecture's most aggressive tested budget.</w:t>
      </w:r>
    </w:p>
    <w:p w14:paraId="05BDE06F"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6057BB45"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2DA3F369" w14:textId="77777777" w:rsidR="004C250E" w:rsidRDefault="00000000">
      <w:pPr>
        <w:spacing w:after="100" w:line="259" w:lineRule="auto"/>
      </w:pPr>
      <w:r>
        <w:t>The Full-J formulation is evaluated as an offline, image-conditioned oracle rather than a deployable efficient-inference algorithm. Calibration-frozen carrier approximations and measured accuracy–throughput tradeoffs are evaluated separately in Supplementary Section S13; these experiments do not establish a general deployment advantage.</w:t>
      </w:r>
    </w:p>
    <w:p w14:paraId="39807257" w14:textId="77777777" w:rsidR="004C250E" w:rsidRDefault="00000000">
      <w:pPr>
        <w:pStyle w:val="Heading1"/>
      </w:pPr>
      <w:r>
        <w:rPr>
          <w:rFonts w:ascii="Times New Roman" w:hAnsi="Times New Roman"/>
        </w:rPr>
        <w:t>7. Limitations</w:t>
      </w:r>
    </w:p>
    <w:p w14:paraId="0FAF41AF" w14:textId="77777777" w:rsidR="004C250E" w:rsidRDefault="00000000">
      <w:pPr>
        <w:spacing w:after="100" w:line="259" w:lineRule="auto"/>
      </w:pPr>
      <w:r>
        <w:t>Mechanistic evidence comes from finite, protocol-specific cohorts in Table I and four pretrained ViT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Full-J requires a per-image Jacobian and is an offline oracle. The practical-carrier and operator-space studies use distinct protocols and endpoints, while measured full-model runtime is specific to the tested hardware, batch sizes, and implementations. The evidence does not establish a general deployment advantage.</w:t>
      </w:r>
    </w:p>
    <w:p w14:paraId="51779464" w14:textId="77777777" w:rsidR="004C250E" w:rsidRDefault="00000000">
      <w:pPr>
        <w:pStyle w:val="Heading1"/>
      </w:pPr>
      <w:r>
        <w:rPr>
          <w:rFonts w:ascii="Times New Roman" w:hAnsi="Times New Roman"/>
        </w:rPr>
        <w:t>8. Conclusion</w:t>
      </w:r>
    </w:p>
    <w:p w14:paraId="7384948B" w14:textId="77777777" w:rsidR="004C250E" w:rsidRDefault="00000000">
      <w:pPr>
        <w:spacing w:after="100" w:line="259" w:lineRule="auto"/>
      </w:pPr>
      <w:r>
        <w:t>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The bounded compression result uses an offline, image-conditioned Full-J oracle; practical carrier evidence is summarized in Supplementary Section S13, and the available measurements do not establish a general deployment advantage.</w:t>
      </w:r>
    </w:p>
    <w:p w14:paraId="40439EFE" w14:textId="77777777" w:rsidR="004C250E" w:rsidRDefault="00000000">
      <w:pPr>
        <w:pStyle w:val="Heading1"/>
      </w:pPr>
      <w:r>
        <w:rPr>
          <w:rFonts w:ascii="Times New Roman" w:hAnsi="Times New Roman"/>
        </w:rPr>
        <w:t>Reproducibility and Evidence</w:t>
      </w:r>
    </w:p>
    <w:p w14:paraId="7D3751E8"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4E4E371A" w14:textId="77777777" w:rsidR="004C250E" w:rsidRDefault="00000000">
      <w:pPr>
        <w:pStyle w:val="Heading1"/>
      </w:pPr>
      <w:r>
        <w:t>References</w:t>
      </w:r>
    </w:p>
    <w:p w14:paraId="29A4CA2C"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31ECB8C7"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61796602" w14:textId="77777777" w:rsidR="004C250E" w:rsidRDefault="00000000">
      <w:pPr>
        <w:spacing w:after="80" w:line="240" w:lineRule="auto"/>
        <w:ind w:left="403" w:hanging="403"/>
      </w:pPr>
      <w:r>
        <w:rPr>
          <w:color w:val="26343D"/>
          <w:sz w:val="17"/>
        </w:rPr>
        <w:lastRenderedPageBreak/>
        <w:t>[3] H. Touvron, M. Cord, M. Douze, F. Massa, A. Sablayrolles, H. Jégou, “Training data-efficient image transformers &amp; distillation through attention,” in Proc. 38th Int. Conf. Mach. Learn., vol. 139, pp. 10347–10357, 2021. Available: https://proceedings.mlr.press/v139/touvron21a.html.</w:t>
      </w:r>
    </w:p>
    <w:p w14:paraId="094B5204"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29961D86"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7EF76EC0"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7560AA1E"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186B302B"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323B16B"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6B5A40DE"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0776D2D"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00A419D0"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327EF876"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4C0E992C"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6717176B"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BEA51B6"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674DBE42"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2C88CFA8"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1793262B"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032BF3B3"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830D6B8"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14AA2FA2"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5FF21BB6"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61E085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293372D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5C9452C"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056F8321"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220629CF"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617EB31A" w14:textId="77777777" w:rsidR="004C250E" w:rsidRDefault="00000000">
      <w:pPr>
        <w:spacing w:after="80" w:line="240" w:lineRule="auto"/>
        <w:ind w:left="403" w:hanging="403"/>
      </w:pPr>
      <w:r>
        <w:rPr>
          <w:color w:val="26343D"/>
          <w:sz w:val="17"/>
        </w:rPr>
        <w:lastRenderedPageBreak/>
        <w:t>[29] Y. Tang, K. Han, Y. Wang, C. Xu, J. Guo, C. Xu, et al., “Patch Slimming for Efficient Vision Transformers,” in Proc. IEEE/CVF Conf. Comput. Vis. Pattern Recognit., pp. 12165–12174, 2022. DOI: 10.1109/CVPR52688.2022.01185.</w:t>
      </w:r>
    </w:p>
    <w:p w14:paraId="54A9E288"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4645F70"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9AE11F8"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55F43F78"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1633B969"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95CAA50"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52FEAF9B"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FA3A068"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134D7A1E"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1E529D8D"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6272FD17"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70645782"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547E159B" w14:textId="77777777" w:rsidR="004C250E" w:rsidRDefault="00000000">
      <w:pPr>
        <w:spacing w:after="80" w:line="240" w:lineRule="auto"/>
        <w:ind w:left="403" w:hanging="403"/>
      </w:pPr>
      <w:r>
        <w:rPr>
          <w:color w:val="26343D"/>
          <w:sz w:val="17"/>
        </w:rPr>
        <w:t>[42]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040FAD0F" w14:textId="77777777" w:rsidR="004C250E" w:rsidRDefault="00000000">
      <w:pPr>
        <w:spacing w:after="80" w:line="240" w:lineRule="auto"/>
        <w:ind w:left="403" w:hanging="403"/>
      </w:pPr>
      <w:r>
        <w:rPr>
          <w:color w:val="26343D"/>
          <w:sz w:val="17"/>
        </w:rPr>
        <w:t>[43] Y. LeCun, J. S. Denker, S. A. Solla, “Optimal Brain Damage,” in Advances in Neural Information Processing Systems, vol. 2, pp. 598–605, 1989. Available: https://proceedings.neurips.cc/paper/1989/hash/6c9882bbac1c7093bd25041881277658-Abstract.html.</w:t>
      </w:r>
    </w:p>
    <w:p w14:paraId="686ED271" w14:textId="77777777" w:rsidR="004C250E" w:rsidRDefault="00000000">
      <w:pPr>
        <w:spacing w:after="80" w:line="240" w:lineRule="auto"/>
        <w:ind w:left="403" w:hanging="403"/>
      </w:pPr>
      <w:r>
        <w:rPr>
          <w:color w:val="26343D"/>
          <w:sz w:val="17"/>
        </w:rPr>
        <w:t>[44] B. Hassibi, D. G. Stork, “Optimal Brain Surgeon and general network pruning,” in Proceedings of the IEEE Proc. IEEE Int. Conf. Neural Netw., vol. 1, pp. 293–299, 1993. DOI: 10.1109/ICNN.1993.298572.</w:t>
      </w:r>
    </w:p>
    <w:p w14:paraId="7E8C2984" w14:textId="77777777" w:rsidR="004C250E" w:rsidRDefault="00000000">
      <w:pPr>
        <w:spacing w:after="80" w:line="240" w:lineRule="auto"/>
        <w:ind w:left="403" w:hanging="403"/>
      </w:pPr>
      <w:r>
        <w:rPr>
          <w:color w:val="26343D"/>
          <w:sz w:val="17"/>
        </w:rPr>
        <w:t>[45] C. Thrash, K. Chen, S. Kolouri, “Output-aware Residual Stream Pruning for Large Language Models,” in arXiv preprint arXiv:2609.35579, 2026. DOI: 10.48550/arXiv.2609.35579.</w:t>
      </w:r>
    </w:p>
    <w:p w14:paraId="62219F71" w14:textId="77777777" w:rsidR="004C250E" w:rsidRDefault="00000000">
      <w:pPr>
        <w:spacing w:after="80" w:line="240" w:lineRule="auto"/>
        <w:ind w:left="403" w:hanging="403"/>
      </w:pPr>
      <w:r>
        <w:rPr>
          <w:color w:val="26343D"/>
          <w:sz w:val="17"/>
        </w:rPr>
        <w:t>[46] S. Jain, B. C. Wallace, “Attention Is Not Explanation,” in Proceedings of the 2019 Conference of the North American Chapter of the Association for Computational Linguistics: Human Language Technologies, pp. 3543–3556, 2019. DOI: 10.18653/v1/N19-1357.</w:t>
      </w:r>
    </w:p>
    <w:p w14:paraId="3EEEA0DF" w14:textId="77777777" w:rsidR="004C250E" w:rsidRDefault="00000000">
      <w:pPr>
        <w:spacing w:after="80" w:line="240" w:lineRule="auto"/>
        <w:ind w:left="403" w:hanging="403"/>
      </w:pPr>
      <w:r>
        <w:rPr>
          <w:color w:val="26343D"/>
          <w:sz w:val="17"/>
        </w:rPr>
        <w:t>[47] S. Serrano, N. A. Smith, “Is Attention Interpretable?,” in Proceedings of the 57th Annual Meeting of the Association for Computational Linguistics, pp. 2931–2951, 2019. DOI: 10.18653/v1/P19-1282.</w:t>
      </w:r>
    </w:p>
    <w:p w14:paraId="639E5749" w14:textId="77777777" w:rsidR="004C250E" w:rsidRDefault="00000000">
      <w:pPr>
        <w:spacing w:after="80" w:line="240" w:lineRule="auto"/>
        <w:ind w:left="403" w:hanging="403"/>
      </w:pPr>
      <w:r>
        <w:rPr>
          <w:color w:val="26343D"/>
          <w:sz w:val="17"/>
        </w:rPr>
        <w:t>[48] S. Wiegreffe, Y. Pinter, “Attention Is Not Not Explanation,” in Proceedings of the 2019 Conference on Empirical Methods in Natural Language Processing and the 9th International Joint Conference on Natural Language Processing, pp. 11–20, 2019. DOI: 10.18653/v1/D19-1002.</w:t>
      </w:r>
    </w:p>
    <w:p w14:paraId="4C878846" w14:textId="77777777" w:rsidR="004C250E" w:rsidRDefault="00000000">
      <w:pPr>
        <w:spacing w:after="80" w:line="240" w:lineRule="auto"/>
        <w:ind w:left="403" w:hanging="403"/>
      </w:pPr>
      <w:r>
        <w:rPr>
          <w:color w:val="26343D"/>
          <w:sz w:val="17"/>
        </w:rPr>
        <w:t>[49] S. Abnar, W. Zuidema, “Quantifying Attention Flow in Transformers,” in Proceedings of the 58th Annual Meeting of the Association for Computational Linguistics, pp. 4190–4197, 2020. DOI: 10.18653/v1/2020.acl-main.385.</w:t>
      </w:r>
    </w:p>
    <w:p w14:paraId="0683CFD5" w14:textId="77777777" w:rsidR="004C250E" w:rsidRDefault="00000000">
      <w:pPr>
        <w:spacing w:after="80" w:line="240" w:lineRule="auto"/>
        <w:ind w:left="403" w:hanging="403"/>
      </w:pPr>
      <w:r>
        <w:rPr>
          <w:color w:val="26343D"/>
          <w:sz w:val="17"/>
        </w:rPr>
        <w:t>[50] M. Sundararajan, A. Taly, Q. Yan, “Axiomatic Attribution for Deep Networks,” in Proc. 34th Int. Conf. Mach. Learn., vol. 70, pp. 3319–3328, 2017. Available: https://proceedings.mlr.press/v70/sundararajan17a.html.</w:t>
      </w:r>
    </w:p>
    <w:p w14:paraId="09C8CF29" w14:textId="77777777" w:rsidR="004C250E" w:rsidRDefault="00000000">
      <w:pPr>
        <w:spacing w:after="80" w:line="240" w:lineRule="auto"/>
        <w:ind w:left="403" w:hanging="403"/>
      </w:pPr>
      <w:r>
        <w:rPr>
          <w:color w:val="26343D"/>
          <w:sz w:val="17"/>
        </w:rPr>
        <w:t>[51] J. Adebayo, J. Gilmer, M. Muelly, I. Goodfellow, M. Hardt, B. Kim, “Sanity Checks for Saliency Maps,” in Advances in Neural Information Processing Systems, vol. 31, pp. 9505–9515, 2018. Available: https://proceedings.neurips.cc/paper/2018/hash/294a8ed24b1ad22ec2e7efea049b8737-Abstract.html.</w:t>
      </w:r>
    </w:p>
    <w:p w14:paraId="77C014E2" w14:textId="77777777" w:rsidR="004C250E" w:rsidRDefault="00000000">
      <w:pPr>
        <w:spacing w:after="80" w:line="240" w:lineRule="auto"/>
        <w:ind w:left="403" w:hanging="403"/>
      </w:pPr>
      <w:r>
        <w:rPr>
          <w:color w:val="26343D"/>
          <w:sz w:val="17"/>
        </w:rPr>
        <w:t>[52] H. Chefer, S. Gur, L. Wolf, “Transformer Interpretability Beyond Attention Visualization,” in Proc. IEEE/CVF Conf. Comput. Vis. Pattern Recognit., pp. 782–791, 2021. DOI: 10.1109/CVPR46437.2021.00084.</w:t>
      </w:r>
    </w:p>
    <w:p w14:paraId="1EEE1CC3" w14:textId="77777777" w:rsidR="004C250E" w:rsidRDefault="00000000">
      <w:pPr>
        <w:spacing w:after="80" w:line="240" w:lineRule="auto"/>
        <w:ind w:left="403" w:hanging="403"/>
      </w:pPr>
      <w:r>
        <w:rPr>
          <w:color w:val="26343D"/>
          <w:sz w:val="17"/>
        </w:rPr>
        <w:t>[53]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B6A"/>
    <w:rsid w:val="004C250E"/>
    <w:rsid w:val="004E1E68"/>
    <w:rsid w:val="005B4464"/>
    <w:rsid w:val="005D5368"/>
    <w:rsid w:val="007336CA"/>
    <w:rsid w:val="007E599C"/>
    <w:rsid w:val="00A3332A"/>
    <w:rsid w:val="00A439D2"/>
    <w:rsid w:val="00AA1D8D"/>
    <w:rsid w:val="00B47730"/>
    <w:rsid w:val="00BA0128"/>
    <w:rsid w:val="00CB0664"/>
    <w:rsid w:val="00D412D2"/>
    <w:rsid w:val="00ED7B1F"/>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07957"/>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16</Pages>
  <Words>9179</Words>
  <Characters>52325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8</cp:revision>
  <dcterms:created xsi:type="dcterms:W3CDTF">2013-12-23T23:15:00Z</dcterms:created>
  <dcterms:modified xsi:type="dcterms:W3CDTF">2026-10-10T08:44:00Z</dcterms:modified>
  <cp:category/>
</cp:coreProperties>
</file>