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spacing w:after="100" w:line="259" w:lineRule="auto"/>
      </w:pPr>
      <w:r>
        <w:rPr>
          <w:rFonts w:ascii="Times New Roman" w:hAnsi="Times New Roman"/>
          <w:b/>
          <w:color w:val="202A32"/>
          <w:sz w:val="20"/>
        </w:rPr>
        <w:t>Supplementary evidence map.</w:t>
      </w:r>
      <w:r>
        <w:rPr>
          <w:rFonts w:ascii="Times New Roman" w:hAnsi="Times New Roman"/>
          <w:i w:val="0"/>
          <w:color w:val="202A32"/>
          <w:sz w:val="20"/>
        </w:rPr>
        <w:t xml:space="preserve">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The exact transition is architecture-dependent, as shown by the cross-architecture replication, where the strongest window occurs at Block 7 for ViT-B and Block 9 for DINOv2.</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distinction explains why direct corruption of the entire patch stream has a stronger observable effect in DINOv2 and is explicitly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spacing w:after="100" w:line="259" w:lineRule="auto"/>
      </w:pPr>
      <w:r>
        <w:rPr>
          <w:rFonts w:ascii="Times New Roman" w:hAnsi="Times New Roman"/>
          <w:i w:val="0"/>
          <w:color w:val="202A32"/>
          <w:sz w:val="20"/>
        </w:rP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pPr>
        <w:keepNext/>
        <w:keepLines/>
        <w:spacing w:after="20"/>
        <w:jc w:val="center"/>
      </w:pPr>
      <w:r>
        <w:drawing>
          <wp:inline xmlns:a="http://schemas.openxmlformats.org/drawingml/2006/main" xmlns:pic="http://schemas.openxmlformats.org/drawingml/2006/picture">
            <wp:extent cx="6172200" cy="4421690"/>
            <wp:docPr id="12" name="Picture 12"/>
            <wp:cNvGraphicFramePr>
              <a:graphicFrameLocks noChangeAspect="1"/>
            </wp:cNvGraphicFramePr>
            <a:graphic>
              <a:graphicData uri="http://schemas.openxmlformats.org/drawingml/2006/picture">
                <pic:pic>
                  <pic:nvPicPr>
                    <pic:cNvPr id="0" name="figureS14_joint_stream_geometry.png"/>
                    <pic:cNvPicPr/>
                  </pic:nvPicPr>
                  <pic:blipFill>
                    <a:blip r:embed="rId20"/>
                    <a:stretch>
                      <a:fillRect/>
                    </a:stretch>
                  </pic:blipFill>
                  <pic:spPr>
                    <a:xfrm>
                      <a:off x="0" y="0"/>
                      <a:ext cx="6172200" cy="4421690"/>
                    </a:xfrm>
                    <a:prstGeom prst="rect"/>
                  </pic:spPr>
                </pic:pic>
              </a:graphicData>
            </a:graphic>
          </wp:inline>
        </w:drawing>
      </w:r>
    </w:p>
    <w:p>
      <w:pPr>
        <w:keepLines/>
        <w:spacing w:after="100" w:line="259" w:lineRule="auto"/>
      </w:pPr>
      <w:r>
        <w:rPr>
          <w:rFonts w:ascii="Times New Roman" w:hAnsi="Times New Roman"/>
          <w:b/>
          <w:color w:val="202A32"/>
          <w:sz w:val="20"/>
        </w:rPr>
        <w:t>Supplementary Figure S14. Joint token–feature geometry across depth.</w:t>
      </w:r>
      <w:r>
        <w:rPr>
          <w:rFonts w:ascii="Times New Roman" w:hAnsi="Times New Roman"/>
          <w:i w:val="0"/>
          <w:color w:val="202A32"/>
          <w:sz w:val="20"/>
        </w:rPr>
        <w:t xml:space="preserve"> Mean per-image Euclidean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the eight token patterns and five feature directions in each panel: (a–c) DeiT-Small Blocks 5, 8, and 10; (d–f) ViT-B/16 AugReg Blocks 5, 7, and 10. All panels use one logarithmic color scale shared with main Figure 6. Each panel summarizes the same </w:t>
      </w:r>
      <m:oMath>
        <m:r>
          <m:t xml:space="preserve">N</m:t>
        </m:r>
        <m:r>
          <m:t xml:space="preserve">=</m:t>
        </m:r>
        <m:r>
          <m:t xml:space="preserve">100</m:t>
        </m:r>
      </m:oMath>
      <w:r>
        <w:rPr>
          <w:rFonts w:ascii="Times New Roman" w:hAnsi="Times New Roman"/>
          <w:i w:val="0"/>
          <w:color w:val="202A32"/>
          <w:sz w:val="20"/>
        </w:rPr>
        <w:t xml:space="preserve"> calibration images used to construct its directions; these outcomes are within-cohort descriptive summaries. Reduced Block-8 replications in DeiT-Tiny and DINOv2 are reported separately and are not included in this six-panel full-factorial grid.</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3" name="Picture 13"/>
            <wp:cNvGraphicFramePr>
              <a:graphicFrameLocks noChangeAspect="1"/>
            </wp:cNvGraphicFramePr>
            <a:graphic>
              <a:graphicData uri="http://schemas.openxmlformats.org/drawingml/2006/picture">
                <pic:pic>
                  <pic:nvPicPr>
                    <pic:cNvPr id="0" name="figureS12_primary_qkv_decomposition.png"/>
                    <pic:cNvPicPr/>
                  </pic:nvPicPr>
                  <pic:blipFill>
                    <a:blip r:embed="rId21"/>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spacing w:after="100" w:line="259" w:lineRule="auto"/>
      </w:pPr>
      <w:r>
        <w:rPr>
          <w:rFonts w:ascii="Times New Roman" w:hAnsi="Times New Roman"/>
          <w:i w:val="0"/>
          <w:color w:val="202A32"/>
          <w:sz w:val="20"/>
        </w:rPr>
        <w:t>The signed true-class logit drop is the clean target-class logit minus the perturbed target-class logit, averaged across the same (N=100) outcome images. For condition (c), we define</w:t>
      </w:r>
    </w:p>
    <w:p>
      <w:pPr>
        <w:spacing w:after="100" w:line="259" w:lineRule="auto"/>
      </w:pPr>
      <w:r>
        <w:rPr>
          <w:rFonts w:ascii="Times New Roman" w:hAnsi="Times New Roman"/>
          <w:b/>
          <w:color w:val="202A32"/>
          <w:sz w:val="20"/>
        </w:rPr>
        <w:t>Contrast(c)</w:t>
      </w:r>
      <w:r>
        <w:rPr>
          <w:rFonts w:ascii="Times New Roman" w:hAnsi="Times New Roman"/>
          <w:i w:val="0"/>
          <w:color w:val="202A32"/>
          <w:sz w:val="20"/>
        </w:rPr>
        <w:t xml:space="preserve"> = mean true-class logit drop (coherent, c) − mean true-class logit drop (random-sign, c).</w:t>
      </w:r>
    </w:p>
    <w:p>
      <w:pPr>
        <w:spacing w:after="100" w:line="259" w:lineRule="auto"/>
      </w:pPr>
      <w:r>
        <w:rPr>
          <w:rFonts w:ascii="Times New Roman" w:hAnsi="Times New Roman"/>
          <w:i w:val="0"/>
          <w:color w:val="202A32"/>
          <w:sz w:val="20"/>
        </w:rPr>
        <w:t>and report</w:t>
      </w:r>
    </w:p>
    <w:p>
      <w:pPr>
        <w:spacing w:after="100" w:line="259" w:lineRule="auto"/>
      </w:pPr>
      <w:r>
        <w:rPr>
          <w:rFonts w:ascii="Times New Roman" w:hAnsi="Times New Roman"/>
          <w:b/>
          <w:color w:val="202A32"/>
          <w:sz w:val="20"/>
        </w:rPr>
        <w:t>Ratio (%)</w:t>
      </w:r>
      <w:r>
        <w:rPr>
          <w:rFonts w:ascii="Times New Roman" w:hAnsi="Times New Roman"/>
          <w:i w:val="0"/>
          <w:color w:val="202A32"/>
          <w:sz w:val="20"/>
        </w:rPr>
        <w:t xml:space="preserve"> = 100 × Contrast(frozen-attention V-only with perturbed residual) / Contrast(full perturbation).</w:t>
      </w:r>
    </w:p>
    <w:p>
      <w:pPr>
        <w:spacing w:after="100" w:line="259" w:lineRule="auto"/>
      </w:pPr>
      <w:r>
        <w:rPr>
          <w:rFonts w:ascii="Times New Roman" w:hAnsi="Times New Roman"/>
          <w:i w:val="0"/>
          <w:color w:val="202A32"/>
          <w:sz w:val="20"/>
        </w:rPr>
        <w:t xml:space="preserve">The contrasts use </w:t>
      </w:r>
      <w:r>
        <w:rPr>
          <w:rFonts w:ascii="Consolas" w:hAnsi="Consolas"/>
          <w:color w:val="34495E"/>
          <w:sz w:val="18"/>
        </w:rPr>
        <w:t>feature_dir=jac_top</w:t>
      </w:r>
      <w:r>
        <w:rPr>
          <w:rFonts w:ascii="Times New Roman" w:hAnsi="Times New Roman"/>
          <w:i w:val="0"/>
          <w:color w:val="202A32"/>
          <w:sz w:val="20"/>
        </w:rPr>
        <w:t xml:space="preserve"> and (s=1.0). Both ViT-B/16 AugReg contrasts are negative. Its 102.2% ratio is the quotient of these two signed contrasts; it does not indicate more than 100% causal contribution because the interventions are not additive causal components.</w:t>
      </w:r>
    </w:p>
    <w:p>
      <w:pPr>
        <w:keepLines/>
        <w:spacing w:after="80"/>
        <w:jc w:val="center"/>
      </w:pPr>
      <w:r>
        <w:rPr>
          <w:rFonts w:ascii="Times New Roman" w:hAnsi="Times New Roman"/>
          <w:i/>
          <w:color w:val="4C5963"/>
          <w:sz w:val="17"/>
        </w:rPr>
        <w:t>Table S4. Signed true-class logit-drop contrasts for the primary Value-path audit.</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Intervention depth</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Full-block coherent-minus-random-sign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Frozen-attention V-only with perturbed-residual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Ratio</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+0.006282993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+0.004448350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70.8%</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7</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−0.247199488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−0.252697120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102.2%</w:t>
            </w:r>
          </w:p>
        </w:tc>
      </w:tr>
    </w:tbl>
    <w:p>
      <w:pPr>
        <w:spacing w:after="20"/>
      </w:pPr>
    </w:p>
    <w:p>
      <w:pPr>
        <w:pStyle w:val="Heading1"/>
        <w:keepNext/>
      </w:pPr>
      <w:r>
        <w:rPr>
          <w:rFonts w:ascii="Times New Roman" w:hAnsi="Times New Roman"/>
          <w:b/>
          <w:color w:val="000000"/>
          <w:sz w:val="28"/>
        </w:rPr>
        <w:t>S13. Practical Carrier Evaluation and Accuracy–Throughput Boundary</w:t>
      </w:r>
    </w:p>
    <w:p>
      <w:pPr>
        <w:keepNext/>
        <w:spacing w:after="100" w:line="259" w:lineRule="auto"/>
      </w:pPr>
      <w:r>
        <w:rPr>
          <w:rFonts w:ascii="Times New Roman" w:hAnsi="Times New Roman"/>
          <w:i w:val="0"/>
          <w:color w:val="202A32"/>
          <w:sz w:val="20"/>
        </w:rPr>
        <w:t>The held-out classifier-carrier study measures nonlinear accuracy and full-model throughput using calibration-frozen carrier corrections. Its measured frontier contains one narrow ViT-B/16 AugReg q=16 operating point; the result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4" name="Picture 14"/>
            <wp:cNvGraphicFramePr>
              <a:graphicFrameLocks noChangeAspect="1"/>
            </wp:cNvGraphicFramePr>
            <a:graphic>
              <a:graphicData uri="http://schemas.openxmlformats.org/drawingml/2006/picture">
                <pic:pic>
                  <pic:nvPicPr>
                    <pic:cNvPr id="0" name="figureS13_real_carrier_boundary.png"/>
                    <pic:cNvPicPr/>
                  </pic:nvPicPr>
                  <pic:blipFill>
                    <a:blip r:embed="rId22"/>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2"/>
        <w:keepNext/>
      </w:pPr>
      <w:r>
        <w:rPr>
          <w:rFonts w:ascii="Times New Roman" w:hAnsi="Times New Roman"/>
          <w:b/>
          <w:color w:val="000000"/>
          <w:sz w:val="23"/>
        </w:rPr>
        <w:t>S13.1 Calibration-Frozen Feature-PCA Approximation</w:t>
      </w:r>
    </w:p>
    <w:p>
      <w:pPr>
        <w:spacing w:after="100" w:line="259" w:lineRule="auto"/>
      </w:pPr>
      <w:r>
        <w:rPr>
          <w:rFonts w:ascii="Times New Roman" w:hAnsi="Times New Roman"/>
          <w:i w:val="0"/>
          <w:color w:val="202A32"/>
          <w:sz w:val="20"/>
        </w:rPr>
        <w:t>The Full-J and restricted carrier oracles use image-dependent downstream-Jacobian information to optimize each image's carriers. The classifier approximation instead freezes a feature basis and correction coefficients from calibration data. In the implementation, the feature directions are the leading right singular vectors from an uncentered singular-value decomposition (SVD) of the first 2,000 patch-activation vectors drawn from the first 50 images in the 500-image calibration set (seed 7101). The activations are not mean-centered before the SVD. The resulting q=16 or q=32 directions are shared across carrier groups.</w:t>
      </w:r>
    </w:p>
    <w:p>
      <w:pPr>
        <w:spacing w:after="100" w:line="259" w:lineRule="auto"/>
      </w:pPr>
      <w:r>
        <w:rPr>
          <w:rFonts w:ascii="Times New Roman" w:hAnsi="Times New Roman"/>
          <w:i w:val="0"/>
          <w:color w:val="202A32"/>
          <w:sz w:val="20"/>
        </w:rPr>
        <w:t xml:space="preserve">For each q, restricted-oracle correction coefficients are estimated on calibration images using the fixed-spatial grouping at the configured calibration budget with </w:t>
      </w:r>
      <m:oMath>
        <m:r>
          <m:t xml:space="preserve">λ</m:t>
        </m:r>
        <m:r>
          <m:t xml:space="preserve">=</m:t>
        </m:r>
        <m:sSup>
          <m:e>
            <m:r>
              <m:t xml:space="preserve">10</m:t>
            </m:r>
          </m:e>
          <m:sup>
            <m:r>
              <m:t xml:space="preserve">-</m:t>
            </m:r>
            <m:r>
              <m:t xml:space="preserve">3</m:t>
            </m:r>
          </m:sup>
        </m:sSup>
      </m:oMath>
      <w:r>
        <w:rPr>
          <w:rFonts w:ascii="Times New Roman" w:hAnsi="Times New Roman"/>
          <w:i w:val="0"/>
          <w:color w:val="202A32"/>
          <w:sz w:val="20"/>
        </w:rPr>
        <w:t>, then averaged into one q-dimensional coefficient vector. That vector and the feature directions are shared across carrier groups and evaluation images. For each held-out image, the baseline carrier is still image-dependent: it is the mean of that image's patch activations within each fixed spatial group. The frozen correction is added to those image-specific Group Mean carriers, after which the actual model suffix and classifier are evaluated. Evaluation does not fit a per-image Jacobian or use labels to select the correction. This calibration-frozen construction is not the per-image, per-carrier optimization in Equation (9). Implementation sources are scripts/</w:t>
      </w:r>
      <m:oMath>
        <m:sSub>
          <m:e>
            <m:r>
              <m:t xml:space="preserve">run</m:t>
            </m:r>
          </m:e>
          <m:sub>
            <m:r>
              <m:t xml:space="preserve">r</m:t>
            </m:r>
          </m:sub>
        </m:sSub>
      </m:oMath>
      <m:oMath>
        <m:sSub>
          <m:e>
            <m:r>
              <m:t xml:space="preserve">eal</m:t>
            </m:r>
          </m:e>
          <m:sub>
            <m:r>
              <m:t xml:space="preserve">f</m:t>
            </m:r>
          </m:sub>
        </m:sSub>
      </m:oMath>
      <m:oMath>
        <m:sSub>
          <m:e>
            <m:r>
              <m:t xml:space="preserve">inal</m:t>
            </m:r>
          </m:e>
          <m:sub>
            <m:r>
              <m:t xml:space="preserve">a</m:t>
            </m:r>
          </m:sub>
        </m:sSub>
      </m:oMath>
      <w:r>
        <w:rPr>
          <w:rFonts w:ascii="Times New Roman" w:hAnsi="Times New Roman"/>
          <w:i w:val="0"/>
          <w:color w:val="202A32"/>
          <w:sz w:val="20"/>
        </w:rPr>
        <w:t xml:space="preserve">ccuracy.py and </w:t>
      </w:r>
      <m:oMath>
        <m:sSub>
          <m:e>
            <m:r>
              <m:t xml:space="preserve">patch</m:t>
            </m:r>
          </m:e>
          <m:sub>
            <m:r>
              <m:t xml:space="preserve">f</m:t>
            </m:r>
          </m:sub>
        </m:sSub>
      </m:oMath>
      <w:r>
        <w:rPr>
          <w:rFonts w:ascii="Times New Roman" w:hAnsi="Times New Roman"/>
          <w:i w:val="0"/>
          <w:color w:val="202A32"/>
          <w:sz w:val="20"/>
        </w:rPr>
        <w:t>ungibility/</w:t>
      </w:r>
      <m:oMath>
        <m:sSub>
          <m:e>
            <m:r>
              <m:t xml:space="preserve">implicit</m:t>
            </m:r>
          </m:e>
          <m:sub>
            <m:r>
              <m:t xml:space="preserve">c</m:t>
            </m:r>
          </m:sub>
        </m:sSub>
      </m:oMath>
      <m:oMath>
        <m:sSub>
          <m:e>
            <m:r>
              <m:t xml:space="preserve">arrier</m:t>
            </m:r>
          </m:e>
          <m:sub>
            <m:r>
              <m:t xml:space="preserve">o</m:t>
            </m:r>
          </m:sub>
        </m:sSub>
      </m:oMath>
      <w:r>
        <w:rPr>
          <w:rFonts w:ascii="Times New Roman" w:hAnsi="Times New Roman"/>
          <w:i w:val="0"/>
          <w:color w:val="202A32"/>
          <w:sz w:val="20"/>
        </w:rPr>
        <w:t>perator.py.</w:t>
      </w:r>
    </w:p>
    <w:p>
      <w:pPr>
        <w:spacing w:after="100" w:line="259" w:lineRule="auto"/>
      </w:pPr>
      <w:r>
        <w:rPr>
          <w:rFonts w:ascii="Times New Roman" w:hAnsi="Times New Roman"/>
          <w:i w:val="0"/>
          <w:color w:val="202A32"/>
          <w:sz w:val="20"/>
        </w:rPr>
        <w:t>On DeiT-Small at q=16, the calibration-average correction reduces mean held-out linearized residual ||J E|| from 12.5234 for Group Mean to 9.2724; the per-image restricted q=16 oracle reaches 6.6023. The calibration-frozen correction therefore recovers 54.91% of the restricted-oracle residual reduction in this operator-space audit. A PCA-coordinate shuffling control raises mean ||J E|| from 6.6023 to 8.0763 (Δ=1.4740). These measurements use 500 calibration images and a separate N=100 operator-space evaluation cohort. They describe linearized operator-space residuals, not classifier accuracy or a percentage of classification performance recovered.</w:t>
      </w:r>
    </w:p>
    <w:p>
      <w:pPr>
        <w:pStyle w:val="Heading2"/>
        <w:keepNext/>
      </w:pPr>
      <w:r>
        <w:rPr>
          <w:rFonts w:ascii="Times New Roman" w:hAnsi="Times New Roman"/>
          <w:b/>
          <w:color w:val="000000"/>
          <w:sz w:val="23"/>
        </w:rPr>
        <w:t>S13.2 Held-Out Classification and Throughput</w:t>
      </w:r>
    </w:p>
    <w:p>
      <w:pPr>
        <w:spacing w:after="100" w:line="259" w:lineRule="auto"/>
      </w:pPr>
      <w:r>
        <w:rPr>
          <w:rFonts w:ascii="Times New Roman" w:hAnsi="Times New Roman"/>
          <w:i w:val="0"/>
          <w:color w:val="202A32"/>
          <w:sz w:val="20"/>
        </w:rPr>
        <w:t>The classifier-carrier protocol uses 500 calibration images (seed 7101) and 1,000 held-out classifier images per architecture (seed 9201). The operator-space audit uses its separate 100-image cohort. Section 6's strict confirmatory compression follows its own calibration/evaluation design, including a 1,000-image calibration split (seed 9101) and feature-similarity grouping, whereas this carrier study uses fixed-spatial groups. These protocol-specific outcomes are not pooled, and comparisons across them are not treated as matched-method contrasts.</w:t>
      </w:r>
    </w:p>
    <w:p>
      <w:pPr>
        <w:spacing w:after="100" w:line="259" w:lineRule="auto"/>
      </w:pPr>
      <w:r>
        <w:rPr>
          <w:rFonts w:ascii="Times New Roman" w:hAnsi="Times New Roman"/>
          <w:i w:val="0"/>
          <w:color w:val="202A32"/>
          <w:sz w:val="20"/>
        </w:rPr>
        <w:t>Table S5 reports selected operating points from the evaluated budget grid, not the full grid. The complete real-classifier and measured-frontier results are archived in outputs/</w:t>
      </w:r>
      <m:oMath>
        <m:sSub>
          <m:e>
            <m:r>
              <m:t xml:space="preserve">fungibility</m:t>
            </m:r>
          </m:e>
          <m:sub>
            <m:r>
              <m:t xml:space="preserve">r</m:t>
            </m:r>
          </m:sub>
        </m:sSub>
      </m:oMath>
      <m:oMath>
        <m:sSub>
          <m:e>
            <m:r>
              <m:t xml:space="preserve">eal</m:t>
            </m:r>
          </m:e>
          <m:sub>
            <m:r>
              <m:t xml:space="preserve">f</m:t>
            </m:r>
          </m:sub>
        </m:sSub>
      </m:oMath>
      <w:r>
        <w:rPr>
          <w:rFonts w:ascii="Times New Roman" w:hAnsi="Times New Roman"/>
          <w:i w:val="0"/>
          <w:color w:val="202A32"/>
          <w:sz w:val="20"/>
        </w:rPr>
        <w:t>inal/</w:t>
      </w:r>
      <m:oMath>
        <m:sSub>
          <m:e>
            <m:r>
              <m:t xml:space="preserve">real</m:t>
            </m:r>
          </m:e>
          <m:sub>
            <m:r>
              <m:t xml:space="preserve">a</m:t>
            </m:r>
          </m:sub>
        </m:sSub>
      </m:oMath>
      <m:oMath>
        <m:sSub>
          <m:e>
            <m:r>
              <m:t xml:space="preserve">ccuracy</m:t>
            </m:r>
          </m:e>
          <m:sub>
            <m:r>
              <m:t xml:space="preserve">s</m:t>
            </m:r>
          </m:sub>
        </m:sSub>
      </m:oMath>
      <w:r>
        <w:rPr>
          <w:rFonts w:ascii="Times New Roman" w:hAnsi="Times New Roman"/>
          <w:i w:val="0"/>
          <w:color w:val="202A32"/>
          <w:sz w:val="20"/>
        </w:rPr>
        <w:t xml:space="preserve">ummary.csv, </w:t>
      </w:r>
      <m:oMath>
        <m:sSub>
          <m:e>
            <m:r>
              <m:t xml:space="preserve">real</m:t>
            </m:r>
          </m:e>
          <m:sub>
            <m:r>
              <m:t xml:space="preserve">a</m:t>
            </m:r>
          </m:sub>
        </m:sSub>
      </m:oMath>
      <m:oMath>
        <m:sSub>
          <m:e>
            <m:r>
              <m:t xml:space="preserve">ccuracy</m:t>
            </m:r>
          </m:e>
          <m:sub>
            <m:r>
              <m:t xml:space="preserve">p</m:t>
            </m:r>
          </m:sub>
        </m:sSub>
      </m:oMath>
      <m:oMath>
        <m:sSub>
          <m:e>
            <m:r>
              <m:t xml:space="preserve">er</m:t>
            </m:r>
          </m:e>
          <m:sub>
            <m:r>
              <m:t xml:space="preserve">i</m:t>
            </m:r>
          </m:sub>
        </m:sSub>
      </m:oMath>
      <w:r>
        <w:rPr>
          <w:rFonts w:ascii="Times New Roman" w:hAnsi="Times New Roman"/>
          <w:i w:val="0"/>
          <w:color w:val="202A32"/>
          <w:sz w:val="20"/>
        </w:rPr>
        <w:t xml:space="preserve">mage.csv, and </w:t>
      </w:r>
      <m:oMath>
        <m:sSub>
          <m:e>
            <m:r>
              <m:t xml:space="preserve">real</m:t>
            </m:r>
          </m:e>
          <m:sub>
            <m:r>
              <m:t xml:space="preserve">a</m:t>
            </m:r>
          </m:sub>
        </m:sSub>
      </m:oMath>
      <m:oMath>
        <m:sSub>
          <m:e>
            <m:r>
              <m:t xml:space="preserve">ccuracy</m:t>
            </m:r>
          </m:e>
          <m:sub>
            <m:r>
              <m:t xml:space="preserve">t</m:t>
            </m:r>
          </m:sub>
        </m:sSub>
      </m:oMath>
      <m:oMath>
        <m:sSub>
          <m:e>
            <m:r>
              <m:t xml:space="preserve">hroughput</m:t>
            </m:r>
          </m:e>
          <m:sub>
            <m:r>
              <m:t xml:space="preserve">f</m:t>
            </m:r>
          </m:sub>
        </m:sSub>
      </m:oMath>
      <w:r>
        <w:rPr>
          <w:rFonts w:ascii="Times New Roman" w:hAnsi="Times New Roman"/>
          <w:i w:val="0"/>
          <w:color w:val="202A32"/>
          <w:sz w:val="20"/>
        </w:rPr>
        <w:t>rontier.csv.</w:t>
      </w:r>
    </w:p>
    <w:p>
      <w:pPr>
        <w:keepNext/>
        <w:keepLines/>
        <w:spacing w:after="100" w:line="259" w:lineRule="auto"/>
      </w:pPr>
      <w:r>
        <w:rPr>
          <w:rFonts w:ascii="Times New Roman" w:hAnsi="Times New Roman"/>
          <w:b/>
          <w:color w:val="202A32"/>
          <w:sz w:val="20"/>
        </w:rPr>
        <w:t>Table S5. Held-out classification accuracy of calibration-frozen carrier corrections at selected token budgets.</w:t>
      </w:r>
      <w:r>
        <w:rPr>
          <w:rFonts w:ascii="Times New Roman" w:hAnsi="Times New Roman"/>
          <w:i w:val="0"/>
          <w:color w:val="202A32"/>
          <w:sz w:val="20"/>
        </w:rPr>
        <w:t xml:space="preserve"> Correct-prediction counts and Top-1 accuracy on 1,000 held-out images. Parenthetical values are percentage-point (pp) changes from Hybrid Group Mean at the same architecture and budget. Hybrid Group Mean uses the practical study's fixed-spatial grouping and is distinct from the primary feature-similarity Group Mean in Section 6.</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100" w:line="259" w:lineRule="auto"/>
      </w:pPr>
      <w:r>
        <w:rPr>
          <w:rFonts w:ascii="Times New Roman" w:hAnsi="Times New Roman"/>
          <w:i w:val="0"/>
          <w:color w:val="202A32"/>
          <w:sz w:val="20"/>
        </w:rPr>
        <w:t>Throughput uses measured full-model calls at batch size 64, rather than operator-only timing or simulated estimates. At ViT-B/16 AugReg, B=98, q=16 reaches 73.7% Top-1 at 263.28 images/s, compared with 73.6% at 297.14 images/s for Hybrid Group Mean. This is a narrow measured accuracy–throughput tradeoff for one architecture and budget.</w:t>
      </w:r>
    </w:p>
    <w:p>
      <w:pPr>
        <w:pStyle w:val="Heading2"/>
        <w:keepNext/>
      </w:pPr>
      <w:r>
        <w:rPr>
          <w:rFonts w:ascii="Times New Roman" w:hAnsi="Times New Roman"/>
          <w:b/>
          <w:color w:val="000000"/>
          <w:sz w:val="23"/>
        </w:rPr>
        <w:t>S13.3 Selective Gating and Scope</w:t>
      </w:r>
    </w:p>
    <w:p>
      <w:pPr>
        <w:spacing w:after="100" w:line="259" w:lineRule="auto"/>
      </w:pPr>
      <w:r>
        <w:rPr>
          <w:rFonts w:ascii="Times New Roman" w:hAnsi="Times New Roman"/>
          <w:i w:val="0"/>
          <w:color w:val="202A32"/>
          <w:sz w:val="20"/>
        </w:rPr>
        <w:t>The selective classifier gate applies the frozen q=16 correction only when a calibration-frozen score based on the normalized within-group residual exceeds a threshold estimated on the calibration set. It reaches 75.8% versus 76.4% for Hybrid Group Mean at DeiT-Small B=98, and 58.5% versus 61.3% at DINOv2 B=42. A separate exploratory operator-space risk score has an area under the receiver operating characteristic curve (AUROC) of 0.784 and Top-30 recall of 0.60 on N=100 operator-space cases; this is not classifier-level evidence. Other dynamic-alpha and MLP predictor variants are summarized in Supplementary Section S8 and the operator-space prediction audit in outputs/</w:t>
      </w:r>
      <m:oMath>
        <m:sSub>
          <m:e>
            <m:r>
              <m:t xml:space="preserve">fungibility</m:t>
            </m:r>
          </m:e>
          <m:sub>
            <m:r>
              <m:t xml:space="preserve">i</m:t>
            </m:r>
          </m:sub>
        </m:sSub>
      </m:oMath>
      <m:oMath>
        <m:sSub>
          <m:e>
            <m:r>
              <m:t xml:space="preserve">mplicit</m:t>
            </m:r>
          </m:e>
          <m:sub>
            <m:r>
              <m:t xml:space="preserve">c</m:t>
            </m:r>
          </m:sub>
        </m:sSub>
      </m:oMath>
      <m:oMath>
        <m:sSub>
          <m:e>
            <m:r>
              <m:t xml:space="preserve">arrier</m:t>
            </m:r>
          </m:e>
          <m:sub>
            <m:r>
              <m:t xml:space="preserve">o</m:t>
            </m:r>
          </m:sub>
        </m:sSub>
      </m:oMath>
      <m:oMath>
        <m:sSub>
          <m:e>
            <m:r>
              <m:t xml:space="preserve">perator</m:t>
            </m:r>
          </m:e>
          <m:sub>
            <m:r>
              <m:t xml:space="preserve">a</m:t>
            </m:r>
          </m:sub>
        </m:sSub>
      </m:oMath>
      <w:r>
        <w:rPr>
          <w:rFonts w:ascii="Times New Roman" w:hAnsi="Times New Roman"/>
          <w:i w:val="0"/>
          <w:color w:val="202A32"/>
          <w:sz w:val="20"/>
        </w:rPr>
        <w:t>udit/</w:t>
      </w:r>
      <m:oMath>
        <m:sSub>
          <m:e>
            <m:r>
              <m:t xml:space="preserve">predicted</m:t>
            </m:r>
          </m:e>
          <m:sub>
            <m:r>
              <m:t xml:space="preserve">a</m:t>
            </m:r>
          </m:sub>
        </m:sSub>
      </m:oMath>
      <m:oMath>
        <m:sSub>
          <m:e>
            <m:r>
              <m:t xml:space="preserve">lpha</m:t>
            </m:r>
          </m:e>
          <m:sub>
            <m:r>
              <m:t xml:space="preserve">a</m:t>
            </m:r>
          </m:sub>
        </m:sSub>
      </m:oMath>
      <w:r>
        <w:rPr>
          <w:rFonts w:ascii="Times New Roman" w:hAnsi="Times New Roman"/>
          <w:i w:val="0"/>
          <w:color w:val="202A32"/>
          <w:sz w:val="20"/>
        </w:rPr>
        <w:t>udit.csv.</w:t>
      </w:r>
    </w:p>
    <w:p>
      <w:pPr>
        <w:spacing w:after="100" w:line="259" w:lineRule="auto"/>
      </w:pPr>
      <w:r>
        <w:rPr>
          <w:rFonts w:ascii="Times New Roman" w:hAnsi="Times New Roman"/>
          <w:i w:val="0"/>
          <w:color w:val="202A32"/>
          <w:sz w:val="20"/>
        </w:rPr>
        <w:t>Across the tested architectures and budgets, the static and selective approximations have not established a consistent accuracy–throughput improvement. These results delimit the evaluated implementations and do not establish a fundamental limit on carrier corrections or the underlying functional geometry.</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pPr>
        <w:pStyle w:val="Heading1"/>
        <w:keepNext/>
      </w:pPr>
      <w:r>
        <w:rPr>
          <w:rFonts w:ascii="Times New Roman" w:hAnsi="Times New Roman"/>
          <w:b/>
          <w:color w:val="000000"/>
          <w:sz w:val="28"/>
        </w:rPr>
        <w:t>S15. Regularization Sensitivity of Operator-Aware Carriers</w:t>
      </w:r>
    </w:p>
    <w:p>
      <w:pPr>
        <w:spacing w:after="100" w:line="259" w:lineRule="auto"/>
      </w:pPr>
      <w:r>
        <w:rPr>
          <w:rFonts w:ascii="Times New Roman" w:hAnsi="Times New Roman"/>
          <w:i w:val="0"/>
          <w:color w:val="202A32"/>
          <w:sz w:val="20"/>
        </w:rPr>
        <w:t xml:space="preserve">This post-hoc sensitivity analysis evaluates the trace-normalized regularization in Equation (8) without changing the confirmatory solver or its archived results. For a dimensionless candidate factor </w:t>
      </w:r>
      <m:oMath>
        <m:r>
          <m:t xml:space="preserve">f</m:t>
        </m:r>
      </m:oMath>
      <w:r>
        <w:rPr>
          <w:rFonts w:ascii="Times New Roman" w:hAnsi="Times New Roman"/>
          <w:i w:val="0"/>
          <w:color w:val="202A32"/>
          <w:sz w:val="20"/>
        </w:rPr>
        <w:t>, the effective regularization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λ</m:t>
                  </m:r>
                </m:e>
                <m:sub>
                  <m:r>
                    <m:t xml:space="preserve">{</m:t>
                  </m:r>
                  <m:r>
                    <m:t xml:space="preserve">abs</m:t>
                  </m:r>
                  <m:r>
                    <m:t xml:space="preserve">}</m:t>
                  </m:r>
                </m:sub>
              </m:sSub>
              <m:r>
                <m:t xml:space="preserve">=</m:t>
              </m:r>
              <m:r>
                <m:t xml:space="preserve">f</m:t>
              </m:r>
              <m:r>
                <m:t xml:space="preserve">\</m:t>
              </m:r>
              <m:r>
                <m:t xml:space="preserve">,</m:t>
              </m:r>
              <m:r>
                <m:t xml:space="preserve"> </m:t>
              </m:r>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r>
                <m:t xml:space="preserve"> </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with </w:t>
      </w:r>
      <m:oMath>
        <m:r>
          <m:t xml:space="preserve">f</m:t>
        </m:r>
        <m:r>
          <m:t xml:space="preserve">∈</m:t>
        </m:r>
        <m:r>
          <m:t xml:space="preserve">{</m:t>
        </m:r>
        <m:r>
          <m:t xml:space="preserve">0</m:t>
        </m:r>
        <m:r>
          <m:t xml:space="preserve">.</m:t>
        </m:r>
        <m:r>
          <m:t xml:space="preserve">01</m:t>
        </m:r>
        <m:r>
          <m:t xml:space="preserve">,</m:t>
        </m:r>
        <m:r>
          <m:t xml:space="preserve">0</m:t>
        </m:r>
        <m:r>
          <m:t xml:space="preserve">.</m:t>
        </m:r>
        <m:r>
          <m:t xml:space="preserve">1</m:t>
        </m:r>
        <m:r>
          <m:t xml:space="preserve">,</m:t>
        </m:r>
        <m:r>
          <m:t xml:space="preserve">1</m:t>
        </m:r>
        <m:r>
          <m:t xml:space="preserve">,</m:t>
        </m:r>
        <m:r>
          <m:t xml:space="preserve">3</m:t>
        </m:r>
        <m:r>
          <m:t xml:space="preserve">,</m:t>
        </m:r>
        <m:r>
          <m:t xml:space="preserve">10</m:t>
        </m:r>
        <m:r>
          <m:t xml:space="preserve">,</m:t>
        </m:r>
        <m:r>
          <m:t xml:space="preserve">30</m:t>
        </m:r>
        <m:r>
          <m:t xml:space="preserve">,</m:t>
        </m:r>
        <m:r>
          <m:t xml:space="preserve">100</m:t>
        </m:r>
        <m:r>
          <m:t xml:space="preserve">}</m:t>
        </m:r>
      </m:oMath>
      <w:r>
        <w:rPr>
          <w:rFonts w:ascii="Times New Roman" w:hAnsi="Times New Roman"/>
          <w:i w:val="0"/>
          <w:color w:val="202A32"/>
          <w:sz w:val="20"/>
        </w:rP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pPr>
        <w:spacing w:after="100" w:line="259" w:lineRule="auto"/>
      </w:pPr>
      <w:r>
        <w:rPr>
          <w:rFonts w:ascii="Times New Roman" w:hAnsi="Times New Roman"/>
          <w:i w:val="0"/>
          <w:color w:val="202A32"/>
          <w:sz w:val="20"/>
        </w:rPr>
        <w:t xml:space="preserve">We evaluated frozen DeiT-Tiny, DeiT-Small, and ViT-B/16 AugReg at retained-token budgets </w:t>
      </w:r>
      <m:oMath>
        <m:r>
          <m:t xml:space="preserve">B</m:t>
        </m:r>
        <m:r>
          <m:t xml:space="preserve">∈</m:t>
        </m:r>
        <m:r>
          <m:t xml:space="preserve">{</m:t>
        </m:r>
        <m:r>
          <m:t xml:space="preserve">32</m:t>
        </m:r>
        <m:r>
          <m:t xml:space="preserve">,</m:t>
        </m:r>
        <m:r>
          <m:t xml:space="preserve">98</m:t>
        </m:r>
        <m:r>
          <m:t xml:space="preserve">}</m:t>
        </m:r>
      </m:oMath>
      <w:r>
        <w:rPr>
          <w:rFonts w:ascii="Times New Roman" w:hAnsi="Times New Roman"/>
          <w:i w:val="0"/>
          <w:color w:val="202A32"/>
          <w:sz w:val="20"/>
        </w:rPr>
        <w:t xml:space="preserve">, and DINOv2 ViT-S/14 at </w:t>
      </w:r>
      <m:oMath>
        <m:r>
          <m:t xml:space="preserve">B</m:t>
        </m:r>
        <m:r>
          <m:t xml:space="preserve">∈</m:t>
        </m:r>
        <m:r>
          <m:t xml:space="preserve">{</m:t>
        </m:r>
        <m:r>
          <m:t xml:space="preserve">42</m:t>
        </m:r>
        <m:r>
          <m:t xml:space="preserve">,</m:t>
        </m:r>
        <m:r>
          <m:t xml:space="preserve">128</m:t>
        </m:r>
        <m:r>
          <m:t xml:space="preserve">}</m:t>
        </m:r>
      </m:oMath>
      <w:r>
        <w:rPr>
          <w:rFonts w:ascii="Times New Roman" w:hAnsi="Times New Roman"/>
          <w:i w:val="0"/>
          <w:color w:val="202A32"/>
          <w:sz w:val="20"/>
        </w:rPr>
        <w:t xml:space="preserve">. Feature-similarity grouping and the existing exact per-image Jacobian solver were used. Each image's Jacobian and grouping were reused across all factors and both budgets, and the multiplicity-aware downstream forward was unchanged. Each model–budget cell therefore contains the same </w:t>
      </w:r>
      <m:oMath>
        <m:r>
          <m:t xml:space="preserve">N</m:t>
        </m:r>
        <m:r>
          <m:t xml:space="preserve">=</m:t>
        </m:r>
        <m:r>
          <m:t xml:space="preserve">200</m:t>
        </m:r>
      </m:oMath>
      <w:r>
        <w:rPr>
          <w:rFonts w:ascii="Times New Roman" w:hAnsi="Times New Roman"/>
          <w:i w:val="0"/>
          <w:color w:val="202A32"/>
          <w:sz w:val="20"/>
        </w:rPr>
        <w:t xml:space="preserve"> calibration images for every factor and for the common Group Mean baseline. The per-image CSV records nonlinear Top-1 correctness, clean-to-compressed final-logit </w:t>
      </w:r>
      <m:oMath>
        <m:sSub>
          <m:e>
            <m:r>
              <m:t xml:space="preserve">L</m:t>
            </m:r>
          </m:e>
          <m:sub>
            <m:r>
              <m:t xml:space="preserve">2</m:t>
            </m:r>
          </m:sub>
        </m:sSub>
      </m:oMath>
      <w:r>
        <w:rPr>
          <w:rFonts w:ascii="Times New Roman" w:hAnsi="Times New Roman"/>
          <w:i w:val="0"/>
          <w:color w:val="202A32"/>
          <w:sz w:val="20"/>
        </w:rPr>
        <w:t xml:space="preserve"> damage, true-class margin change, linearized residual </w:t>
      </w:r>
      <m:oMath>
        <m:r>
          <m:t xml:space="preserve">||</m:t>
        </m:r>
        <m:r>
          <m:t xml:space="preserve">JE</m:t>
        </m:r>
        <m:r>
          <m:t xml:space="preserve">||</m:t>
        </m:r>
      </m:oMath>
      <w:r>
        <w:rPr>
          <w:rFonts w:ascii="Times New Roman" w:hAnsi="Times New Roman"/>
          <w:i w:val="0"/>
          <w:color w:val="202A32"/>
          <w:sz w:val="20"/>
        </w:rPr>
        <w:t xml:space="preserve">,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xml:space="preserve">,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and effective absolute regularization.</w:t>
      </w:r>
    </w:p>
    <w:p w14:paraId="2DA3F369" w14:textId="77777777" w:rsidR="004C250E" w:rsidRDefault="00000000">
      <w:pPr>
        <w:spacing w:after="100" w:line="259" w:lineRule="auto"/>
      </w:pPr>
      <w:r>
        <w:t>The calibration-cohort Top-1 summary appears in Table S6.</w:t>
      </w:r>
    </w:p>
    <w:p>
      <w:pPr>
        <w:keepLines/>
        <w:spacing w:after="80"/>
        <w:jc w:val="center"/>
      </w:pPr>
      <w:r>
        <w:rPr>
          <w:rFonts w:ascii="Times New Roman" w:hAnsi="Times New Roman"/>
          <w:i/>
          <w:color w:val="4C5963"/>
          <w:sz w:val="17"/>
        </w:rPr>
        <w:t>Table S6. Calibration-cohort Top-1 sensitivity across regularization factors.</w:t>
      </w:r>
    </w:p>
    <w:tbl>
      <w:tblPr>
        <w:tblStyle w:val="TableGrid"/>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 (B)</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 10 Top-1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Cell maximum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Factor(s) at maximum</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 Top-1 (%)</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77.5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all seven factors</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128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10, 30, 100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r>
    </w:tbl>
    <w:p>
      <w:pPr>
        <w:spacing w:after="20"/>
      </w:pPr>
    </w:p>
    <w:p>
      <w:pPr>
        <w:spacing w:after="100" w:line="259" w:lineRule="auto"/>
      </w:pPr>
      <w:r>
        <w:rPr>
          <w:rFonts w:ascii="Times New Roman" w:hAnsi="Times New Roman"/>
          <w:i w:val="0"/>
          <w:color w:val="202A32"/>
          <w:sz w:val="20"/>
        </w:rP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e>
            <m:r>
              <m:t xml:space="preserve">L</m:t>
            </m:r>
          </m:e>
          <m:sub>
            <m:r>
              <m:t xml:space="preserve">2</m:t>
            </m:r>
          </m:sub>
        </m:sSub>
      </m:oMath>
      <w:r>
        <w:rPr>
          <w:rFonts w:ascii="Times New Roman" w:hAnsi="Times New Roman"/>
          <w:i w:val="0"/>
          <w:color w:val="202A32"/>
          <w:sz w:val="20"/>
        </w:rPr>
        <w:t xml:space="preserve"> damage at factor 10 was lower than Group Mean in all eight cells. At factor 10, the cell-mean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xml:space="preserve"> ranged from 0.00914 to 34.6746 and the effective absolute lambda ranged from 0.0914 to 346.746; absolute values are model- and budget-dependent because of the trace scaling.</w:t>
      </w:r>
    </w:p>
    <w:p>
      <w:pPr>
        <w:spacing w:after="100" w:line="259" w:lineRule="auto"/>
      </w:pPr>
      <w:r>
        <w:rPr>
          <w:rFonts w:ascii="Times New Roman" w:hAnsi="Times New Roman"/>
          <w:i w:val="0"/>
          <w:color w:val="202A32"/>
          <w:sz w:val="20"/>
        </w:rPr>
        <w:t xml:space="preserve">Across all eight cells, decreasing </w:t>
      </w:r>
      <m:oMath>
        <m:r>
          <m:t xml:space="preserve">f</m:t>
        </m:r>
      </m:oMath>
      <w:r>
        <w:rPr>
          <w:rFonts w:ascii="Times New Roman" w:hAnsi="Times New Roman"/>
          <w:i w:val="0"/>
          <w:color w:val="202A32"/>
          <w:sz w:val="20"/>
        </w:rPr>
        <w:t xml:space="preserve"> reduced mean </w:t>
      </w:r>
      <m:oMath>
        <m:r>
          <m:t xml:space="preserve">||</m:t>
        </m:r>
        <m:r>
          <m:t xml:space="preserve">JE</m:t>
        </m:r>
        <m:r>
          <m:t xml:space="preserve">||</m:t>
        </m:r>
      </m:oMath>
      <w:r>
        <w:rPr>
          <w:rFonts w:ascii="Times New Roman" w:hAnsi="Times New Roman"/>
          <w:i w:val="0"/>
          <w:color w:val="202A32"/>
          <w:sz w:val="20"/>
        </w:rPr>
        <w:t xml:space="preserve"> and increased mean carrier displacement; increasing </w:t>
      </w:r>
      <m:oMath>
        <m:r>
          <m:t xml:space="preserve">f</m:t>
        </m:r>
      </m:oMath>
      <w:r>
        <w:rPr>
          <w:rFonts w:ascii="Times New Roman" w:hAnsi="Times New Roman"/>
          <w:i w:val="0"/>
          <w:color w:val="202A32"/>
          <w:sz w:val="20"/>
        </w:rPr>
        <w:t xml:space="preserve"> moved the solution toward Group Mean. The lowest linearized residual therefore did not consistently correspond to the highest nonlinear Top-1. Figure S15 shows all seven factors for Top-1, logit damage, operator residual, and carrier displacement; the exact means and standard deviations for every endpoint and factor are retained in the aggregated CSV, with per-image values in the raw CSV.</w:t>
      </w:r>
    </w:p>
    <w:p>
      <w:pPr>
        <w:spacing w:after="100" w:line="259" w:lineRule="auto"/>
      </w:pPr>
      <w:r>
        <w:rPr>
          <w:rFonts w:ascii="Times New Roman" w:hAnsi="Times New Roman"/>
          <w:i w:val="0"/>
          <w:color w:val="202A32"/>
          <w:sz w:val="20"/>
        </w:rP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m:t xml:space="preserve">p</m:t>
        </m:r>
        <m:r>
          <m:t xml:space="preserve">&lt;</m:t>
        </m:r>
        <m:r>
          <m:t xml:space="preserve">0</m:t>
        </m:r>
        <m:r>
          <m:t xml:space="preserve">.</m:t>
        </m:r>
        <m:r>
          <m:t xml:space="preserve">05</m:t>
        </m:r>
      </m:oMath>
      <w:r>
        <w:rPr>
          <w:rFonts w:ascii="Times New Roman" w:hAnsi="Times New Roman"/>
          <w:i w:val="0"/>
          <w:color w:val="202A32"/>
          <w:sz w:val="20"/>
        </w:rPr>
        <w:t xml:space="preserve"> among the 16 contrasts. These results do not establish equivalence. Images are reused across factors and budgets, so the cellwise comparisons are dependent and are not treated as independent replications.</w:t>
      </w:r>
    </w:p>
    <w:p>
      <w:pPr>
        <w:spacing w:after="100" w:line="259" w:lineRule="auto"/>
      </w:pPr>
      <w:r>
        <w:rPr>
          <w:rFonts w:ascii="Times New Roman" w:hAnsi="Times New Roman"/>
          <w:i w:val="0"/>
          <w:color w:val="202A32"/>
          <w:sz w:val="20"/>
        </w:rP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pPr>
        <w:keepNext/>
        <w:keepLines/>
        <w:spacing w:after="20"/>
        <w:jc w:val="center"/>
      </w:pPr>
      <w:r>
        <w:drawing>
          <wp:inline xmlns:a="http://schemas.openxmlformats.org/drawingml/2006/main" xmlns:pic="http://schemas.openxmlformats.org/drawingml/2006/picture">
            <wp:extent cx="6172200" cy="4714875"/>
            <wp:docPr id="15" name="Picture 15"/>
            <wp:cNvGraphicFramePr>
              <a:graphicFrameLocks noChangeAspect="1"/>
            </wp:cNvGraphicFramePr>
            <a:graphic>
              <a:graphicData uri="http://schemas.openxmlformats.org/drawingml/2006/picture">
                <pic:pic>
                  <pic:nvPicPr>
                    <pic:cNvPr id="0" name="figureS15_regularization_sensitivity.png"/>
                    <pic:cNvPicPr/>
                  </pic:nvPicPr>
                  <pic:blipFill>
                    <a:blip r:embed="rId23"/>
                    <a:stretch>
                      <a:fillRect/>
                    </a:stretch>
                  </pic:blipFill>
                  <pic:spPr>
                    <a:xfrm>
                      <a:off x="0" y="0"/>
                      <a:ext cx="6172200" cy="4714875"/>
                    </a:xfrm>
                    <a:prstGeom prst="rect"/>
                  </pic:spPr>
                </pic:pic>
              </a:graphicData>
            </a:graphic>
          </wp:inline>
        </w:drawing>
      </w:r>
    </w:p>
    <w:p>
      <w:pPr>
        <w:keepLines/>
        <w:spacing w:after="100" w:line="259" w:lineRule="auto"/>
      </w:pPr>
      <w:r>
        <w:rPr>
          <w:rFonts w:ascii="Times New Roman" w:hAnsi="Times New Roman"/>
          <w:b/>
          <w:color w:val="202A32"/>
          <w:sz w:val="20"/>
        </w:rPr>
        <w:t>Supplementary Figure S15.</w:t>
      </w:r>
      <w:r>
        <w:rPr>
          <w:rFonts w:ascii="Times New Roman" w:hAnsi="Times New Roman"/>
          <w:i w:val="0"/>
          <w:color w:val="202A32"/>
          <w:sz w:val="20"/>
        </w:rPr>
        <w:t xml:space="preserve"> Calibration-cohort means across the seven dimensionless regularization factors. Panels show (a) nonlinear Top-1 accuracy, (b) clean-to-compressed final-logit </w:t>
      </w:r>
      <m:oMath>
        <m:sSub>
          <m:e>
            <m:r>
              <m:t xml:space="preserve">L</m:t>
            </m:r>
          </m:e>
          <m:sub>
            <m:r>
              <m:t xml:space="preserve">2</m:t>
            </m:r>
          </m:sub>
        </m:sSub>
      </m:oMath>
      <w:r>
        <w:rPr>
          <w:rFonts w:ascii="Times New Roman" w:hAnsi="Times New Roman"/>
          <w:i w:val="0"/>
          <w:color w:val="202A32"/>
          <w:sz w:val="20"/>
        </w:rPr>
        <w:t xml:space="preserve"> damage, (c) linearized operator residual </w:t>
      </w:r>
      <m:oMath>
        <m:r>
          <m:t xml:space="preserve">||</m:t>
        </m:r>
        <m:r>
          <m:t xml:space="preserve">JE</m:t>
        </m:r>
        <m:r>
          <m:t xml:space="preserve">||</m:t>
        </m:r>
      </m:oMath>
      <w:r>
        <w:rPr>
          <w:rFonts w:ascii="Times New Roman" w:hAnsi="Times New Roman"/>
          <w:i w:val="0"/>
          <w:color w:val="202A32"/>
          <w:sz w:val="20"/>
        </w:rPr>
        <w:t xml:space="preserve">, and (d)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S6 but is not a regularization-factor curve.</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