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9F79" w14:textId="77777777" w:rsidR="004C250E" w:rsidRDefault="00000000">
      <w:pPr>
        <w:pStyle w:val="Title"/>
        <w:spacing w:after="160"/>
      </w:pPr>
      <w:r>
        <w:rPr>
          <w:rFonts w:ascii="Times New Roman" w:hAnsi="Times New Roman"/>
          <w:b/>
        </w:rPr>
        <w:t>Patch-Content Fungibility: Geometry, Functional Transmission, and Operator-Aware Token Compression</w:t>
      </w:r>
    </w:p>
    <w:p w14:paraId="0758C9F7" w14:textId="77777777" w:rsidR="004C250E" w:rsidRDefault="00000000">
      <w:pPr>
        <w:spacing w:after="100" w:line="259" w:lineRule="auto"/>
      </w:pPr>
      <w:r>
        <w:t>Anonymous Authors</w:t>
      </w:r>
    </w:p>
    <w:p w14:paraId="7448B682" w14:textId="77777777" w:rsidR="004C250E" w:rsidRDefault="00000000">
      <w:pPr>
        <w:spacing w:after="100" w:line="259" w:lineRule="auto"/>
      </w:pPr>
      <w:r>
        <w:t>Under review</w:t>
      </w:r>
    </w:p>
    <w:p w14:paraId="248E98C2" w14:textId="77777777" w:rsidR="004C250E" w:rsidRDefault="00000000">
      <w:pPr>
        <w:pStyle w:val="Heading1"/>
      </w:pPr>
      <w:r>
        <w:rPr>
          <w:rFonts w:ascii="Times New Roman" w:hAnsi="Times New Roman"/>
        </w:rPr>
        <w:t>Abstract</w:t>
      </w:r>
    </w:p>
    <w:p w14:paraId="0D8703F3" w14:textId="77777777" w:rsidR="004C250E" w:rsidRDefault="00000000">
      <w:pPr>
        <w:spacing w:after="100" w:line="259" w:lineRule="auto"/>
      </w:pPr>
      <w:r>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near-null expansion at the primary threshold is evident in three models but small in DINOv2. As a bounded application, we evaluate operator-aware compression using an offline, per-image downstream-Jacobian oracle on 1,000 held-out images per architecture. At the most aggressive tested budgets, operator-aware variants improve Top-1 by 4.2–12.0 percentage points over the strongest pruning baseline, but ToMe remains competitive and Full-J is not uniformly better than Group Mean or ToMe. The evidence supports Patch-Content Fungibility as a mechanistic account of the tested interventions and an oracle-level compression opportunity, but does not establish a general deployment advantage.</w:t>
      </w:r>
    </w:p>
    <w:p w14:paraId="0FAF40F8" w14:textId="77777777" w:rsidR="004C250E" w:rsidRDefault="00000000">
      <w:pPr>
        <w:pStyle w:val="Heading1"/>
      </w:pPr>
      <w:r>
        <w:rPr>
          <w:rFonts w:ascii="Times New Roman" w:hAnsi="Times New Roman"/>
        </w:rPr>
        <w:t>1. Introduction</w:t>
      </w:r>
    </w:p>
    <w:p w14:paraId="515C2CB4" w14:textId="77777777" w:rsidR="004C250E"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582BE196" w14:textId="77777777" w:rsidR="004C250E"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267A1C6C"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35A12869" w14:textId="77777777" w:rsidR="004C250E"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0298216F" w14:textId="77777777" w:rsidR="004C250E" w:rsidRDefault="00000000">
      <w:pPr>
        <w:spacing w:after="100" w:line="259" w:lineRule="auto"/>
      </w:pPr>
      <w:r>
        <w:t>This leads to three linked questions: whether a late patch slot needs its image-specific activation or can carry a class-agnostic surrogate; how feature geometry, token-position coherence, and downstream transmission shape observed replacement tolerance; and whether those mechanisms can inform operator-aware compression, including where the translation fails. We study these questions as a ViT-specific account of Patch-Content Fungibility (PCF). The argument proceeds from fixed-slot causal replacement, through geometric and functional mechanisms, to compression as a bounded application whose nonlinear classification and measured throughput must be assessed separately.</w:t>
      </w:r>
    </w:p>
    <w:p w14:paraId="21475846" w14:textId="77777777" w:rsidR="004C250E" w:rsidRDefault="00000000">
      <w:pPr>
        <w:pStyle w:val="Heading1"/>
      </w:pPr>
      <w:r>
        <w:rPr>
          <w:rFonts w:ascii="Times New Roman" w:hAnsi="Times New Roman"/>
        </w:rPr>
        <w:t>2. Related Work</w:t>
      </w:r>
    </w:p>
    <w:p w14:paraId="49122AB5" w14:textId="77777777" w:rsidR="004C250E" w:rsidRDefault="00000000">
      <w:pPr>
        <w:spacing w:after="100" w:line="259" w:lineRule="auto"/>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 token diversity itself is not claimed as a new concept. The later compression application is distinct: it optimizes grouped carrier content under a fixed assignment S and shortens the sequence for subsequent computation.</w:t>
      </w:r>
    </w:p>
    <w:p>
      <w:pPr>
        <w:spacing w:after="100" w:line="259" w:lineRule="auto"/>
      </w:pPr>
      <w:r>
        <w:rPr>
          <w:rFonts w:ascii="Times New Roman" w:hAnsi="Times New Roman"/>
          <w:i w:val="0"/>
          <w:color w:val="202A32"/>
          <w:sz w:val="20"/>
        </w:rPr>
        <w:t xml:space="preserve">Jacobian-sensitive geometry and task-aware token compression also have direct ViT precedents. Bond et al. define a task-induced pullback metric on ViT feature spaces, analyze its spectral and low-rank structure, and use task-sensitive geometry for token pruning and soft merging </w:t>
      </w:r>
      <w:r>
        <w:rPr>
          <w:rFonts w:ascii="Times New Roman" w:hAnsi="Times New Roman"/>
          <w:color w:val="202A32"/>
          <w:sz w:val="20"/>
        </w:rPr>
        <w:t>[42]</w:t>
      </w:r>
      <w:r>
        <w:rPr>
          <w:rFonts w:ascii="Times New Roman" w:hAnsi="Times New Roman"/>
          <w:i w:val="0"/>
          <w:color w:val="202A32"/>
          <w:sz w:val="20"/>
        </w:rPr>
        <w:t xml:space="preserve">. Liu et al. study approximate nullspace perturbations in nonlinear ViT blocks and nullspace-noise augmentation for fine-tuning robustness </w:t>
      </w:r>
      <w:r>
        <w:rPr>
          <w:rFonts w:ascii="Times New Roman" w:hAnsi="Times New Roman"/>
          <w:color w:val="202A32"/>
          <w:sz w:val="20"/>
        </w:rPr>
        <w:t>[43]</w:t>
      </w:r>
      <w:r>
        <w:rPr>
          <w:rFonts w:ascii="Times New Roman" w:hAnsi="Times New Roman"/>
          <w:i w:val="0"/>
          <w:color w:val="202A32"/>
          <w:sz w:val="20"/>
        </w:rPr>
        <w:t>. These works establish prior art for downstream-Jacobian geometry, task-aware compression, and approximate-nullspace analysis. PCF asks how much original image-specific content is needed at an ordinary spatial patch slot under fixed-slot interventions; its compression application optimizes grouped carrier content under a fixed assignment S, rather than recasting importance scoring or token-pair selection as the same optimization problem.</w:t>
      </w:r>
    </w:p>
    <w:p w14:paraId="58FD31DA" w14:textId="77777777" w:rsidR="004C250E" w:rsidRDefault="00000000">
      <w:pPr>
        <w:spacing w:after="100" w:line="259" w:lineRule="auto"/>
      </w:pPr>
      <w:r>
        <w:t>Surrogate substitution also has a close methodological precedent. Parodi et al. study mean, noise, and cross-image register-shuffling substitutions for specialized DINO register-token content. PCF examines ordinary spatial patch-token activations across depth and replacement fractions, and separates feature geometry from token-position diversity; it does not claim to introduce surrogate replacement [44].</w:t>
      </w:r>
    </w:p>
    <w:p w14:paraId="046E58B5" w14:textId="77777777" w:rsidR="004C250E" w:rsidRDefault="00000000">
      <w:pPr>
        <w:spacing w:after="100" w:line="259" w:lineRule="auto"/>
      </w:pPr>
      <w:r>
        <w:t>Sensitivity-weighted objectives and Jacobian-based measures of downstream effect are established tools, not a new mathematical Jacobian or general theory introduced here [45], [46]. A recent public preprint, Output-aware Residual Stream Pruning, couples activation statistics with output sensitivity to prune LLM residual-stream dimensions [47]. That work supports the broader precedent for output-aware compression but studies a different model family and dimension-pruning intervention. PCF's bounded contribution is the combination of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184DC96F" w14:textId="77777777" w:rsidR="004C250E" w:rsidRDefault="00000000">
      <w:pPr>
        <w:spacing w:after="100" w:line="259" w:lineRule="auto"/>
      </w:pPr>
      <w:r>
        <w:lastRenderedPageBreak/>
        <w:t>Interpretability research cautions that attention weights alone need not explain a model's decision. Controlled studies examine whether attention is explanation and how explanation changes under interventions [48]–[50]. Attention flow, Integrated Gradients, saliency-map sanity checks, and transformer-specific relevance propagation provide complementary methods for tracing or attributing model behavior [51]–[54]. Causal abstraction offers a framework for connecting interventions to model-level causal structure [55]. Our evidence uses direct activation interventions and held-out prediction of perturbation damage; it is bounded to the tested models, readouts, and cohorts.</w:t>
      </w:r>
    </w:p>
    <w:p w14:paraId="7B356B35" w14:textId="77777777" w:rsidR="004C250E" w:rsidRDefault="00000000">
      <w:pPr>
        <w:pStyle w:val="Heading1"/>
      </w:pPr>
      <w:r>
        <w:rPr>
          <w:rFonts w:ascii="Times New Roman" w:hAnsi="Times New Roman"/>
        </w:rPr>
        <w:t>3. Experimental Setup and Interventions</w:t>
      </w:r>
    </w:p>
    <w:p w14:paraId="4B5EBFD2" w14:textId="77777777" w:rsidR="004C250E" w:rsidRDefault="00000000">
      <w:pPr>
        <w:spacing w:after="100" w:line="259" w:lineRule="auto"/>
      </w:pPr>
      <w:r>
        <w:t>Image-based studies use frozen pretrained models on ImageNet-1k validation data. The principal replacement studies and strict confirmatory compression use disjoint calibration and evaluation cohorts, with calibration-derived quantities estimated from calibration images only. The confirmatory compression protocol freezes a 1,000-image calibration set (seed 9101) and evaluates 1,000 held-out images per architecture, one per class (seed 9201); no tuning uses held-out images. Exploratory mechanistic audits follow protocol-specific cohorts rather than one shared N=100 set. In particular, joint-stream geometry estimates feature directions and measures downstream responses on the same 100 images per model, so those outcomes are within-cohort descriptive results, not held-out estimates. N denotes the sampling unit shown in Table I; image and perturbation cohorts remain distinct. Supplementary Section S13 describes the separate practical-carrier cohorts and operator-space endpoints.</w:t>
      </w:r>
    </w:p>
    <w:p w14:paraId="0CF1C6F7" w14:textId="77777777" w:rsidR="004C250E" w:rsidRDefault="00000000">
      <w:pPr>
        <w:spacing w:after="100" w:line="259" w:lineRule="auto"/>
      </w:pPr>
      <w:r>
        <w:t>TABLE I</w:t>
      </w:r>
    </w:p>
    <w:p w14:paraId="326AA5E2" w14:textId="77777777" w:rsidR="004C250E" w:rsidRDefault="00000000">
      <w:pPr>
        <w:spacing w:after="100" w:line="259" w:lineRule="auto"/>
      </w:pPr>
      <w:r>
        <w:t>PRIMARY RESULTS AND EVIDENCE SCOPE</w:t>
      </w:r>
    </w:p>
    <w:p w14:paraId="406A92C3" w14:textId="77777777" w:rsidR="004C250E" w:rsidRDefault="00000000">
      <w:pPr>
        <w:spacing w:after="100" w:line="259" w:lineRule="auto"/>
      </w:pPr>
      <w:r>
        <w:t>Summary of the primary study families, evaluation units, controls, and main findings. The multi-block unit counts held-out perturbations; cohort and endpoint details remain protocol-specific.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22BBFBD0"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538D1D81"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67B1AF75"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6A5144A"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6082D3B" w14:textId="77777777" w:rsidR="004C250E" w:rsidRPr="005D5368" w:rsidRDefault="00000000">
            <w:pPr>
              <w:jc w:val="center"/>
              <w:rPr>
                <w:szCs w:val="28"/>
              </w:rPr>
            </w:pPr>
            <w:r w:rsidRPr="005D5368">
              <w:rPr>
                <w:b/>
                <w:color w:val="17232D"/>
                <w:szCs w:val="28"/>
              </w:rPr>
              <w:t>Main finding</w:t>
            </w:r>
          </w:p>
        </w:tc>
      </w:tr>
      <w:tr w:rsidR="004C250E" w:rsidRPr="005D5368" w14:paraId="49786EDE" w14:textId="77777777" w:rsidTr="005D5368">
        <w:tc>
          <w:tcPr>
            <w:tcW w:w="2498" w:type="dxa"/>
            <w:tcBorders>
              <w:top w:val="single" w:sz="4" w:space="0" w:color="auto"/>
            </w:tcBorders>
            <w:tcMar>
              <w:top w:w="55" w:type="dxa"/>
              <w:left w:w="65" w:type="dxa"/>
              <w:bottom w:w="55" w:type="dxa"/>
              <w:right w:w="65" w:type="dxa"/>
            </w:tcMar>
            <w:vAlign w:val="center"/>
          </w:tcPr>
          <w:p w14:paraId="20B82A10"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543276F0"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2F09A7D6"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20787DA2"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2F63991B" w14:textId="77777777" w:rsidTr="005D5368">
        <w:tc>
          <w:tcPr>
            <w:tcW w:w="2498" w:type="dxa"/>
            <w:tcMar>
              <w:top w:w="55" w:type="dxa"/>
              <w:left w:w="65" w:type="dxa"/>
              <w:bottom w:w="55" w:type="dxa"/>
              <w:right w:w="65" w:type="dxa"/>
            </w:tcMar>
            <w:vAlign w:val="center"/>
          </w:tcPr>
          <w:p w14:paraId="2C420B46"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7CB740FC"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1D450B78"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7CD5C13F"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637B7E48" w14:textId="77777777" w:rsidTr="005D5368">
        <w:tc>
          <w:tcPr>
            <w:tcW w:w="2498" w:type="dxa"/>
            <w:tcMar>
              <w:top w:w="55" w:type="dxa"/>
              <w:left w:w="65" w:type="dxa"/>
              <w:bottom w:w="55" w:type="dxa"/>
              <w:right w:w="65" w:type="dxa"/>
            </w:tcMar>
            <w:vAlign w:val="center"/>
          </w:tcPr>
          <w:p w14:paraId="1AF5672B"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5383A59A"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7C74DBA2"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2A1ADC20" w14:textId="77777777" w:rsidR="004C250E" w:rsidRPr="005D5368" w:rsidRDefault="00000000">
            <w:pPr>
              <w:jc w:val="center"/>
              <w:rPr>
                <w:szCs w:val="28"/>
              </w:rPr>
            </w:pPr>
            <w:r w:rsidRPr="005D5368">
              <w:rPr>
                <w:szCs w:val="28"/>
              </w:rPr>
              <w:t>Coherent Value contributions accumulate; sign-varying contributions partially cancel.</w:t>
            </w:r>
          </w:p>
        </w:tc>
      </w:tr>
      <w:tr w:rsidR="004C250E" w:rsidRPr="005D5368" w14:paraId="65341C32" w14:textId="77777777" w:rsidTr="005D5368">
        <w:tc>
          <w:tcPr>
            <w:tcW w:w="2498" w:type="dxa"/>
            <w:tcMar>
              <w:top w:w="55" w:type="dxa"/>
              <w:left w:w="65" w:type="dxa"/>
              <w:bottom w:w="55" w:type="dxa"/>
              <w:right w:w="65" w:type="dxa"/>
            </w:tcMar>
            <w:vAlign w:val="center"/>
          </w:tcPr>
          <w:p w14:paraId="13A87503" w14:textId="77777777" w:rsidR="004C250E" w:rsidRPr="005D5368" w:rsidRDefault="00000000">
            <w:pPr>
              <w:rPr>
                <w:szCs w:val="28"/>
              </w:rPr>
            </w:pPr>
            <w:r w:rsidRPr="005D5368">
              <w:rPr>
                <w:szCs w:val="28"/>
              </w:rPr>
              <w:t>Multi-block operator prediction</w:t>
            </w:r>
          </w:p>
        </w:tc>
        <w:tc>
          <w:tcPr>
            <w:tcW w:w="2498" w:type="dxa"/>
            <w:tcMar>
              <w:top w:w="55" w:type="dxa"/>
              <w:left w:w="65" w:type="dxa"/>
              <w:bottom w:w="55" w:type="dxa"/>
              <w:right w:w="65" w:type="dxa"/>
            </w:tcMar>
            <w:vAlign w:val="center"/>
          </w:tcPr>
          <w:p w14:paraId="409DBA4C"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7E00D703"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01459364"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72B71A00" w14:textId="77777777" w:rsidTr="005D5368">
        <w:trPr>
          <w:cantSplit/>
        </w:trPr>
        <w:tc>
          <w:tcPr>
            <w:tcW w:w="2498" w:type="dxa"/>
            <w:tcMar>
              <w:top w:w="55" w:type="dxa"/>
              <w:left w:w="65" w:type="dxa"/>
              <w:bottom w:w="55" w:type="dxa"/>
              <w:right w:w="65" w:type="dxa"/>
            </w:tcMar>
            <w:vAlign w:val="center"/>
          </w:tcPr>
          <w:p w14:paraId="1B2AA533"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4E105E35"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64FAF86F"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0B19AAB8" w14:textId="77777777" w:rsidR="004C250E" w:rsidRPr="005D5368" w:rsidRDefault="00000000">
            <w:pPr>
              <w:jc w:val="center"/>
              <w:rPr>
                <w:szCs w:val="28"/>
              </w:rPr>
            </w:pPr>
            <w:r w:rsidRPr="005D5368">
              <w:rPr>
                <w:szCs w:val="28"/>
              </w:rPr>
              <w:t xml:space="preserve">At the most aggressive tested budgets, operator-aware methods beat the strongest </w:t>
            </w:r>
            <w:r w:rsidRPr="005D5368">
              <w:rPr>
                <w:szCs w:val="28"/>
              </w:rPr>
              <w:lastRenderedPageBreak/>
              <w:t>pruning baselines by 4.2–12.0 pp; ToMe remains competitive.</w:t>
            </w:r>
          </w:p>
        </w:tc>
      </w:tr>
    </w:tbl>
    <w:p w14:paraId="4A7667DC" w14:textId="77777777" w:rsidR="004C250E" w:rsidRDefault="004C250E">
      <w:pPr>
        <w:spacing w:after="20"/>
      </w:pPr>
    </w:p>
    <w:p w14:paraId="3B7B3A70" w14:textId="77777777" w:rsidR="004C250E"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14:paraId="017DBA86" w14:textId="77777777" w:rsidR="004C250E"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BF21BA4" w14:textId="77777777">
        <w:trPr>
          <w:cantSplit/>
          <w:jc w:val="center"/>
        </w:trPr>
        <w:tc>
          <w:tcPr>
            <w:tcW w:w="518" w:type="dxa"/>
            <w:tcMar>
              <w:top w:w="0" w:type="dxa"/>
              <w:left w:w="0" w:type="dxa"/>
              <w:bottom w:w="0" w:type="dxa"/>
              <w:right w:w="0" w:type="dxa"/>
            </w:tcMar>
            <w:vAlign w:val="center"/>
          </w:tcPr>
          <w:p w14:paraId="4F69665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9890D20"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39C955EC" w14:textId="77777777" w:rsidR="004C250E" w:rsidRDefault="00000000">
            <w:pPr>
              <w:keepLines/>
              <w:spacing w:before="40" w:after="80" w:line="240" w:lineRule="auto"/>
              <w:jc w:val="right"/>
            </w:pPr>
            <w:r>
              <w:rPr>
                <w:sz w:val="18"/>
              </w:rPr>
              <w:t>(1)</w:t>
            </w:r>
          </w:p>
        </w:tc>
      </w:tr>
    </w:tbl>
    <w:p w14:paraId="121B6BC6" w14:textId="77777777" w:rsidR="004C250E"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410254E2" w14:textId="77777777" w:rsidR="004C250E"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117F46A9" w14:textId="77777777" w:rsidR="004C250E"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117F46A9" w14:textId="77777777" w:rsidR="004C250E" w:rsidRDefault="00000000">
      <w:pPr>
        <w:spacing w:after="100" w:line="259" w:lineRule="auto"/>
      </w:pPr>
      <w:r>
        <w:t>Practical-carrier classifier, operator-space, and throughput procedures are described separately in Supplementary Section S13.</w:t>
      </w:r>
    </w:p>
    <w:p w14:paraId="091FB077" w14:textId="77777777" w:rsidR="004C250E" w:rsidRDefault="00000000">
      <w:pPr>
        <w:pStyle w:val="Heading1"/>
      </w:pPr>
      <w:r>
        <w:rPr>
          <w:rFonts w:ascii="Times New Roman" w:hAnsi="Times New Roman"/>
        </w:rPr>
        <w:t>4. Geometric and Diversity Constraints on Patch-Content Fungibility</w:t>
      </w:r>
    </w:p>
    <w:p w14:paraId="1FC17C4E" w14:textId="77777777" w:rsidR="004C250E" w:rsidRDefault="00000000">
      <w:pPr>
        <w:pStyle w:val="Heading2"/>
      </w:pPr>
      <w:r>
        <w:rPr>
          <w:rFonts w:ascii="Times New Roman" w:hAnsi="Times New Roman"/>
        </w:rPr>
        <w:t>4.1 Depth-Dependent Replacement Tolerance</w:t>
      </w:r>
    </w:p>
    <w:p w14:paraId="5CCA8337" w14:textId="77777777" w:rsidR="004C250E"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w:t>
      </w:r>
      <w:r>
        <w:lastRenderedPageBreak/>
        <w:t>Tiny (59.1% vs. 67.2%) and DeiT-Small (69.6% vs. 76.1%), and at depth 7 in ViT-B/16 AugReg (70.4% vs. 74.5%). Gaussian replacement exhibits similar preservation in several settings, achieving 75.3% accuracy on DeiT-Small at depth 8.</w:t>
      </w:r>
    </w:p>
    <w:p w14:paraId="6018CEBD" w14:textId="77777777" w:rsidR="004C250E" w:rsidRDefault="00000000">
      <w:pPr>
        <w:spacing w:after="100" w:line="259" w:lineRule="auto"/>
      </w:pPr>
      <w: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32C008DF"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0C210F2F" w14:textId="77777777" w:rsidR="004C250E"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6B502C14" w14:textId="77777777" w:rsidR="004C250E" w:rsidRDefault="00000000">
      <w:pPr>
        <w:pStyle w:val="Heading2"/>
      </w:pPr>
      <w:r>
        <w:rPr>
          <w:rFonts w:ascii="Times New Roman" w:hAnsi="Times New Roman"/>
        </w:rPr>
        <w:t>4.2 Geometric and Diversity Constraints</w:t>
      </w:r>
    </w:p>
    <w:p w14:paraId="7DB7E955" w14:textId="77777777" w:rsidR="004C250E"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137F5BA4" w14:textId="77777777" w:rsidR="004C250E"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17EB5C80" w14:textId="77777777" w:rsidR="004C250E"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3B485DA3"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623D0676" w14:textId="77777777" w:rsidR="004C250E"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5A2DCB4F" w14:textId="77777777" w:rsidR="004C250E"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pPr>
        <w:spacing w:after="100" w:line="259" w:lineRule="auto"/>
      </w:pPr>
      <w:r>
        <w:rPr>
          <w:rFonts w:ascii="Times New Roman" w:hAnsi="Times New Roman"/>
          <w:i w:val="0"/>
          <w:color w:val="202A32"/>
          <w:sz w:val="20"/>
        </w:rPr>
        <w:t>The controlled endpoint differences are summarized in Table II.</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CONTROLLED PATCH-CONTENT REPLACEMENT EFFECTS ACROSS ARCHITECTURES</w:t>
      </w:r>
    </w:p>
    <w:p>
      <w:pPr>
        <w:keepNext/>
        <w:spacing w:after="100" w:line="259" w:lineRule="auto"/>
      </w:pPr>
      <w:r>
        <w:rPr>
          <w:rFonts w:ascii="Times New Roman" w:hAnsi="Times New Roman"/>
          <w:i w:val="0"/>
          <w:color w:val="202A32"/>
          <w:sz w:val="20"/>
        </w:rPr>
        <w:t>Top-1 differences in percentage points; each contrast is first condition minus second condition. Positive values favor the first condition. Columns summarize distinct protocols, not a common treatment effect.</w:t>
      </w:r>
    </w:p>
    <w:tbl>
      <w:tblPr>
        <w:tblStyle w:val="TableGrid"/>
        <w:tblW w:type="auto" w:w="0"/>
        <w:jc w:val="center"/>
        <w:tblLayout w:type="fixed"/>
        <w:tblLook w:firstColumn="1" w:firstRow="1" w:lastColumn="0" w:lastRow="0" w:noHBand="0" w:noVBand="1" w:val="04A0"/>
        <w:tblLayout w:type="fixed"/>
      </w:tblPr>
      <w:tblGrid>
        <w:gridCol w:w="1757"/>
        <w:gridCol w:w="1930"/>
        <w:gridCol w:w="1930"/>
        <w:gridCol w:w="2218"/>
        <w:gridCol w:w="1886"/>
      </w:tblGrid>
      <w:tr>
        <w:trPr>
          <w:cantSplit/>
          <w:tblHeader w:val="true"/>
        </w:trPr>
        <w:tc>
          <w:tcPr>
            <w:tcW w:type="dxa" w:w="1757"/>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4"/>
              </w:rPr>
              <w:t>Architecture</w:t>
            </w:r>
          </w:p>
        </w:tc>
        <w:tc>
          <w:tcPr>
            <w:tcW w:type="dxa" w:w="1930"/>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4"/>
              </w:rPr>
              <w:t>Centroid − coordinate-permuted (50%)</w:t>
            </w:r>
          </w:p>
        </w:tc>
        <w:tc>
          <w:tcPr>
            <w:tcW w:type="dxa" w:w="1930"/>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4"/>
              </w:rPr>
              <w:t>Centroid − sign-inverted (50%)</w:t>
            </w:r>
          </w:p>
        </w:tc>
        <w:tc>
          <w:tcPr>
            <w:tcW w:type="dxa" w:w="221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4"/>
              </w:rPr>
              <w:t>Grouped Kmax − K1</w:t>
            </w:r>
          </w:p>
        </w:tc>
        <w:tc>
          <w:tcPr>
            <w:tcW w:type="dxa" w:w="188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4"/>
              </w:rPr>
              <w:t>PC1 − random 1D (100%)</w:t>
            </w:r>
          </w:p>
        </w:tc>
      </w:tr>
      <w:tr>
        <w:trPr>
          <w:cantSplit/>
        </w:trPr>
        <w:tc>
          <w:tcPr>
            <w:tcW w:type="dxa" w:w="1757"/>
            <w:vAlign w:val="center"/>
            <w:tcMar>
              <w:top w:w="55" w:type="dxa"/>
              <w:start w:w="65" w:type="dxa"/>
              <w:bottom w:w="55" w:type="dxa"/>
              <w:end w:w="65" w:type="dxa"/>
            </w:tcMar>
          </w:tcPr>
          <w:p>
            <w:pPr>
              <w:spacing w:after="0" w:line="240" w:lineRule="auto"/>
            </w:pPr>
            <w:r/>
            <w:r>
              <w:rPr>
                <w:rFonts w:ascii="Times New Roman" w:hAnsi="Times New Roman"/>
                <w:b w:val="0"/>
                <w:color w:val="202A32"/>
                <w:sz w:val="14"/>
              </w:rPr>
              <w:t>DeiT-Tiny</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+16.2</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+65.6</w:t>
            </w:r>
          </w:p>
        </w:tc>
        <w:tc>
          <w:tcPr>
            <w:tcW w:type="dxa" w:w="221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+25.2</w:t>
            </w:r>
          </w:p>
        </w:tc>
        <w:tc>
          <w:tcPr>
            <w:tcW w:type="dxa" w:w="188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+7.84</w:t>
            </w:r>
          </w:p>
        </w:tc>
      </w:tr>
      <w:tr>
        <w:trPr>
          <w:cantSplit/>
        </w:trPr>
        <w:tc>
          <w:tcPr>
            <w:tcW w:type="dxa" w:w="1757"/>
            <w:vAlign w:val="center"/>
            <w:tcMar>
              <w:top w:w="55" w:type="dxa"/>
              <w:start w:w="65" w:type="dxa"/>
              <w:bottom w:w="55" w:type="dxa"/>
              <w:end w:w="65" w:type="dxa"/>
            </w:tcMar>
          </w:tcPr>
          <w:p>
            <w:pPr>
              <w:spacing w:after="0" w:line="240" w:lineRule="auto"/>
            </w:pPr>
            <w:r/>
            <w:r>
              <w:rPr>
                <w:rFonts w:ascii="Times New Roman" w:hAnsi="Times New Roman"/>
                <w:b w:val="0"/>
                <w:color w:val="202A32"/>
                <w:sz w:val="14"/>
              </w:rPr>
              <w:t>DeiT-Small</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+18.0</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+65.1</w:t>
            </w:r>
          </w:p>
        </w:tc>
        <w:tc>
          <w:tcPr>
            <w:tcW w:type="dxa" w:w="221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+36.1</w:t>
            </w:r>
          </w:p>
        </w:tc>
        <w:tc>
          <w:tcPr>
            <w:tcW w:type="dxa" w:w="188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+7.30</w:t>
            </w:r>
          </w:p>
        </w:tc>
      </w:tr>
      <w:tr>
        <w:trPr>
          <w:cantSplit/>
        </w:trPr>
        <w:tc>
          <w:tcPr>
            <w:tcW w:type="dxa" w:w="1757"/>
            <w:vAlign w:val="center"/>
            <w:tcMar>
              <w:top w:w="55" w:type="dxa"/>
              <w:start w:w="65" w:type="dxa"/>
              <w:bottom w:w="55" w:type="dxa"/>
              <w:end w:w="65" w:type="dxa"/>
            </w:tcMar>
          </w:tcPr>
          <w:p>
            <w:pPr>
              <w:spacing w:after="0" w:line="240" w:lineRule="auto"/>
            </w:pPr>
            <w:r/>
            <w:r>
              <w:rPr>
                <w:rFonts w:ascii="Times New Roman" w:hAnsi="Times New Roman"/>
                <w:b w:val="0"/>
                <w:color w:val="202A32"/>
                <w:sz w:val="14"/>
              </w:rPr>
              <w:t>ViT-B/16 AugReg</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+6.5</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+5.7</w:t>
            </w:r>
          </w:p>
        </w:tc>
        <w:tc>
          <w:tcPr>
            <w:tcW w:type="dxa" w:w="221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+11.34</w:t>
            </w:r>
          </w:p>
        </w:tc>
        <w:tc>
          <w:tcPr>
            <w:tcW w:type="dxa" w:w="188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+33.40</w:t>
            </w:r>
          </w:p>
        </w:tc>
      </w:tr>
      <w:tr>
        <w:trPr>
          <w:cantSplit/>
        </w:trPr>
        <w:tc>
          <w:tcPr>
            <w:tcW w:type="dxa" w:w="1757"/>
            <w:vAlign w:val="center"/>
            <w:tcMar>
              <w:top w:w="55" w:type="dxa"/>
              <w:start w:w="65" w:type="dxa"/>
              <w:bottom w:w="55" w:type="dxa"/>
              <w:end w:w="65" w:type="dxa"/>
            </w:tcMar>
          </w:tcPr>
          <w:p>
            <w:pPr>
              <w:spacing w:after="0" w:line="240" w:lineRule="auto"/>
            </w:pPr>
            <w:r/>
            <w:r>
              <w:rPr>
                <w:rFonts w:ascii="Times New Roman" w:hAnsi="Times New Roman"/>
                <w:b w:val="0"/>
                <w:color w:val="202A32"/>
                <w:sz w:val="14"/>
              </w:rPr>
              <w:t>DINOv2 ViT-S/14</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+47.8</w:t>
            </w:r>
          </w:p>
        </w:tc>
        <w:tc>
          <w:tcPr>
            <w:tcW w:type="dxa" w:w="1930"/>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+55.4</w:t>
            </w:r>
          </w:p>
        </w:tc>
        <w:tc>
          <w:tcPr>
            <w:tcW w:type="dxa" w:w="221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−0.02</w:t>
            </w:r>
          </w:p>
        </w:tc>
        <w:tc>
          <w:tcPr>
            <w:tcW w:type="dxa" w:w="188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4"/>
              </w:rPr>
              <w:t>+0.17</w:t>
            </w:r>
          </w:p>
        </w:tc>
      </w:tr>
    </w:tbl>
    <w:p>
      <w:pPr>
        <w:spacing w:after="20"/>
      </w:pPr>
    </w:p>
    <w:p>
      <w:pPr>
        <w:spacing w:after="100" w:line="259" w:lineRule="auto"/>
      </w:pPr>
      <w:r>
        <w:rPr>
          <w:rFonts w:ascii="Times New Roman" w:hAnsi="Times New Roman"/>
          <w:i w:val="0"/>
          <w:color w:val="202A32"/>
          <w:sz w:val="20"/>
        </w:rPr>
        <w:t>Note (Table II). All interventions are at Block 8. Geometry contrasts replace 50% of spatial patches; coordinate-permutation values are three-seed means, while centroid and sign-inversion endpoints are single runs. Grouped-K and PC1/random contrasts replace all spatial patches; Kmax is 196 for DeiT/ViT-B and 256 for DINOv2. Grouped-K uses three seeds for DeiT and five for ViT-B/DINOv2; PC1/random uses five seeds for DeiT and three for ViT-B/DINOv2. Each architecture uses N=1,000 held-out images and a disjoint N=1,000 calibration cohort. DINOv2 remains near the Top-1 floor for both complete-replacement contrasts; its +0.17 pp PC1 contrast is not meaningful accuracy recovery. See Figure 3 and the source-linked calculations in the validation script for protocol-level values.</w:t>
      </w:r>
    </w:p>
    <w:p w14:paraId="29DD8BDD" w14:textId="77777777" w:rsidR="004C250E" w:rsidRDefault="00000000">
      <w:pPr>
        <w:pStyle w:val="Heading1"/>
      </w:pPr>
      <w:r>
        <w:rPr>
          <w:rFonts w:ascii="Times New Roman" w:hAnsi="Times New Roman"/>
        </w:rPr>
        <w:t>5. Functional Geometry and Attention-Mediated Transmission</w:t>
      </w:r>
    </w:p>
    <w:p w14:paraId="334B61EC" w14:textId="77777777" w:rsidR="004C250E" w:rsidRDefault="00000000">
      <w:pPr>
        <w:pStyle w:val="Heading2"/>
      </w:pPr>
      <w:r>
        <w:rPr>
          <w:rFonts w:ascii="Times New Roman" w:hAnsi="Times New Roman"/>
        </w:rPr>
        <w:t>5.1 Anisotropy and Functional Geometry</w:t>
      </w:r>
    </w:p>
    <w:p w14:paraId="6DF85CE5" w14:textId="77777777" w:rsidR="004C250E" w:rsidRDefault="00000000">
      <w:pPr>
        <w:spacing w:after="100" w:line="259" w:lineRule="auto"/>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78A491B" w14:textId="77777777">
        <w:trPr>
          <w:cantSplit/>
          <w:jc w:val="center"/>
        </w:trPr>
        <w:tc>
          <w:tcPr>
            <w:tcW w:w="518" w:type="dxa"/>
            <w:tcMar>
              <w:top w:w="0" w:type="dxa"/>
              <w:left w:w="0" w:type="dxa"/>
              <w:bottom w:w="0" w:type="dxa"/>
              <w:right w:w="0" w:type="dxa"/>
            </w:tcMar>
            <w:vAlign w:val="center"/>
          </w:tcPr>
          <w:p w14:paraId="6C10A5F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5BAE5F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7E161A3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30F87AC3" w14:textId="77777777" w:rsidR="004C250E" w:rsidRDefault="00000000">
            <w:pPr>
              <w:keepLines/>
              <w:spacing w:before="40" w:after="80" w:line="240" w:lineRule="auto"/>
              <w:jc w:val="right"/>
            </w:pPr>
            <w:r>
              <w:rPr>
                <w:sz w:val="18"/>
              </w:rPr>
              <w:t>(2)</w:t>
            </w:r>
          </w:p>
        </w:tc>
      </w:tr>
    </w:tbl>
    <w:p w14:paraId="1F23687A" w14:textId="77777777" w:rsidR="004C250E" w:rsidRDefault="00000000">
      <w:pPr>
        <w:keepLines/>
        <w:spacing w:after="100" w:line="259" w:lineRule="auto"/>
      </w:pPr>
      <w:r>
        <w:lastRenderedPageBreak/>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2C6BD7BA"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403FD861"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C5CEAF6" w14:textId="77777777" w:rsidR="004C250E" w:rsidRDefault="00000000">
      <w:pPr>
        <w:keepLines/>
        <w:spacing w:after="80"/>
        <w:jc w:val="center"/>
      </w:pPr>
      <w:r>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eigenvalues at or below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rPr>
          <w:i/>
          <w:color w:val="4C5963"/>
          <w:sz w:val="17"/>
        </w:rPr>
        <w:t xml:space="preserve"> across depth. Each architecture uses the same </w:t>
      </w:r>
      <m:oMath>
        <m:r>
          <w:rPr>
            <w:rFonts w:ascii="Cambria Math" w:hAnsi="Cambria Math"/>
          </w:rPr>
          <m:t>N=100</m:t>
        </m:r>
      </m:oMath>
      <w:r>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pPr>
        <w:spacing w:after="100" w:line="259" w:lineRule="auto"/>
      </w:pPr>
      <w:r>
        <w:rPr>
          <w:rFonts w:ascii="Times New Roman" w:hAnsi="Times New Roman"/>
          <w:i w:val="0"/>
          <w:color w:val="202A32"/>
          <w:sz w:val="20"/>
        </w:rPr>
        <w:t xml:space="preserve">At depth 8, the ViT-B PCbottom direction is especially uncertain because its covariance eigengap is only </w:t>
      </w:r>
      <m:oMath>
        <m:r>
          <m:t xml:space="preserve">1</m:t>
        </m:r>
        <m:r>
          <m:t xml:space="preserve">.</m:t>
        </m:r>
        <m:r>
          <m:t xml:space="preserve">53</m:t>
        </m:r>
        <m:r>
          <m:t xml:space="preserve">×</m:t>
        </m:r>
        <m:sSup>
          <m:e>
            <m:r>
              <m:t xml:space="preserve">10</m:t>
            </m:r>
          </m:e>
          <m:sup>
            <m:r>
              <m:t xml:space="preserve">-</m:t>
            </m:r>
            <m:r>
              <m:t xml:space="preserve">5</m:t>
            </m:r>
          </m:sup>
        </m:sSup>
      </m:oMath>
      <w:r>
        <w:rPr>
          <w:rFonts w:ascii="Times New Roman" w:hAnsi="Times New Roman"/>
          <w:i w:val="0"/>
          <w:color w:val="202A32"/>
          <w:sz w:val="20"/>
        </w:rPr>
        <w:t xml:space="preserve"> of the largest eigenvalue. Its large sensitivity ratio therefore describes the selected sample eigenvector, not a stable ranking of the low-variance subspace. Activation variance does not provide a model-independent proxy for margin sensitivity.</w:t>
      </w:r>
    </w:p>
    <w:p w14:paraId="22B6048D" w14:textId="77777777" w:rsidR="004C250E"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is compared across depths 5–10 in Table III. At the operational near-null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primary-threshold fractions are summarized there; DINOv2 reaches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illustrating threshold sensitivity.</w:t>
      </w:r>
    </w:p>
    <w:p>
      <w:pPr>
        <w:spacing w:after="100" w:line="259" w:lineRule="auto"/>
      </w:pPr>
      <w:r>
        <w:rPr>
          <w:rFonts w:ascii="Times New Roman" w:hAnsi="Times New Roman"/>
          <w:i w:val="0"/>
          <w:color w:val="202A32"/>
          <w:sz w:val="20"/>
        </w:rPr>
        <w:t>Near-null expansion at the primary cutoff is architecture-dependent and small for DINOv2. The ViT-B PCbottom ratio depends on a direction with a small covariance eigengap. These depth-wise associations are consistent with increasing late-layer fungibility in several models but do not establish an exact nonlinear invariance subspace or a causal explanation.</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DEPTH EVOLUTION OF FUNCTIONAL SENSITIVITY ACROSS ARCHITECTURES</w:t>
      </w:r>
    </w:p>
    <w:p>
      <w:pPr>
        <w:keepNext/>
        <w:spacing w:after="100" w:line="259" w:lineRule="auto"/>
      </w:pPr>
      <w:r>
        <w:rPr>
          <w:rFonts w:ascii="Times New Roman" w:hAnsi="Times New Roman"/>
          <w:i w:val="0"/>
          <w:color w:val="202A32"/>
          <w:sz w:val="20"/>
        </w:rPr>
        <w:t xml:space="preserve">The empirical margin-gradient metric Mℓ and its depth-dependent spectrum. Normalized effective rank is dimensionless; near-null eigenvalues satisfy λk ≤ </w:t>
      </w:r>
      <m:oMath>
        <m:sSup>
          <m:e>
            <m:r>
              <m:t xml:space="preserve">10</m:t>
            </m:r>
          </m:e>
          <m:sup>
            <m:r>
              <m:t xml:space="preserve">-</m:t>
            </m:r>
            <m:r>
              <m:t xml:space="preserve">3</m:t>
            </m:r>
          </m:sup>
        </m:sSup>
      </m:oMath>
      <w:r>
        <w:rPr>
          <w:rFonts w:ascii="Times New Roman" w:hAnsi="Times New Roman"/>
          <w:i w:val="0"/>
          <w:color w:val="202A32"/>
          <w:sz w:val="20"/>
        </w:rPr>
        <w:t xml:space="preserve"> λmax, an operational cutoff rather than an exact nonlinear nullspace criterion.</w:t>
      </w:r>
    </w:p>
    <w:tbl>
      <w:tblPr>
        <w:tblStyle w:val="TableGrid"/>
        <w:tblW w:type="auto" w:w="0"/>
        <w:jc w:val="center"/>
        <w:tblLayout w:type="fixed"/>
        <w:tblLook w:firstColumn="1" w:firstRow="1" w:lastColumn="0" w:lastRow="0" w:noHBand="0" w:noVBand="1" w:val="04A0"/>
        <w:tblLayout w:type="fixed"/>
      </w:tblPr>
      <w:tblGrid>
        <w:gridCol w:w="1800"/>
        <w:gridCol w:w="2477"/>
        <w:gridCol w:w="2448"/>
        <w:gridCol w:w="2995"/>
      </w:tblGrid>
      <w:tr>
        <w:trPr>
          <w:cantSplit/>
          <w:tblHeader w:val="true"/>
        </w:trPr>
        <w:tc>
          <w:tcPr>
            <w:tcW w:type="dxa" w:w="1800"/>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2477"/>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Normalized effective rank, d5 → d10</w:t>
            </w:r>
          </w:p>
        </w:tc>
        <w:tc>
          <w:tcPr>
            <w:tcW w:type="dxa" w:w="244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d5 → d10</w:t>
            </w:r>
          </w:p>
        </w:tc>
        <w:tc>
          <w:tcPr>
            <w:tcW w:type="dxa" w:w="2995"/>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ratio, d8</w:t>
            </w:r>
          </w:p>
        </w:tc>
      </w:tr>
      <w:tr>
        <w:trPr>
          <w:cantSplit/>
        </w:trPr>
        <w:tc>
          <w:tcPr>
            <w:tcW w:type="dxa" w:w="1800"/>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2477"/>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244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2995"/>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w:t>
            </w:r>
          </w:p>
        </w:tc>
      </w:tr>
      <w:tr>
        <w:trPr>
          <w:cantSplit/>
        </w:trPr>
        <w:tc>
          <w:tcPr>
            <w:tcW w:type="dxa" w:w="1800"/>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2477"/>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244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2995"/>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0.041</w:t>
            </w:r>
          </w:p>
        </w:tc>
      </w:tr>
      <w:tr>
        <w:trPr>
          <w:cantSplit/>
        </w:trPr>
        <w:tc>
          <w:tcPr>
            <w:tcW w:type="dxa" w:w="1800"/>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2477"/>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244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2995"/>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r>
      <w:tr>
        <w:trPr>
          <w:cantSplit/>
        </w:trPr>
        <w:tc>
          <w:tcPr>
            <w:tcW w:type="dxa" w:w="1800"/>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2477"/>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244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2995"/>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r>
    </w:tbl>
    <w:p>
      <w:pPr>
        <w:spacing w:after="20"/>
      </w:pPr>
    </w:p>
    <w:p>
      <w:pPr>
        <w:spacing w:after="100" w:line="259" w:lineRule="auto"/>
      </w:pPr>
      <w:r>
        <w:rPr>
          <w:rFonts w:ascii="Times New Roman" w:hAnsi="Times New Roman"/>
          <w:i w:val="0"/>
          <w:color w:val="202A32"/>
          <w:sz w:val="20"/>
        </w:rPr>
        <w:t>Mℓ is the empirical uncentered second moment of clean predicted-class margin gradients over patch positions and N=100 calibration images/model; positions are aggregated within images. Normalized effective rank divides the entropy-based effective rank by feature dimension D, so it is dimensionless. Mℓ is distinct from the full token-by-feature downstream readout Jacobian Gram matrix. DINOv2 near-null growth is small at the primary threshold. †The ViT-B PCbottom-based ratio is sensitive to a small depth-8 activation-covariance eigengap. Ratios describe the selected sample directions and are not a universal ranking of PCA directions.</w:t>
      </w:r>
    </w:p>
    <w:p w14:paraId="3BD94DB8" w14:textId="77777777" w:rsidR="004C250E"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1A876409" w14:textId="77777777" w:rsidR="004C250E" w:rsidRDefault="00000000">
      <w:pPr>
        <w:pStyle w:val="Heading2"/>
      </w:pPr>
      <w:r>
        <w:rPr>
          <w:rFonts w:ascii="Times New Roman" w:hAnsi="Times New Roman"/>
        </w:rPr>
        <w:t>5.2 Value-Path Coherence and Cancellation</w:t>
      </w:r>
    </w:p>
    <w:p w14:paraId="57157F17" w14:textId="77777777" w:rsidR="004C250E" w:rsidRDefault="00000000">
      <w:pPr>
        <w:spacing w:after="100" w:line="259" w:lineRule="auto"/>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so its difference from the full condition is not a pure Value-only causal effect or an additive attribution.</w:t>
      </w:r>
    </w:p>
    <w:p w14:paraId="6EB97CAE" w14:textId="77777777" w:rsidR="004C250E" w:rsidRDefault="00000000">
      <w:pPr>
        <w:spacing w:after="100" w:line="259" w:lineRule="auto"/>
      </w:pPr>
      <w:r>
        <w:lastRenderedPageBreak/>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5CF10B8E" w14:textId="77777777" w:rsidR="004C250E" w:rsidRDefault="00000000">
      <w:pPr>
        <w:keepNext/>
        <w:keepLines/>
        <w:spacing w:after="20"/>
        <w:jc w:val="center"/>
      </w:pPr>
      <w:r>
        <w:rPr>
          <w:noProof/>
        </w:rPr>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2655399A" w14:textId="77777777" w:rsidR="004C250E" w:rsidRDefault="00000000">
      <w:pPr>
        <w:keepLines/>
        <w:spacing w:after="80"/>
        <w:jc w:val="center"/>
      </w:pPr>
      <w:r>
        <w:rPr>
          <w:i/>
          <w:color w:val="4C5963"/>
          <w:sz w:val="17"/>
        </w:rPr>
        <w:t xml:space="preserve">Figure 5.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w:rPr>
            <w:rFonts w:ascii="Cambria Math" w:hAnsi="Cambria Math"/>
          </w:rPr>
          <m:t>Q,K,V</m:t>
        </m:r>
      </m:oMath>
      <w:r>
        <w:rPr>
          <w:i/>
          <w:color w:val="4C5963"/>
          <w:sz w:val="17"/>
        </w:rPr>
        <w:t xml:space="preserve"> and the residual and recomputes attention; frozen attention keeps clean </w:t>
      </w:r>
      <m:oMath>
        <m:r>
          <w:rPr>
            <w:rFonts w:ascii="Cambria Math" w:hAnsi="Cambria Math"/>
          </w:rPr>
          <m:t>Q,K,A</m:t>
        </m:r>
      </m:oMath>
      <w:r>
        <w:rPr>
          <w:i/>
          <w:color w:val="4C5963"/>
          <w:sz w:val="17"/>
        </w:rPr>
        <w:t xml:space="preserve"> and perturbs </w:t>
      </w:r>
      <m:oMath>
        <m:r>
          <w:rPr>
            <w:rFonts w:ascii="Cambria Math" w:hAnsi="Cambria Math"/>
          </w:rPr>
          <m:t>V</m:t>
        </m:r>
      </m:oMath>
      <w:r>
        <w:rPr>
          <w:i/>
          <w:color w:val="4C5963"/>
          <w:sz w:val="17"/>
        </w:rPr>
        <w:t xml:space="preserve"> and the residual. Bars are means over </w:t>
      </w:r>
      <m:oMath>
        <m:r>
          <w:rPr>
            <w:rFonts w:ascii="Cambria Math" w:hAnsi="Cambria Math"/>
          </w:rPr>
          <m:t>N=100</m:t>
        </m:r>
      </m:oMath>
      <w:r>
        <w:rPr>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2E8F9BD1" w14:textId="77777777" w:rsidR="004C250E"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5458F6C9" w14:textId="77777777">
        <w:trPr>
          <w:cantSplit/>
          <w:jc w:val="center"/>
        </w:trPr>
        <w:tc>
          <w:tcPr>
            <w:tcW w:w="518" w:type="dxa"/>
            <w:tcMar>
              <w:top w:w="0" w:type="dxa"/>
              <w:left w:w="0" w:type="dxa"/>
              <w:bottom w:w="0" w:type="dxa"/>
              <w:right w:w="0" w:type="dxa"/>
            </w:tcMar>
            <w:vAlign w:val="center"/>
          </w:tcPr>
          <w:p w14:paraId="565976B8"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12C49DC"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B1A4EAB"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1B48D67B" w14:textId="77777777" w:rsidR="004C250E" w:rsidRDefault="00000000">
            <w:pPr>
              <w:keepLines/>
              <w:spacing w:before="40" w:after="80" w:line="240" w:lineRule="auto"/>
              <w:jc w:val="right"/>
            </w:pPr>
            <w:r>
              <w:rPr>
                <w:sz w:val="18"/>
              </w:rPr>
              <w:t>(3)</w:t>
            </w:r>
          </w:p>
        </w:tc>
      </w:tr>
    </w:tbl>
    <w:p w14:paraId="74006F82" w14:textId="77777777" w:rsidR="004C250E"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4FC2BD0B" w14:textId="77777777" w:rsidR="004C250E" w:rsidRDefault="00000000">
      <w:pPr>
        <w:pStyle w:val="Heading2"/>
      </w:pPr>
      <w:r>
        <w:rPr>
          <w:rFonts w:ascii="Times New Roman" w:hAnsi="Times New Roman"/>
        </w:rPr>
        <w:lastRenderedPageBreak/>
        <w:t>5.3 End-to-End Functional Transmission</w:t>
      </w:r>
    </w:p>
    <w:p w14:paraId="7CDB41B5" w14:textId="77777777" w:rsidR="004C250E"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6C5BC8C3" w14:textId="77777777">
        <w:trPr>
          <w:cantSplit/>
          <w:jc w:val="center"/>
        </w:trPr>
        <w:tc>
          <w:tcPr>
            <w:tcW w:w="518" w:type="dxa"/>
            <w:tcMar>
              <w:top w:w="0" w:type="dxa"/>
              <w:left w:w="0" w:type="dxa"/>
              <w:bottom w:w="0" w:type="dxa"/>
              <w:right w:w="0" w:type="dxa"/>
            </w:tcMar>
            <w:vAlign w:val="center"/>
          </w:tcPr>
          <w:p w14:paraId="0274C07B"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408EEB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75BBFAD7"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4792F8B3" w14:textId="77777777" w:rsidR="004C250E" w:rsidRDefault="00000000">
            <w:pPr>
              <w:keepLines/>
              <w:spacing w:before="40" w:after="80" w:line="240" w:lineRule="auto"/>
              <w:jc w:val="right"/>
            </w:pPr>
            <w:r>
              <w:rPr>
                <w:sz w:val="18"/>
              </w:rPr>
              <w:t>(4)</w:t>
            </w:r>
          </w:p>
        </w:tc>
      </w:tr>
    </w:tbl>
    <w:p w14:paraId="1831C399" w14:textId="77777777" w:rsidR="004C250E"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482987A5" w14:textId="77777777" w:rsidR="004C250E" w:rsidRDefault="00000000">
      <w:pPr>
        <w:spacing w:after="100" w:line="259" w:lineRule="auto"/>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7C458E38" w14:textId="77777777" w:rsidR="004C250E" w:rsidRDefault="00000000">
      <w:pPr>
        <w:spacing w:after="100" w:line="259" w:lineRule="auto"/>
      </w:pPr>
      <w:r>
        <w:t xml:space="preserve">The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 xml:space="preserve"> op}</m:t>
        </m:r>
      </m:oMath>
      <w:r>
        <w:t xml:space="preserve"> and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 xml:space="preserve"> ull}</m:t>
        </m:r>
      </m:oMath>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so the heatmaps are descriptive within-cohort summaries, not held-out generalization estimates. Responses vary across both pattern and direction, but the full direction-by-pattern regression is saturated and has no residual degrees of freedom; it therefore supports no inferential significance claim.</w:t>
      </w:r>
    </w:p>
    <w:p w14:paraId="136DECEA"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7B267624" w14:textId="77777777" w:rsidR="004C250E" w:rsidRDefault="00000000">
      <w:pPr>
        <w:keepLines/>
        <w:spacing w:after="80"/>
        <w:jc w:val="center"/>
      </w:pPr>
      <w:r>
        <w:rPr>
          <w:i/>
          <w:color w:val="4C5963"/>
          <w:sz w:val="17"/>
        </w:rPr>
        <w:t xml:space="preserve">Figure 6.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under the rank-one joint perturbation in Equation (4), at </w:t>
      </w:r>
      <m:oMath>
        <m:r>
          <w:rPr>
            <w:rFonts w:ascii="Cambria Math" w:hAnsi="Cambria Math"/>
          </w:rPr>
          <m:t>s=1.0</m:t>
        </m:r>
      </m:oMath>
      <w:r>
        <w:rPr>
          <w:i/>
          <w:color w:val="4C5963"/>
          <w:sz w:val="17"/>
        </w:rPr>
        <w:t xml:space="preserve">. (a) DeiT-Small, Block 8; (b) ViT-B/16 AugReg, Block 7. Rows show single-central, single-corner, global-coherent, random-sign, random-Gaussian, 25%-spatial-cluster, checkerboard, and smooth-spatial token patterns; columns show joint-margin-gradient top and near-null directions, activation-covariance PC1, calibration centroid, and an isotropic random direction. Both panels share a logarithmic color scale, also used in Supplementary Figure S14. Each model uses the same </w:t>
      </w:r>
      <m:oMath>
        <m:r>
          <w:rPr>
            <w:rFonts w:ascii="Cambria Math" w:hAnsi="Cambria Math"/>
          </w:rPr>
          <m:t>N=100</m:t>
        </m:r>
      </m:oMath>
      <w:r>
        <w:rPr>
          <w:i/>
          <w:color w:val="4C5963"/>
          <w:sz w:val="17"/>
        </w:rPr>
        <w:t xml:space="preserve"> calibration images to construct directions and evaluate outcomes; cells are descriptive cohort means, without held-out evaluation or uncertainty intervals. The joint-stream gradient directions are not the downstream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rPr>
          <w:i/>
          <w:color w:val="4C5963"/>
          <w:sz w:val="17"/>
        </w:rPr>
        <w:t>.</w:t>
      </w:r>
    </w:p>
    <w:p w14:paraId="0D8F3892" w14:textId="77777777" w:rsidR="004C250E"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236BF0B" w14:textId="77777777">
        <w:trPr>
          <w:cantSplit/>
          <w:jc w:val="center"/>
        </w:trPr>
        <w:tc>
          <w:tcPr>
            <w:tcW w:w="518" w:type="dxa"/>
            <w:tcMar>
              <w:top w:w="0" w:type="dxa"/>
              <w:left w:w="0" w:type="dxa"/>
              <w:bottom w:w="0" w:type="dxa"/>
              <w:right w:w="0" w:type="dxa"/>
            </w:tcMar>
            <w:vAlign w:val="center"/>
          </w:tcPr>
          <w:p w14:paraId="4A79E552"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15F620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0340FF04"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6F83E6B6" w14:textId="77777777" w:rsidR="004C250E" w:rsidRDefault="00000000">
            <w:pPr>
              <w:keepLines/>
              <w:spacing w:before="40" w:after="80" w:line="240" w:lineRule="auto"/>
              <w:jc w:val="right"/>
            </w:pPr>
            <w:r>
              <w:rPr>
                <w:sz w:val="18"/>
              </w:rPr>
              <w:t>(5)</w:t>
            </w:r>
          </w:p>
        </w:tc>
      </w:tr>
    </w:tbl>
    <w:p w14:paraId="794BDB30" w14:textId="77777777" w:rsidR="004C250E"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6E24CA9A" w14:textId="77777777" w:rsidR="004C250E"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147D740D" w14:textId="77777777" w:rsidR="004C250E"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2BD9E52D"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6139A9A4" w14:textId="77777777" w:rsidR="004C250E" w:rsidRDefault="00000000">
      <w:pPr>
        <w:keepLines/>
        <w:spacing w:after="80"/>
        <w:jc w:val="center"/>
      </w:pPr>
      <w:r>
        <w:rPr>
          <w:i/>
          <w:color w:val="4C5963"/>
          <w:sz w:val="17"/>
        </w:rPr>
        <w:t xml:space="preserve">Figure 7.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7C2DDE8D" w14:textId="77777777" w:rsidR="004C250E"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w:t>
      </w:r>
      <w:r>
        <w:lastRenderedPageBreak/>
        <w:t>coherence, and downstream transmission jointly constrain perturbation damage in the tested settings, motivating the operator-aware compression analysis in Section 6.</w:t>
      </w:r>
    </w:p>
    <w:p w14:paraId="06BFCF99" w14:textId="77777777" w:rsidR="004C250E" w:rsidRDefault="00000000">
      <w:pPr>
        <w:pStyle w:val="Heading1"/>
      </w:pPr>
      <w:r>
        <w:rPr>
          <w:rFonts w:ascii="Times New Roman" w:hAnsi="Times New Roman"/>
        </w:rPr>
        <w:t>6. Operator-Aware Token Compression</w:t>
      </w:r>
    </w:p>
    <w:p w14:paraId="078BC42D" w14:textId="77777777" w:rsidR="004C250E" w:rsidRDefault="00000000">
      <w:pPr>
        <w:pStyle w:val="Heading2"/>
      </w:pPr>
      <w:r>
        <w:rPr>
          <w:rFonts w:ascii="Times New Roman" w:hAnsi="Times New Roman"/>
        </w:rPr>
        <w:t>6.1 Carrier Grouping and Optimization</w:t>
      </w:r>
    </w:p>
    <w:p w14:paraId="17F1B08A" w14:textId="77777777" w:rsidR="004C250E"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60CE2CE" w14:textId="77777777" w:rsidTr="00A3332A">
        <w:trPr>
          <w:cantSplit/>
          <w:jc w:val="center"/>
        </w:trPr>
        <w:tc>
          <w:tcPr>
            <w:tcW w:w="518" w:type="dxa"/>
            <w:tcMar>
              <w:top w:w="0" w:type="dxa"/>
              <w:left w:w="0" w:type="dxa"/>
              <w:bottom w:w="0" w:type="dxa"/>
              <w:right w:w="0" w:type="dxa"/>
            </w:tcMar>
            <w:vAlign w:val="center"/>
          </w:tcPr>
          <w:p w14:paraId="2E0E6ED5"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7ABEACE7"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7FFC1DB7" w14:textId="77777777" w:rsidR="004C250E" w:rsidRDefault="00000000">
            <w:pPr>
              <w:keepLines/>
              <w:spacing w:before="40" w:after="80" w:line="240" w:lineRule="auto"/>
              <w:jc w:val="right"/>
            </w:pPr>
            <w:r>
              <w:rPr>
                <w:sz w:val="18"/>
              </w:rPr>
              <w:t>(6)</w:t>
            </w:r>
          </w:p>
        </w:tc>
      </w:tr>
    </w:tbl>
    <w:p w14:paraId="3765ACE9" w14:textId="77777777" w:rsidR="00A3332A" w:rsidRPr="00A3332A" w:rsidRDefault="00A3332A">
      <w:pPr>
        <w:spacing w:after="100" w:line="259" w:lineRule="auto"/>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52A749B3" w14:textId="77777777" w:rsidR="004C250E" w:rsidRDefault="00000000">
      <w:pPr>
        <w:spacing w:after="100" w:line="259" w:lineRule="auto"/>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2995253" w14:textId="77777777">
        <w:trPr>
          <w:cantSplit/>
          <w:jc w:val="center"/>
        </w:trPr>
        <w:tc>
          <w:tcPr>
            <w:tcW w:w="518" w:type="dxa"/>
            <w:tcMar>
              <w:top w:w="0" w:type="dxa"/>
              <w:left w:w="0" w:type="dxa"/>
              <w:bottom w:w="0" w:type="dxa"/>
              <w:right w:w="0" w:type="dxa"/>
            </w:tcMar>
            <w:vAlign w:val="center"/>
          </w:tcPr>
          <w:p w14:paraId="76C336C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A1A9AC9"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9B0E6F7" w14:textId="77777777" w:rsidR="004C250E" w:rsidRDefault="00000000">
            <w:pPr>
              <w:keepLines/>
              <w:spacing w:before="40" w:after="80" w:line="240" w:lineRule="auto"/>
              <w:jc w:val="right"/>
            </w:pPr>
            <w:r>
              <w:rPr>
                <w:sz w:val="18"/>
              </w:rPr>
              <w:t>(7)</w:t>
            </w:r>
          </w:p>
        </w:tc>
      </w:tr>
    </w:tbl>
    <w:p w14:paraId="4EF7DD4B" w14:textId="77777777" w:rsidR="004C250E"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F72AC23" w14:textId="77777777">
        <w:trPr>
          <w:cantSplit/>
          <w:jc w:val="center"/>
        </w:trPr>
        <w:tc>
          <w:tcPr>
            <w:tcW w:w="518" w:type="dxa"/>
            <w:tcMar>
              <w:top w:w="0" w:type="dxa"/>
              <w:left w:w="0" w:type="dxa"/>
              <w:bottom w:w="0" w:type="dxa"/>
              <w:right w:w="0" w:type="dxa"/>
            </w:tcMar>
            <w:vAlign w:val="center"/>
          </w:tcPr>
          <w:p w14:paraId="15F1675C"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6916E81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2ED3D3D7" w14:textId="77777777" w:rsidR="004C250E" w:rsidRDefault="00000000">
            <w:pPr>
              <w:keepLines/>
              <w:spacing w:before="40" w:after="80" w:line="240" w:lineRule="auto"/>
              <w:jc w:val="right"/>
            </w:pPr>
            <w:r>
              <w:rPr>
                <w:sz w:val="18"/>
              </w:rPr>
              <w:t>(8)</w:t>
            </w:r>
          </w:p>
        </w:tc>
      </w:tr>
    </w:tbl>
    <w:p w14:paraId="3D4263B3" w14:textId="77777777" w:rsidR="004C250E"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36F7B194" w14:textId="77777777" w:rsidR="005B4464" w:rsidRDefault="00000000">
      <w:pPr>
        <w:spacing w:after="100" w:line="259" w:lineRule="auto"/>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551C531" w14:textId="77777777">
        <w:trPr>
          <w:cantSplit/>
          <w:jc w:val="center"/>
        </w:trPr>
        <w:tc>
          <w:tcPr>
            <w:tcW w:w="518" w:type="dxa"/>
            <w:tcMar>
              <w:top w:w="0" w:type="dxa"/>
              <w:left w:w="0" w:type="dxa"/>
              <w:bottom w:w="0" w:type="dxa"/>
              <w:right w:w="0" w:type="dxa"/>
            </w:tcMar>
            <w:vAlign w:val="center"/>
          </w:tcPr>
          <w:p w14:paraId="576455A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F36CE2C"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3490340B" w14:textId="77777777" w:rsidR="00BA0128" w:rsidRDefault="00BA0128">
            <w:pPr>
              <w:keepLines/>
              <w:spacing w:after="0" w:line="240" w:lineRule="auto"/>
              <w:jc w:val="center"/>
            </w:pPr>
          </w:p>
          <w:p w14:paraId="1B295D78"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1CF38569" w14:textId="77777777" w:rsidR="004C250E" w:rsidRDefault="00000000">
            <w:pPr>
              <w:keepLines/>
              <w:spacing w:before="40" w:after="80" w:line="240" w:lineRule="auto"/>
              <w:jc w:val="right"/>
            </w:pPr>
            <w:r>
              <w:rPr>
                <w:sz w:val="18"/>
              </w:rPr>
              <w:t>(9)</w:t>
            </w:r>
          </w:p>
        </w:tc>
      </w:tr>
    </w:tbl>
    <w:p w14:paraId="6D06BD8B" w14:textId="77777777" w:rsidR="004C250E" w:rsidRDefault="00000000">
      <w:pPr>
        <w:spacing w:after="100" w:line="259" w:lineRule="auto"/>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36A2680C" w14:textId="77777777" w:rsidR="004C250E"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E7571AC" w14:textId="77777777">
        <w:trPr>
          <w:cantSplit/>
          <w:jc w:val="center"/>
        </w:trPr>
        <w:tc>
          <w:tcPr>
            <w:tcW w:w="518" w:type="dxa"/>
            <w:tcMar>
              <w:top w:w="0" w:type="dxa"/>
              <w:left w:w="0" w:type="dxa"/>
              <w:bottom w:w="0" w:type="dxa"/>
              <w:right w:w="0" w:type="dxa"/>
            </w:tcMar>
            <w:vAlign w:val="center"/>
          </w:tcPr>
          <w:p w14:paraId="0F7E533A"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7C4B9AC1" w14:textId="1B017448"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B7CD146" w14:textId="77777777" w:rsidR="004C250E" w:rsidRDefault="00000000">
            <w:pPr>
              <w:keepLines/>
              <w:spacing w:before="40" w:after="80" w:line="240" w:lineRule="auto"/>
              <w:jc w:val="right"/>
            </w:pPr>
            <w:r>
              <w:rPr>
                <w:sz w:val="18"/>
              </w:rPr>
              <w:t>(10)</w:t>
            </w:r>
          </w:p>
        </w:tc>
      </w:tr>
    </w:tbl>
    <w:p w14:paraId="7A96CE70" w14:textId="77777777" w:rsidR="004C250E" w:rsidRDefault="00000000">
      <w:pPr>
        <w:spacing w:after="100" w:line="259" w:lineRule="auto"/>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067AA1BE" w14:textId="77777777" w:rsidR="004C250E" w:rsidRDefault="00000000">
      <w:pPr>
        <w:pStyle w:val="Heading2"/>
      </w:pPr>
      <w:r>
        <w:rPr>
          <w:rFonts w:ascii="Times New Roman" w:hAnsi="Times New Roman"/>
        </w:rPr>
        <w:t>6.2 Confirmatory Compression Results</w:t>
      </w:r>
    </w:p>
    <w:p w14:paraId="299B9DAA" w14:textId="77777777" w:rsidR="004C250E" w:rsidRDefault="00000000">
      <w:pPr>
        <w:spacing w:after="100" w:line="259" w:lineRule="auto"/>
      </w:pPr>
      <w:r>
        <w:t>At each architecture’s most aggressive tested token budget, Table IV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These comparisons therefore do not show universal dominance over the stronger merging baselines.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51FC399B" w14:textId="77777777" w:rsidR="004C250E" w:rsidRDefault="00000000">
      <w:pPr>
        <w:spacing w:after="100" w:line="259" w:lineRule="auto"/>
      </w:pPr>
      <w:r>
        <w:t>TABLE IV</w:t>
      </w:r>
    </w:p>
    <w:p w14:paraId="543AC7A6" w14:textId="77777777" w:rsidR="004C250E" w:rsidRDefault="00000000">
      <w:pPr>
        <w:spacing w:after="100" w:line="259" w:lineRule="auto"/>
      </w:pPr>
      <w:r>
        <w:t>STRICT CONFIRMATORY TOP-1 ACCURACY AT THE MOST AGGRESSIVE TESTED BUDGET</w:t>
      </w:r>
    </w:p>
    <w:p w14:paraId="6E0A0B10" w14:textId="77777777" w:rsidR="004C250E" w:rsidRDefault="00000000">
      <w:pPr>
        <w:spacing w:after="100" w:line="259" w:lineRule="auto"/>
      </w:pPr>
      <w: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094B963A"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125743E6"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8D4955D"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E72DD36"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79D44F3"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76ADA12"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93CBC6E"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A15A445"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B4BE2E0" w14:textId="77777777" w:rsidR="004C250E" w:rsidRPr="005D5368" w:rsidRDefault="00000000">
            <w:pPr>
              <w:jc w:val="center"/>
              <w:rPr>
                <w:szCs w:val="32"/>
              </w:rPr>
            </w:pPr>
            <w:r w:rsidRPr="005D5368">
              <w:rPr>
                <w:b/>
                <w:color w:val="17232D"/>
                <w:szCs w:val="32"/>
              </w:rPr>
              <w:t>Rank-32</w:t>
            </w:r>
          </w:p>
        </w:tc>
      </w:tr>
      <w:tr w:rsidR="004C250E" w14:paraId="3C9A5873" w14:textId="77777777" w:rsidTr="005D5368">
        <w:tc>
          <w:tcPr>
            <w:tcW w:w="1249" w:type="dxa"/>
            <w:tcBorders>
              <w:top w:val="single" w:sz="4" w:space="0" w:color="auto"/>
            </w:tcBorders>
            <w:tcMar>
              <w:top w:w="55" w:type="dxa"/>
              <w:left w:w="65" w:type="dxa"/>
              <w:bottom w:w="55" w:type="dxa"/>
              <w:right w:w="65" w:type="dxa"/>
            </w:tcMar>
            <w:vAlign w:val="center"/>
          </w:tcPr>
          <w:p w14:paraId="33CEE34C"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22F2A53D"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51B9EBB4"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64942A5C"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232A00B0"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1D691DAE"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64A46976"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126EB820" w14:textId="77777777" w:rsidR="004C250E" w:rsidRPr="005D5368" w:rsidRDefault="00000000">
            <w:pPr>
              <w:jc w:val="center"/>
              <w:rPr>
                <w:szCs w:val="32"/>
              </w:rPr>
            </w:pPr>
            <w:r w:rsidRPr="005D5368">
              <w:rPr>
                <w:szCs w:val="32"/>
              </w:rPr>
              <w:t>67.9%</w:t>
            </w:r>
          </w:p>
        </w:tc>
      </w:tr>
      <w:tr w:rsidR="004C250E" w14:paraId="4A44AD01" w14:textId="77777777" w:rsidTr="005D5368">
        <w:tc>
          <w:tcPr>
            <w:tcW w:w="1249" w:type="dxa"/>
            <w:tcMar>
              <w:top w:w="55" w:type="dxa"/>
              <w:left w:w="65" w:type="dxa"/>
              <w:bottom w:w="55" w:type="dxa"/>
              <w:right w:w="65" w:type="dxa"/>
            </w:tcMar>
            <w:vAlign w:val="center"/>
          </w:tcPr>
          <w:p w14:paraId="08400FCB"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1CAA9453"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5708E2C2"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0AF00592"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35126464"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1DA22C91"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71948127"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692BA422" w14:textId="77777777" w:rsidR="004C250E" w:rsidRPr="005D5368" w:rsidRDefault="00000000">
            <w:pPr>
              <w:jc w:val="center"/>
              <w:rPr>
                <w:szCs w:val="32"/>
              </w:rPr>
            </w:pPr>
            <w:r w:rsidRPr="005D5368">
              <w:rPr>
                <w:szCs w:val="32"/>
              </w:rPr>
              <w:t>76.5%</w:t>
            </w:r>
          </w:p>
        </w:tc>
      </w:tr>
      <w:tr w:rsidR="004C250E" w14:paraId="12A836C1" w14:textId="77777777" w:rsidTr="005D5368">
        <w:tc>
          <w:tcPr>
            <w:tcW w:w="1249" w:type="dxa"/>
            <w:tcMar>
              <w:top w:w="55" w:type="dxa"/>
              <w:left w:w="65" w:type="dxa"/>
              <w:bottom w:w="55" w:type="dxa"/>
              <w:right w:w="65" w:type="dxa"/>
            </w:tcMar>
            <w:vAlign w:val="center"/>
          </w:tcPr>
          <w:p w14:paraId="47ADD47B"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72BD59B5"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65276B97"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34575CFE"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16974DA6"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458A96D2"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70C8D4FF"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63A02B41" w14:textId="77777777" w:rsidR="004C250E" w:rsidRPr="005D5368" w:rsidRDefault="00000000">
            <w:pPr>
              <w:jc w:val="center"/>
              <w:rPr>
                <w:szCs w:val="32"/>
              </w:rPr>
            </w:pPr>
            <w:r w:rsidRPr="005D5368">
              <w:rPr>
                <w:szCs w:val="32"/>
              </w:rPr>
              <w:t>74.2%</w:t>
            </w:r>
          </w:p>
        </w:tc>
      </w:tr>
      <w:tr w:rsidR="004C250E" w14:paraId="42A1D496" w14:textId="77777777" w:rsidTr="005D5368">
        <w:tc>
          <w:tcPr>
            <w:tcW w:w="1249" w:type="dxa"/>
            <w:tcBorders>
              <w:bottom w:val="single" w:sz="4" w:space="0" w:color="auto"/>
            </w:tcBorders>
            <w:tcMar>
              <w:top w:w="55" w:type="dxa"/>
              <w:left w:w="65" w:type="dxa"/>
              <w:bottom w:w="55" w:type="dxa"/>
              <w:right w:w="65" w:type="dxa"/>
            </w:tcMar>
            <w:vAlign w:val="center"/>
          </w:tcPr>
          <w:p w14:paraId="5A49514B"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49C09984"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7CCE2CAC"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0C94CCE1"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43849A19"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51187A10"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330F8E81"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76DACAC5" w14:textId="77777777" w:rsidR="004C250E" w:rsidRPr="005D5368" w:rsidRDefault="00000000">
            <w:pPr>
              <w:jc w:val="center"/>
              <w:rPr>
                <w:szCs w:val="32"/>
              </w:rPr>
            </w:pPr>
            <w:r w:rsidRPr="005D5368">
              <w:rPr>
                <w:szCs w:val="32"/>
              </w:rPr>
              <w:t>73.0%</w:t>
            </w:r>
          </w:p>
        </w:tc>
      </w:tr>
    </w:tbl>
    <w:p w14:paraId="5565636B" w14:textId="77777777" w:rsidR="004C250E" w:rsidRDefault="004C250E">
      <w:pPr>
        <w:spacing w:after="20"/>
      </w:pPr>
    </w:p>
    <w:p w14:paraId="2DA3F369" w14:textId="77777777" w:rsidR="004C250E" w:rsidRDefault="00000000">
      <w:pPr>
        <w:spacing w:after="100" w:line="259" w:lineRule="auto"/>
      </w:pPr>
      <w:r>
        <w:t>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These are descriptive operator-residual contrasts with images reused across budgets, not a significance test or evidence that Top-1 or nonlinear final-logit damage must improve. The accuracy comparisons in Table IV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IV lists rank-16 and rank-32 Top-1 at each architecture's most aggressive tested budget.</w:t>
      </w:r>
    </w:p>
    <w:p w14:paraId="05BDE06F"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6057BB45" w14:textId="77777777" w:rsidR="004C250E" w:rsidRDefault="00000000">
      <w:pPr>
        <w:keepLines/>
        <w:spacing w:after="80"/>
        <w:jc w:val="center"/>
      </w:pPr>
      <w:r>
        <w:rPr>
          <w:i/>
          <w:color w:val="4C5963"/>
          <w:sz w:val="17"/>
        </w:rPr>
        <w:t>Figure 8. Confirmatory Top-1 accuracy versus retained patch-token fraction for four architectures. Curves show pruning, Group Mean, ToMe, the full-J oracle, and rank-32; rank-16 Top-1 is listed in Table IV at the most aggressive tested budget. Each architecture uses N=1,000 held-out images.</w:t>
      </w:r>
    </w:p>
    <w:p w14:paraId="2DA3F369" w14:textId="77777777" w:rsidR="004C250E" w:rsidRDefault="00000000">
      <w:pPr>
        <w:spacing w:after="100" w:line="259" w:lineRule="auto"/>
      </w:pPr>
      <w:r>
        <w:t>The Full-J formulation is evaluated as an offline, image-conditioned oracle rather than a deployable efficient-inference algorithm. Calibration-frozen carrier approximations and measured accuracy–throughput tradeoffs are evaluated separately in Supplementary Section S13; these experiments do not establish a general deployment advantage.</w:t>
      </w:r>
    </w:p>
    <w:p w14:paraId="39807257" w14:textId="77777777" w:rsidR="004C250E" w:rsidRDefault="00000000">
      <w:pPr>
        <w:pStyle w:val="Heading1"/>
      </w:pPr>
      <w:r>
        <w:rPr>
          <w:rFonts w:ascii="Times New Roman" w:hAnsi="Times New Roman"/>
        </w:rPr>
        <w:t>7. Limitations</w:t>
      </w:r>
    </w:p>
    <w:p w14:paraId="0FAF41AF" w14:textId="77777777" w:rsidR="004C250E" w:rsidRDefault="00000000">
      <w:pPr>
        <w:spacing w:after="100" w:line="259" w:lineRule="auto"/>
      </w:pPr>
      <w:r>
        <w:t>Mechanistic evidence comes from finite, protocol-specific cohorts in Table I and four pretrained ViT families evaluated on one ImageNet validation subset; broader model and task coverage remains untested. The exploratory joint-stream grid reuses its N=100 images for direction estimation and response measurement, so it is descriptive rather than held out. The margin-gradient and readout-Jacobian analyses characterize local, first-order behavior, and a threshold-defined near-null fraction does not establish exact nonlinear invariance. Full-J requires a per-image Jacobian and is an offline oracle. The practical-carrier and operator-space studies use distinct protocols and endpoints, while measured full-model runtime is specific to the tested hardware, batch sizes, and implementations. The evidence does not establish a general deployment advantage.</w:t>
      </w:r>
    </w:p>
    <w:p w14:paraId="51779464" w14:textId="77777777" w:rsidR="004C250E" w:rsidRDefault="00000000">
      <w:pPr>
        <w:pStyle w:val="Heading1"/>
      </w:pPr>
      <w:r>
        <w:rPr>
          <w:rFonts w:ascii="Times New Roman" w:hAnsi="Times New Roman"/>
        </w:rPr>
        <w:t>8. Conclusion</w:t>
      </w:r>
    </w:p>
    <w:p w14:paraId="7384948B" w14:textId="77777777" w:rsidR="004C250E" w:rsidRDefault="00000000">
      <w:pPr>
        <w:spacing w:after="100" w:line="259" w:lineRule="auto"/>
      </w:pPr>
      <w:r>
        <w:t>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The bounded compression result uses an offline, image-conditioned Full-J oracle; practical carrier evidence is summarized in Supplementary Section S13, and the available measurements do not establish a general deployment advantage.</w:t>
      </w:r>
    </w:p>
    <w:p w14:paraId="40439EFE" w14:textId="77777777" w:rsidR="004C250E" w:rsidRDefault="00000000">
      <w:pPr>
        <w:pStyle w:val="Heading1"/>
      </w:pPr>
      <w:r>
        <w:rPr>
          <w:rFonts w:ascii="Times New Roman" w:hAnsi="Times New Roman"/>
        </w:rPr>
        <w:t>Reproducibility and Evidence</w:t>
      </w:r>
    </w:p>
    <w:p w14:paraId="7D3751E8"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4E4E371A" w14:textId="77777777" w:rsidR="004C250E" w:rsidRDefault="00000000">
      <w:pPr>
        <w:pStyle w:val="Heading1"/>
      </w:pPr>
      <w:r>
        <w:t>References</w:t>
      </w:r>
    </w:p>
    <w:p w14:paraId="29A4CA2C"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31ECB8C7"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61796602" w14:textId="77777777" w:rsidR="004C250E" w:rsidRDefault="00000000">
      <w:pPr>
        <w:spacing w:after="80" w:line="240" w:lineRule="auto"/>
        <w:ind w:left="403" w:hanging="403"/>
      </w:pPr>
      <w:r>
        <w:rPr>
          <w:color w:val="26343D"/>
          <w:sz w:val="17"/>
        </w:rPr>
        <w:lastRenderedPageBreak/>
        <w:t>[3] H. Touvron, M. Cord, M. Douze, F. Massa, A. Sablayrolles, H. Jégou, “Training data-efficient image transformers &amp; distillation through attention,” in Proc. 38th Int. Conf. Mach. Learn., vol. 139, pp. 10347–10357, 2021. Available: https://proceedings.mlr.press/v139/touvron21a.html.</w:t>
      </w:r>
    </w:p>
    <w:p w14:paraId="094B5204"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29961D86"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7EF76EC0"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7560AA1E"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186B302B"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323B16B"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6B5A40DE"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00776D2D"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00A419D0"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327EF876"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4C0E992C"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6717176B"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BEA51B6"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674DBE42"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2C88CFA8"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1793262B"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032BF3B3"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4830D6B8"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14AA2FA2" w14:textId="77777777" w:rsidR="004C250E" w:rsidRDefault="00000000">
      <w:pPr>
        <w:spacing w:after="80" w:line="240" w:lineRule="auto"/>
        <w:ind w:left="403" w:hanging="403"/>
      </w:pPr>
      <w:r>
        <w:rPr>
          <w:color w:val="26343D"/>
          <w:sz w:val="17"/>
        </w:rPr>
        <w:t>[22] L. Yu, W. Xiang, “X-Pruner: eXplainable Pruning for Vision Transformers,” in Proc. IEEE/CVF Conf. Comput. Vis. Pattern Recognit., pp. 24355–24363, 2023. DOI: 10.1109/CVPR52729.2023.02333.</w:t>
      </w:r>
    </w:p>
    <w:p w14:paraId="5FF21BB6"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661E085B" w14:textId="77777777" w:rsidR="004C250E" w:rsidRDefault="00000000">
      <w:pPr>
        <w:spacing w:after="80" w:line="240" w:lineRule="auto"/>
        <w:ind w:left="403" w:hanging="403"/>
      </w:pPr>
      <w:r>
        <w:rPr>
          <w:color w:val="26343D"/>
          <w:sz w:val="17"/>
        </w:rPr>
        <w:t>[24] S. Wei, T. Ye, S. Zhang, Y. Tang, J. Liang, “Joint Token Pruning and Squeezing Towards More Aggressive Compression of Vision Transformers,” in Proc. IEEE/CVF Conf. Comput. Vis. Pattern Recognit., pp. 2092–2101, 2023. DOI: 10.1109/CVPR52729.2023.00208.</w:t>
      </w:r>
    </w:p>
    <w:p w14:paraId="293372D6"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35C9452C"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056F8321"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220629CF"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617EB31A" w14:textId="77777777" w:rsidR="004C250E" w:rsidRDefault="00000000">
      <w:pPr>
        <w:spacing w:after="80" w:line="240" w:lineRule="auto"/>
        <w:ind w:left="403" w:hanging="403"/>
      </w:pPr>
      <w:r>
        <w:rPr>
          <w:color w:val="26343D"/>
          <w:sz w:val="17"/>
        </w:rPr>
        <w:lastRenderedPageBreak/>
        <w:t>[29] Y. Tang, K. Han, Y. Wang, C. Xu, J. Guo, C. Xu, et al., “Patch Slimming for Efficient Vision Transformers,” in Proc. IEEE/CVF Conf. Comput. Vis. Pattern Recognit., pp. 12165–12174, 2022. DOI: 10.1109/CVPR52688.2022.01185.</w:t>
      </w:r>
    </w:p>
    <w:p w14:paraId="54A9E288"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4645F70"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69AE11F8"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55F43F78"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1633B969"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595CAA50"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52FEAF9B"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0FA3A068"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134D7A1E"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1E529D8D"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6272FD17"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70645782"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[42] A. Bond, E. E. Özlü, T. Çimen, I. U. Melanlioglu, T. Birdal, E. Erdem, et al., “Task-Induced Riemannian Metrics for Vision Transformer Feature Spaces,” arXiv preprint arXiv:2609.27988 [cs.CV], 2026. Available: https://arxiv.org/abs/2609.27988.</w:t>
      </w:r>
    </w:p>
    <w:p>
      <w:pPr>
        <w:spacing w:after="80" w:line="240" w:lineRule="auto"/>
        <w:ind w:left="403" w:hanging="403"/>
      </w:pPr>
      <w:r>
        <w:rPr>
          <w:rFonts w:ascii="Times New Roman" w:hAnsi="Times New Roman"/>
          <w:color w:val="26343D"/>
          <w:sz w:val="17"/>
        </w:rPr>
        <w:t>[43] H. Liu, A. Singh, Y. Li, H. Wang, “Approximate Nullspace Augmented Finetuning for Robust Vision Transformers,” in Conference on Parsimony and Learning, vol. 280, pp. 1–23, 2025. Available: https://proceedings.mlr.press/v280/liu25a.html.</w:t>
      </w:r>
    </w:p>
    <w:p w14:paraId="547E159B" w14:textId="77777777" w:rsidR="004C250E" w:rsidRDefault="00000000">
      <w:pPr>
        <w:spacing w:after="80" w:line="240" w:lineRule="auto"/>
        <w:ind w:left="403" w:hanging="403"/>
      </w:pPr>
      <w:r>
        <w:rPr>
          <w:color w:val="26343D"/>
          <w:sz w:val="17"/>
        </w:rPr>
        <w:t>[44]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040FAD0F" w14:textId="77777777" w:rsidR="004C250E" w:rsidRDefault="00000000">
      <w:pPr>
        <w:spacing w:after="80" w:line="240" w:lineRule="auto"/>
        <w:ind w:left="403" w:hanging="403"/>
      </w:pPr>
      <w:r>
        <w:rPr>
          <w:color w:val="26343D"/>
          <w:sz w:val="17"/>
        </w:rPr>
        <w:t>[45] Y. LeCun, J. S. Denker, S. A. Solla, “Optimal Brain Damage,” in Advances in Neural Information Processing Systems, vol. 2, pp. 598–605, 1989. Available: https://proceedings.neurips.cc/paper/1989/hash/6c9882bbac1c7093bd25041881277658-Abstract.html.</w:t>
      </w:r>
    </w:p>
    <w:p w14:paraId="686ED271" w14:textId="77777777" w:rsidR="004C250E" w:rsidRDefault="00000000">
      <w:pPr>
        <w:spacing w:after="80" w:line="240" w:lineRule="auto"/>
        <w:ind w:left="403" w:hanging="403"/>
      </w:pPr>
      <w:r>
        <w:rPr>
          <w:color w:val="26343D"/>
          <w:sz w:val="17"/>
        </w:rPr>
        <w:t>[46] B. Hassibi, D. G. Stork, “Optimal Brain Surgeon and general network pruning,” in Proceedings of the IEEE Proc. IEEE Int. Conf. Neural Netw., vol. 1, pp. 293–299, 1993. DOI: 10.1109/ICNN.1993.298572.</w:t>
      </w:r>
    </w:p>
    <w:p w14:paraId="7E8C2984" w14:textId="77777777" w:rsidR="004C250E" w:rsidRDefault="00000000">
      <w:pPr>
        <w:spacing w:after="80" w:line="240" w:lineRule="auto"/>
        <w:ind w:left="403" w:hanging="403"/>
      </w:pPr>
      <w:r>
        <w:rPr>
          <w:color w:val="26343D"/>
          <w:sz w:val="17"/>
        </w:rPr>
        <w:t>[47] C. Thrash, K. Chen, S. Kolouri, “Output-aware Residual Stream Pruning for Large Language Models,” in arXiv preprint arXiv:2609.35579, 2026. DOI: 10.48550/arXiv.2609.35579.</w:t>
      </w:r>
    </w:p>
    <w:p w14:paraId="62219F71" w14:textId="77777777" w:rsidR="004C250E" w:rsidRDefault="00000000">
      <w:pPr>
        <w:spacing w:after="80" w:line="240" w:lineRule="auto"/>
        <w:ind w:left="403" w:hanging="403"/>
      </w:pPr>
      <w:r>
        <w:rPr>
          <w:color w:val="26343D"/>
          <w:sz w:val="17"/>
        </w:rPr>
        <w:t>[48] S. Jain, B. C. Wallace, “Attention Is Not Explanation,” in Proceedings of the 2019 Conference of the North American Chapter of the Association for Computational Linguistics: Human Language Technologies, pp. 3543–3556, 2019. DOI: 10.18653/v1/N19-1357.</w:t>
      </w:r>
    </w:p>
    <w:p w14:paraId="3EEEA0DF" w14:textId="77777777" w:rsidR="004C250E" w:rsidRDefault="00000000">
      <w:pPr>
        <w:spacing w:after="80" w:line="240" w:lineRule="auto"/>
        <w:ind w:left="403" w:hanging="403"/>
      </w:pPr>
      <w:r>
        <w:rPr>
          <w:color w:val="26343D"/>
          <w:sz w:val="17"/>
        </w:rPr>
        <w:t>[49] S. Serrano, N. A. Smith, “Is Attention Interpretable?,” in Proceedings of the 57th Annual Meeting of the Association for Computational Linguistics, pp. 2931–2951, 2019. DOI: 10.18653/v1/P19-1282.</w:t>
      </w:r>
    </w:p>
    <w:p w14:paraId="639E5749" w14:textId="77777777" w:rsidR="004C250E" w:rsidRDefault="00000000">
      <w:pPr>
        <w:spacing w:after="80" w:line="240" w:lineRule="auto"/>
        <w:ind w:left="403" w:hanging="403"/>
      </w:pPr>
      <w:r>
        <w:rPr>
          <w:color w:val="26343D"/>
          <w:sz w:val="17"/>
        </w:rPr>
        <w:t>[50] S. Wiegreffe, Y. Pinter, “Attention Is Not Not Explanation,” in Proceedings of the 2019 Conference on Empirical Methods in Natural Language Processing and the 9th International Joint Conference on Natural Language Processing, pp. 11–20, 2019. DOI: 10.18653/v1/D19-1002.</w:t>
      </w:r>
    </w:p>
    <w:p w14:paraId="4C878846" w14:textId="77777777" w:rsidR="004C250E" w:rsidRDefault="00000000">
      <w:pPr>
        <w:spacing w:after="80" w:line="240" w:lineRule="auto"/>
        <w:ind w:left="403" w:hanging="403"/>
      </w:pPr>
      <w:r>
        <w:rPr>
          <w:color w:val="26343D"/>
          <w:sz w:val="17"/>
        </w:rPr>
        <w:t>[51] S. Abnar, W. Zuidema, “Quantifying Attention Flow in Transformers,” in Proceedings of the 58th Annual Meeting of the Association for Computational Linguistics, pp. 4190–4197, 2020. DOI: 10.18653/v1/2020.acl-main.385.</w:t>
      </w:r>
    </w:p>
    <w:p w14:paraId="0683CFD5" w14:textId="77777777" w:rsidR="004C250E" w:rsidRDefault="00000000">
      <w:pPr>
        <w:spacing w:after="80" w:line="240" w:lineRule="auto"/>
        <w:ind w:left="403" w:hanging="403"/>
      </w:pPr>
      <w:r>
        <w:rPr>
          <w:color w:val="26343D"/>
          <w:sz w:val="17"/>
        </w:rPr>
        <w:t>[52] M. Sundararajan, A. Taly, Q. Yan, “Axiomatic Attribution for Deep Networks,” in Proc. 34th Int. Conf. Mach. Learn., vol. 70, pp. 3319–3328, 2017. Available: https://proceedings.mlr.press/v70/sundararajan17a.html.</w:t>
      </w:r>
    </w:p>
    <w:p w14:paraId="09C8CF29" w14:textId="77777777" w:rsidR="004C250E" w:rsidRDefault="00000000">
      <w:pPr>
        <w:spacing w:after="80" w:line="240" w:lineRule="auto"/>
        <w:ind w:left="403" w:hanging="403"/>
      </w:pPr>
      <w:r>
        <w:rPr>
          <w:color w:val="26343D"/>
          <w:sz w:val="17"/>
        </w:rPr>
        <w:t>[53] J. Adebayo, J. Gilmer, M. Muelly, I. Goodfellow, M. Hardt, B. Kim, “Sanity Checks for Saliency Maps,” in Advances in Neural Information Processing Systems, vol. 31, pp. 9505–9515, 2018. Available: https://proceedings.neurips.cc/paper/2018/hash/294a8ed24b1ad22ec2e7efea049b8737-Abstract.html.</w:t>
      </w:r>
    </w:p>
    <w:p w14:paraId="77C014E2" w14:textId="77777777" w:rsidR="004C250E" w:rsidRDefault="00000000">
      <w:pPr>
        <w:spacing w:after="80" w:line="240" w:lineRule="auto"/>
        <w:ind w:left="403" w:hanging="403"/>
      </w:pPr>
      <w:r>
        <w:rPr>
          <w:color w:val="26343D"/>
          <w:sz w:val="17"/>
        </w:rPr>
        <w:t>[54] H. Chefer, S. Gur, L. Wolf, “Transformer Interpretability Beyond Attention Visualization,” in Proc. IEEE/CVF Conf. Comput. Vis. Pattern Recognit., pp. 782–791, 2021. DOI: 10.1109/CVPR46437.2021.00084.</w:t>
      </w:r>
    </w:p>
    <w:p w14:paraId="1EEE1CC3" w14:textId="77777777" w:rsidR="004C250E" w:rsidRDefault="00000000">
      <w:pPr>
        <w:spacing w:after="80" w:line="240" w:lineRule="auto"/>
        <w:ind w:left="403" w:hanging="403"/>
      </w:pPr>
      <w:r>
        <w:rPr>
          <w:color w:val="26343D"/>
          <w:sz w:val="17"/>
        </w:rPr>
        <w:t>[55] A. Geiger, Z. Wu, C. Potts, T. Icard, N. Goodman, “Inducing Causal Structure for Interpretable Neural Networks,” in Proc. 39th Int. Conf. Mach. Learn., vol. 162, pp. 7324–7338, 2022. Available: https://proceedings.mlr.press/v162/geiger22a.html.</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B6A"/>
    <w:rsid w:val="004C250E"/>
    <w:rsid w:val="004E1E68"/>
    <w:rsid w:val="005B4464"/>
    <w:rsid w:val="005D5368"/>
    <w:rsid w:val="007336CA"/>
    <w:rsid w:val="007E599C"/>
    <w:rsid w:val="00A3332A"/>
    <w:rsid w:val="00A439D2"/>
    <w:rsid w:val="00AA1D8D"/>
    <w:rsid w:val="00B47730"/>
    <w:rsid w:val="00BA0128"/>
    <w:rsid w:val="00CB0664"/>
    <w:rsid w:val="00D412D2"/>
    <w:rsid w:val="00ED7B1F"/>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E07957"/>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16</Pages>
  <Words>9179</Words>
  <Characters>52325</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8</cp:revision>
  <dcterms:created xsi:type="dcterms:W3CDTF">2013-12-23T23:15:00Z</dcterms:created>
  <dcterms:modified xsi:type="dcterms:W3CDTF">2026-10-10T08:44:00Z</dcterms:modified>
  <cp:category/>
</cp:coreProperties>
</file>