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293FC" w14:textId="77777777" w:rsidR="004C250E" w:rsidRDefault="00000000" w:rsidP="00967CE5">
      <w:pPr>
        <w:pStyle w:val="Title"/>
        <w:spacing w:after="160"/>
        <w:jc w:val="center"/>
      </w:pPr>
      <w:r>
        <w:rPr>
          <w:rFonts w:ascii="Times New Roman" w:hAnsi="Times New Roman"/>
          <w:b/>
        </w:rPr>
        <w:t>Patch-Content Fungibility: Geometry, Functional Transmission, and Operator-Aware Token Compression</w:t>
      </w:r>
    </w:p>
    <w:p w14:paraId="29B3FF4B" w14:textId="77777777" w:rsidR="004C250E" w:rsidRPr="00E32168" w:rsidRDefault="00E32168">
      <w:pPr>
        <w:spacing w:after="100" w:line="259" w:lineRule="auto"/>
        <w:rPr>
          <w:i/>
          <w:iCs/>
        </w:rPr>
      </w:pPr>
      <w:r w:rsidRPr="00E32168">
        <w:rPr>
          <w:i/>
          <w:iCs/>
        </w:rPr>
        <w:t>Nghiem Nhat Minh, Dang Tri Dung, Do Tri Cuong</w:t>
      </w:r>
    </w:p>
    <w:p w14:paraId="7955A46D" w14:textId="77777777" w:rsidR="004C250E" w:rsidRDefault="00000000">
      <w:pPr>
        <w:pStyle w:val="Heading1"/>
      </w:pPr>
      <w:r>
        <w:rPr>
          <w:rFonts w:ascii="Times New Roman" w:hAnsi="Times New Roman"/>
        </w:rPr>
        <w:t>Abstract</w:t>
      </w:r>
    </w:p>
    <w:p w14:paraId="6591F50A" w14:textId="1EFC03B4" w:rsidR="004C250E" w:rsidRPr="00967CE5" w:rsidRDefault="00967CE5" w:rsidP="00967CE5">
      <w:pPr>
        <w:spacing w:after="100" w:line="259" w:lineRule="auto"/>
        <w:jc w:val="both"/>
      </w:pPr>
      <w:r w:rsidRPr="00967CE5">
        <w:t>Vision transformers represent images as fixed sequences of patch slots, yet the role of each slot’s image-specific content in late layers remains unclear. We causally replace selected late-layer patch activations with class-agnostic calibration surrogates while preserving token positions, sequence length, model weights, and all subsequent computation. Across four tested vision-transformer families, this fixed-slot intervention reveals conditional patch-content fungibility bounded by feature geometry and token-position diversity. Mechanistic analyses associate replaceability with anisotropic functional sensitivity, coherent accumulation and sign-dependent cancellation along the attention Value path, and declining normalized effective rank across all four models, while the near-null fraction increases substantially in most models at a fixed relative spectral threshold. As a downstream application, we evaluate operator-aware token compression using an offline, per-image downstream-Jacobian oracle on held-out ImageNet-1k data across four architectures. At the most aggressive tested budgets, operator-aware variants outperform the strongest pruning baseline by 4.2–12.0 percentage points in Top-1 accuracy across the four architectures. However, Full-J does not consistently outperform Group Mean or ToMe, and the offline oracle setting does not establish a general deployment advantage. Together, these findings link the observed functional geometry to a potential strategy for token compression.</w:t>
      </w:r>
    </w:p>
    <w:p w14:paraId="2B725BD2" w14:textId="77777777" w:rsidR="004C250E" w:rsidRDefault="00000000">
      <w:pPr>
        <w:pStyle w:val="Heading1"/>
      </w:pPr>
      <w:r>
        <w:rPr>
          <w:rFonts w:ascii="Times New Roman" w:hAnsi="Times New Roman"/>
        </w:rPr>
        <w:t>1. Introduction</w:t>
      </w:r>
    </w:p>
    <w:p w14:paraId="5D39634D" w14:textId="77777777" w:rsidR="004C250E" w:rsidRDefault="00000000" w:rsidP="00967CE5">
      <w:pPr>
        <w:spacing w:after="100" w:line="259" w:lineRule="auto"/>
        <w:jc w:val="both"/>
      </w:pPr>
      <w:r>
        <w:t>Transformers use self-attention to mix token representations [1], while vision transformers (ViTs) represent an image as a sequence of patch embeddings [2]. Published ViT families include data-efficient supervised training [3], self-supervised representations [4], [5], hierarchical attention [6], masked pretraining [7], scaling [8], training regularization [9], and register tokens [10]. Token-reduction methods lower computation by changing which tokens are processed or how they are combined. We ask a different question: when does the remaining network require the image-specific content carried by a late patch slot?</w:t>
      </w:r>
    </w:p>
    <w:p w14:paraId="7DA35CE8" w14:textId="77777777" w:rsidR="004C250E" w:rsidRDefault="00000000" w:rsidP="00967CE5">
      <w:pPr>
        <w:spacing w:after="100" w:line="259" w:lineRule="auto"/>
        <w:jc w:val="both"/>
      </w:pPr>
      <w:r>
        <w:t>We answer with a controlled content intervention. At a selected late layer, image-specific patch activations are causally removed and replaced with class-agnostic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Figure 1 summarizes the fixed-slot intervention, geometric and diversity constraints, and selective transmission through anisotropic sensitivity and Value-path cancellation.</w:t>
      </w:r>
    </w:p>
    <w:p w14:paraId="7F302B9C" w14:textId="77777777" w:rsidR="004C250E" w:rsidRDefault="00000000">
      <w:pPr>
        <w:keepNext/>
        <w:keepLines/>
        <w:spacing w:after="20"/>
        <w:jc w:val="center"/>
      </w:pPr>
      <w:r>
        <w:rPr>
          <w:noProof/>
        </w:rPr>
        <w:lastRenderedPageBreak/>
        <w:drawing>
          <wp:inline distT="0" distB="0" distL="0" distR="0" wp14:anchorId="31AE1974" wp14:editId="7F133F11">
            <wp:extent cx="6172200" cy="35371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a:blip r:embed="rId6"/>
                    <a:stretch>
                      <a:fillRect/>
                    </a:stretch>
                  </pic:blipFill>
                  <pic:spPr>
                    <a:xfrm>
                      <a:off x="0" y="0"/>
                      <a:ext cx="6172200" cy="3537155"/>
                    </a:xfrm>
                    <a:prstGeom prst="rect">
                      <a:avLst/>
                    </a:prstGeom>
                  </pic:spPr>
                </pic:pic>
              </a:graphicData>
            </a:graphic>
          </wp:inline>
        </w:drawing>
      </w:r>
    </w:p>
    <w:p w14:paraId="7605FF46" w14:textId="77777777" w:rsidR="004C250E" w:rsidRDefault="00000000" w:rsidP="00FC1638">
      <w:pPr>
        <w:keepLines/>
        <w:spacing w:after="80"/>
        <w:jc w:val="both"/>
        <w:rPr>
          <w:iCs/>
          <w:color w:val="auto"/>
          <w:sz w:val="18"/>
          <w:szCs w:val="24"/>
        </w:rPr>
      </w:pPr>
      <w:r w:rsidRPr="00F845DC">
        <w:rPr>
          <w:b/>
          <w:bCs/>
          <w:iCs/>
          <w:color w:val="auto"/>
          <w:sz w:val="18"/>
          <w:szCs w:val="24"/>
        </w:rPr>
        <w:t>Figure 1.</w:t>
      </w:r>
      <w:r w:rsidRPr="00F845DC">
        <w:rPr>
          <w:iCs/>
          <w:color w:val="auto"/>
          <w:sz w:val="18"/>
          <w:szCs w:val="24"/>
        </w:rPr>
        <w:t xml:space="preserve"> Fixed-slot </w:t>
      </w:r>
      <w:r w:rsidRPr="00D003EF">
        <w:rPr>
          <w:iCs/>
          <w:color w:val="auto"/>
          <w:sz w:val="18"/>
          <w:szCs w:val="24"/>
        </w:rPr>
        <w:t>late-layer patch-content substitution (a), geometric and diversity constraints (b), and anisotropic sensitivity with Value-path cancellation (c).</w:t>
      </w:r>
    </w:p>
    <w:p w14:paraId="6AC6F130" w14:textId="77777777" w:rsidR="00FC1638" w:rsidRPr="00F845DC" w:rsidRDefault="00FC1638" w:rsidP="00FC1638">
      <w:pPr>
        <w:keepLines/>
        <w:spacing w:after="80"/>
        <w:jc w:val="both"/>
        <w:rPr>
          <w:iCs/>
        </w:rPr>
      </w:pPr>
    </w:p>
    <w:p w14:paraId="5F1F0728" w14:textId="62F91DE3" w:rsidR="004C250E" w:rsidRDefault="00967CE5" w:rsidP="00967CE5">
      <w:pPr>
        <w:spacing w:after="100" w:line="259" w:lineRule="auto"/>
        <w:jc w:val="both"/>
      </w:pPr>
      <w:r w:rsidRPr="00967CE5">
        <w:t>This leads to three linked questions: whether a late patch slot needs its image-specific activation or can carry a class-agnostic surrogate; how feature geometry, token-position coherence, and downstream transmission shape observed replacement tolerance; and whether downstream functional sensitivity can guide operator-aware token compression, and how its benefits compare with pruning and merging baselines.</w:t>
      </w:r>
      <w:r>
        <w:t xml:space="preserve"> We study these questions as a ViT-specific account of Patch-Content Fungibility (PCF). </w:t>
      </w:r>
      <w:r w:rsidR="00F845DC" w:rsidRPr="00F845DC">
        <w:t>The paper connects fixed-slot replacement experiments with geometric and functional analyses, followed by an evaluation of operator-aware token compression.</w:t>
      </w:r>
    </w:p>
    <w:p w14:paraId="44626492" w14:textId="77777777" w:rsidR="004C250E" w:rsidRDefault="00000000">
      <w:pPr>
        <w:pStyle w:val="Heading1"/>
      </w:pPr>
      <w:r>
        <w:rPr>
          <w:rFonts w:ascii="Times New Roman" w:hAnsi="Times New Roman"/>
        </w:rPr>
        <w:t>2. Related Work</w:t>
      </w:r>
    </w:p>
    <w:p w14:paraId="0DB9031E" w14:textId="5A0D81A3" w:rsidR="004C250E" w:rsidRDefault="00000000" w:rsidP="009B6305">
      <w:pPr>
        <w:spacing w:after="100" w:line="259" w:lineRule="auto"/>
        <w:jc w:val="both"/>
      </w:pPr>
      <w:r>
        <w:t>Token-reduction methods such as DynamicViT, EViT, and Token Merging (ToMe) select, reorganize, merge, or otherwise shorten the sequence processed by a ViT [11]–[13]. Diversity-aware pruning also predates PCF: Long et al. jointly preserve attentive tokens and increase global semantic diversity by merging similar inattentive tokens and matching homogeneous attentive tokens [14]. Related work also learns or pools tokens and adapts token computation [15]–[18]; samples, prunes, squeezes, or exits early [19]–[25]; and explores dynamic, structured, or sparse token/activation schemes [26]–[33]. Parameter pruning, pruning of large language models (LLMs), and singular value decomposition (SVD)-based dimension compression form a related efficiency lineage [34]–[41]. PCF's primary causal intervention instead substitutes ordinary spatial patch-token content while preserving token positions, sequence length, model weights, and downstream computation. Under complete class-agnostic patch-content replacement, it controls token-position diversity separately from feature-space direction</w:t>
      </w:r>
      <w:r w:rsidR="00F845DC">
        <w:t>.</w:t>
      </w:r>
      <w:r>
        <w:t xml:space="preserve"> </w:t>
      </w:r>
      <w:r w:rsidR="00F845DC" w:rsidRPr="00F845DC">
        <w:t>This design isolates how token-position diversity affects content replacement</w:t>
      </w:r>
      <w:r>
        <w:t>. The later compression application is distinct: it optimizes grouped carrier content under a fixed assignment S and shortens the sequence for subsequent computation.</w:t>
      </w:r>
    </w:p>
    <w:p w14:paraId="0DB953B8" w14:textId="77777777" w:rsidR="004368BE" w:rsidRDefault="00000000" w:rsidP="009B6305">
      <w:pPr>
        <w:spacing w:after="100" w:line="259" w:lineRule="auto"/>
        <w:jc w:val="both"/>
      </w:pPr>
      <w:r>
        <w:t>Jacobian-sensitive geometry and task-aware token compression also have direct ViT precedents. Bond et al. define a task-induced pullback metric on ViT feature spaces, analyze its spectral and low-rank structure, and use task-sensitive geometry for token pruning and soft merging [42]. Liu et al. study approximate nullspace perturbations in nonlinear ViT blocks and nullspace-noise augmentation for fine-tuning robustness [43]. These works establish prior art for downstream-Jacobian geometry, task-aware compression, and approximate-nullspace analysis. PCF asks how much original image-specific content is needed at an ordinary spatial patch slot under fixed-slot interventions; its compression application optimizes grouped carrier content under a fixed assignment S, rather than recasting importance scoring or token-pair selection as the same optimization problem.</w:t>
      </w:r>
    </w:p>
    <w:p w14:paraId="19CD67B4" w14:textId="5000630B" w:rsidR="004C250E" w:rsidRDefault="00000000" w:rsidP="009B6305">
      <w:pPr>
        <w:spacing w:after="100" w:line="259" w:lineRule="auto"/>
        <w:jc w:val="both"/>
      </w:pPr>
      <w:r>
        <w:lastRenderedPageBreak/>
        <w:t xml:space="preserve">Surrogate substitution also has a close methodological precedent. Parodi et al. study mean, noise, and cross-image register-shuffling substitutions for specialized DINO register-token content. PCF examines ordinary spatial patch-token activations across depth and replacement fractions, and separates feature geometry from token-position diversity; </w:t>
      </w:r>
      <w:r w:rsidR="00F845DC" w:rsidRPr="00F845DC">
        <w:t xml:space="preserve">thereby extending surrogate-intervention analysis to ordinary spatial patch tokens </w:t>
      </w:r>
      <w:r>
        <w:t>[44].</w:t>
      </w:r>
    </w:p>
    <w:p w14:paraId="78101E28" w14:textId="47053726" w:rsidR="004C250E" w:rsidRDefault="006452CF" w:rsidP="009B6305">
      <w:pPr>
        <w:spacing w:after="100" w:line="259" w:lineRule="auto"/>
        <w:jc w:val="both"/>
      </w:pPr>
      <w:r w:rsidRPr="006452CF">
        <w:t>Sensitivity-weighted objectives and Jacobian-based measures provide established foundations for analyzing downstream functional effects</w:t>
      </w:r>
      <w:r w:rsidR="00000000">
        <w:t xml:space="preserve"> [45], [46]. A recent public preprint, Output-aware Residual Stream Pruning, couples activation statistics with output sensitivity to prune LLM residual-stream dimensions [47]. That work supports the broader precedent for output-aware compression but studies a different model family and dimension-pruning intervention.</w:t>
      </w:r>
      <w:r>
        <w:t xml:space="preserve"> PCF</w:t>
      </w:r>
      <w:r w:rsidR="00000000">
        <w:t xml:space="preserve"> </w:t>
      </w:r>
      <w:r>
        <w:t>combines</w:t>
      </w:r>
      <w:r w:rsidR="00000000">
        <w:t xml:space="preserve"> ViT patch-content interventions, functional-transmission analysis, and an operator-aware carrier update evaluated at controlled token budgets. Its fixed-slot causal studies preserve sequence length; the carrier-compression application reduces the sequence for subsequent computation.</w:t>
      </w:r>
    </w:p>
    <w:p w14:paraId="1D61E676" w14:textId="5F387426" w:rsidR="004C250E" w:rsidRDefault="00000000" w:rsidP="009B6305">
      <w:pPr>
        <w:spacing w:after="100" w:line="259" w:lineRule="auto"/>
        <w:jc w:val="both"/>
      </w:pPr>
      <w:r>
        <w:t xml:space="preserve">Interpretability research cautions that attention weights alone need not explain a model's decision. Controlled studies examine whether attention is explanation and how explanation changes under interventions [48]–[50]. Attention flow, Integrated Gradients, saliency-map sanity checks, and transformer-specific relevance propagation provide complementary methods for tracing or attributing model behavior [51]–[54]. Causal abstraction offers a framework for connecting interventions to model-level causal structure [55]. Our evidence uses </w:t>
      </w:r>
      <w:r w:rsidR="0079720F" w:rsidRPr="0079720F">
        <w:t>controlled activation interventions and held-out perturbation-damage prediction to investigate functional dependence in pretrained ViTs.</w:t>
      </w:r>
    </w:p>
    <w:p w14:paraId="4FD2EF25" w14:textId="77777777" w:rsidR="004C250E" w:rsidRDefault="00000000">
      <w:pPr>
        <w:pStyle w:val="Heading1"/>
      </w:pPr>
      <w:r>
        <w:rPr>
          <w:rFonts w:ascii="Times New Roman" w:hAnsi="Times New Roman"/>
        </w:rPr>
        <w:t>3. Experimental Setup and Interventions</w:t>
      </w:r>
    </w:p>
    <w:p w14:paraId="4C7EAD23" w14:textId="77777777" w:rsidR="00094CD6" w:rsidRPr="00094CD6" w:rsidRDefault="00094CD6" w:rsidP="009B6305">
      <w:pPr>
        <w:spacing w:after="100" w:line="259" w:lineRule="auto"/>
        <w:jc w:val="both"/>
      </w:pPr>
      <w:r w:rsidRPr="00094CD6">
        <w:t>All experiments use frozen pretrained vision transformers evaluated on ImageNet-1k validation data. The primary replacement studies and confirmatory compression benchmark use disjoint calibration and evaluation sets, each containing 1,000 images (one per class). Calibration statistics are estimated exclusively from the calibration data, while evaluation results are reported on held-out images.</w:t>
      </w:r>
    </w:p>
    <w:p w14:paraId="6A2D33B5" w14:textId="1FB4661D" w:rsidR="004C250E" w:rsidRDefault="00094CD6" w:rsidP="009B6305">
      <w:pPr>
        <w:spacing w:after="100" w:line="259" w:lineRule="auto"/>
        <w:jc w:val="both"/>
      </w:pPr>
      <w:r w:rsidRPr="00094CD6">
        <w:t xml:space="preserve">Exploratory mechanistic analyses follow study-specific protocols and sample sizes, as summarized in Table </w:t>
      </w:r>
      <w:r w:rsidR="006F053A">
        <w:t>1</w:t>
      </w:r>
      <w:r w:rsidRPr="00094CD6">
        <w:t>. Notably, the joint-stream geometry analysis uses the same 100 images per model for feature-direction estimation and perturbation evaluation; its findings are therefore descriptive rather than independently validated. Image-level and perturbation-level results are treated as distinct evaluation units. Additional protocols for practical-carrier and operator-space evaluations are provided in Supplementary Section S13.</w:t>
      </w:r>
    </w:p>
    <w:p w14:paraId="63259BB7" w14:textId="659E5E06" w:rsidR="004C250E" w:rsidRPr="00FC1638" w:rsidRDefault="00FC1638">
      <w:pPr>
        <w:spacing w:after="100" w:line="259" w:lineRule="auto"/>
        <w:rPr>
          <w:b/>
          <w:bCs/>
        </w:rPr>
      </w:pPr>
      <w:r w:rsidRPr="00FC1638">
        <w:rPr>
          <w:b/>
          <w:bCs/>
        </w:rPr>
        <w:t>Table 1</w:t>
      </w:r>
    </w:p>
    <w:p w14:paraId="373078A3" w14:textId="77777777" w:rsidR="004C250E" w:rsidRPr="00D003EF" w:rsidRDefault="00000000">
      <w:pPr>
        <w:spacing w:after="100" w:line="259" w:lineRule="auto"/>
        <w:rPr>
          <w:sz w:val="18"/>
          <w:szCs w:val="20"/>
        </w:rPr>
      </w:pPr>
      <w:r w:rsidRPr="00D003EF">
        <w:rPr>
          <w:sz w:val="18"/>
          <w:szCs w:val="20"/>
        </w:rPr>
        <w:t>Summary of the primary study families, evaluation units, controls, and main findings. The multi-block unit counts held-out perturbations; cohort and endpoint details remain protocol-specific.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4C250E" w:rsidRPr="005D5368" w14:paraId="56DD2809" w14:textId="77777777" w:rsidTr="005D5368">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5990E7F8" w14:textId="77777777" w:rsidR="004C250E" w:rsidRPr="005D5368" w:rsidRDefault="00000000">
            <w:pPr>
              <w:jc w:val="center"/>
              <w:rPr>
                <w:szCs w:val="28"/>
              </w:rPr>
            </w:pPr>
            <w:r w:rsidRPr="005D5368">
              <w:rPr>
                <w:b/>
                <w:color w:val="17232D"/>
                <w:szCs w:val="28"/>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271FFE5F" w14:textId="77777777" w:rsidR="004C250E" w:rsidRPr="005D5368" w:rsidRDefault="00000000">
            <w:pPr>
              <w:jc w:val="center"/>
              <w:rPr>
                <w:szCs w:val="28"/>
              </w:rPr>
            </w:pPr>
            <w:r w:rsidRPr="005D5368">
              <w:rPr>
                <w:b/>
                <w:color w:val="17232D"/>
                <w:szCs w:val="28"/>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16E3DDC" w14:textId="77777777" w:rsidR="004C250E" w:rsidRPr="005D5368" w:rsidRDefault="00000000">
            <w:pPr>
              <w:jc w:val="center"/>
              <w:rPr>
                <w:szCs w:val="28"/>
              </w:rPr>
            </w:pPr>
            <w:r w:rsidRPr="005D5368">
              <w:rPr>
                <w:b/>
                <w:color w:val="17232D"/>
                <w:szCs w:val="28"/>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4D47CF01" w14:textId="77777777" w:rsidR="004C250E" w:rsidRPr="005D5368" w:rsidRDefault="00000000">
            <w:pPr>
              <w:jc w:val="center"/>
              <w:rPr>
                <w:szCs w:val="28"/>
              </w:rPr>
            </w:pPr>
            <w:r w:rsidRPr="005D5368">
              <w:rPr>
                <w:b/>
                <w:color w:val="17232D"/>
                <w:szCs w:val="28"/>
              </w:rPr>
              <w:t>Main finding</w:t>
            </w:r>
          </w:p>
        </w:tc>
      </w:tr>
      <w:tr w:rsidR="004C250E" w:rsidRPr="005D5368" w14:paraId="17919B17" w14:textId="77777777" w:rsidTr="005D5368">
        <w:tc>
          <w:tcPr>
            <w:tcW w:w="2498" w:type="dxa"/>
            <w:tcBorders>
              <w:top w:val="single" w:sz="4" w:space="0" w:color="auto"/>
            </w:tcBorders>
            <w:tcMar>
              <w:top w:w="55" w:type="dxa"/>
              <w:left w:w="65" w:type="dxa"/>
              <w:bottom w:w="55" w:type="dxa"/>
              <w:right w:w="65" w:type="dxa"/>
            </w:tcMar>
            <w:vAlign w:val="center"/>
          </w:tcPr>
          <w:p w14:paraId="7D55D6D4" w14:textId="77777777" w:rsidR="004C250E" w:rsidRPr="005D5368" w:rsidRDefault="00000000">
            <w:pPr>
              <w:rPr>
                <w:szCs w:val="28"/>
              </w:rPr>
            </w:pPr>
            <w:r w:rsidRPr="005D5368">
              <w:rPr>
                <w:szCs w:val="28"/>
              </w:rPr>
              <w:t>Fixed-slot patch replacement</w:t>
            </w:r>
          </w:p>
        </w:tc>
        <w:tc>
          <w:tcPr>
            <w:tcW w:w="2498" w:type="dxa"/>
            <w:tcBorders>
              <w:top w:val="single" w:sz="4" w:space="0" w:color="auto"/>
            </w:tcBorders>
            <w:tcMar>
              <w:top w:w="55" w:type="dxa"/>
              <w:left w:w="65" w:type="dxa"/>
              <w:bottom w:w="55" w:type="dxa"/>
              <w:right w:w="65" w:type="dxa"/>
            </w:tcMar>
            <w:vAlign w:val="center"/>
          </w:tcPr>
          <w:p w14:paraId="611F82FE" w14:textId="77777777" w:rsidR="004C250E" w:rsidRPr="005D5368" w:rsidRDefault="00000000">
            <w:pPr>
              <w:jc w:val="center"/>
              <w:rPr>
                <w:szCs w:val="28"/>
              </w:rPr>
            </w:pPr>
            <w:r w:rsidRPr="005D5368">
              <w:rPr>
                <w:szCs w:val="28"/>
              </w:rPr>
              <w:t>N=1,000 images/model per study; cohorts separate</w:t>
            </w:r>
          </w:p>
        </w:tc>
        <w:tc>
          <w:tcPr>
            <w:tcW w:w="2498" w:type="dxa"/>
            <w:tcBorders>
              <w:top w:val="single" w:sz="4" w:space="0" w:color="auto"/>
            </w:tcBorders>
            <w:tcMar>
              <w:top w:w="55" w:type="dxa"/>
              <w:left w:w="65" w:type="dxa"/>
              <w:bottom w:w="55" w:type="dxa"/>
              <w:right w:w="65" w:type="dxa"/>
            </w:tcMar>
            <w:vAlign w:val="center"/>
          </w:tcPr>
          <w:p w14:paraId="10F12D68" w14:textId="77777777" w:rsidR="004C250E" w:rsidRPr="005D5368" w:rsidRDefault="00000000">
            <w:pPr>
              <w:jc w:val="center"/>
              <w:rPr>
                <w:szCs w:val="28"/>
              </w:rPr>
            </w:pPr>
            <w:r w:rsidRPr="005D5368">
              <w:rPr>
                <w:szCs w:val="28"/>
              </w:rPr>
              <w:t>25%, 50%, and 100% replacement; study-specific calibration</w:t>
            </w:r>
          </w:p>
        </w:tc>
        <w:tc>
          <w:tcPr>
            <w:tcW w:w="2498" w:type="dxa"/>
            <w:tcBorders>
              <w:top w:val="single" w:sz="4" w:space="0" w:color="auto"/>
            </w:tcBorders>
            <w:tcMar>
              <w:top w:w="55" w:type="dxa"/>
              <w:left w:w="65" w:type="dxa"/>
              <w:bottom w:w="55" w:type="dxa"/>
              <w:right w:w="65" w:type="dxa"/>
            </w:tcMar>
            <w:vAlign w:val="center"/>
          </w:tcPr>
          <w:p w14:paraId="0F67AE2D" w14:textId="77777777" w:rsidR="004C250E" w:rsidRPr="005D5368" w:rsidRDefault="00000000">
            <w:pPr>
              <w:jc w:val="center"/>
              <w:rPr>
                <w:szCs w:val="28"/>
              </w:rPr>
            </w:pPr>
            <w:r w:rsidRPr="005D5368">
              <w:rPr>
                <w:szCs w:val="28"/>
              </w:rPr>
              <w:t>Tolerance varies with depth, surrogate geometry, diversity, and feature direction; directions derived by principal component analysis (PCA) of calibration activations outperform energy-matched random directions in tested settings.</w:t>
            </w:r>
          </w:p>
        </w:tc>
      </w:tr>
      <w:tr w:rsidR="004C250E" w:rsidRPr="005D5368" w14:paraId="36FA98FE" w14:textId="77777777" w:rsidTr="005D5368">
        <w:tc>
          <w:tcPr>
            <w:tcW w:w="2498" w:type="dxa"/>
            <w:tcMar>
              <w:top w:w="55" w:type="dxa"/>
              <w:left w:w="65" w:type="dxa"/>
              <w:bottom w:w="55" w:type="dxa"/>
              <w:right w:w="65" w:type="dxa"/>
            </w:tcMar>
            <w:vAlign w:val="center"/>
          </w:tcPr>
          <w:p w14:paraId="47F7714F" w14:textId="77777777" w:rsidR="004C250E" w:rsidRPr="005D5368" w:rsidRDefault="00000000">
            <w:pPr>
              <w:rPr>
                <w:szCs w:val="28"/>
              </w:rPr>
            </w:pPr>
            <w:r w:rsidRPr="005D5368">
              <w:rPr>
                <w:szCs w:val="28"/>
              </w:rPr>
              <w:t>Functional and joint-stream geometry</w:t>
            </w:r>
          </w:p>
        </w:tc>
        <w:tc>
          <w:tcPr>
            <w:tcW w:w="2498" w:type="dxa"/>
            <w:tcMar>
              <w:top w:w="55" w:type="dxa"/>
              <w:left w:w="65" w:type="dxa"/>
              <w:bottom w:w="55" w:type="dxa"/>
              <w:right w:w="65" w:type="dxa"/>
            </w:tcMar>
            <w:vAlign w:val="center"/>
          </w:tcPr>
          <w:p w14:paraId="7AC2C720" w14:textId="77777777" w:rsidR="004C250E" w:rsidRPr="005D5368" w:rsidRDefault="00000000">
            <w:pPr>
              <w:jc w:val="center"/>
              <w:rPr>
                <w:szCs w:val="28"/>
              </w:rPr>
            </w:pPr>
            <w:r w:rsidRPr="005D5368">
              <w:rPr>
                <w:szCs w:val="28"/>
              </w:rPr>
              <w:t>Functional geometry: N=100 calibration images/model; joint-stream: N=100 images/model used for both direction estimation and response measurement</w:t>
            </w:r>
          </w:p>
        </w:tc>
        <w:tc>
          <w:tcPr>
            <w:tcW w:w="2498" w:type="dxa"/>
            <w:tcMar>
              <w:top w:w="55" w:type="dxa"/>
              <w:left w:w="65" w:type="dxa"/>
              <w:bottom w:w="55" w:type="dxa"/>
              <w:right w:w="65" w:type="dxa"/>
            </w:tcMar>
            <w:vAlign w:val="center"/>
          </w:tcPr>
          <w:p w14:paraId="1D5E1841" w14:textId="77777777" w:rsidR="004C250E" w:rsidRPr="005D5368" w:rsidRDefault="00000000">
            <w:pPr>
              <w:jc w:val="center"/>
              <w:rPr>
                <w:szCs w:val="28"/>
              </w:rPr>
            </w:pPr>
            <w:r w:rsidRPr="005D5368">
              <w:rPr>
                <w:szCs w:val="28"/>
              </w:rPr>
              <w:t>Margin-gradient feature metric; coherent and sign-varying token patterns</w:t>
            </w:r>
          </w:p>
        </w:tc>
        <w:tc>
          <w:tcPr>
            <w:tcW w:w="2498" w:type="dxa"/>
            <w:tcMar>
              <w:top w:w="55" w:type="dxa"/>
              <w:left w:w="65" w:type="dxa"/>
              <w:bottom w:w="55" w:type="dxa"/>
              <w:right w:w="65" w:type="dxa"/>
            </w:tcMar>
            <w:vAlign w:val="center"/>
          </w:tcPr>
          <w:p w14:paraId="3DD53261" w14:textId="77777777" w:rsidR="004C250E" w:rsidRPr="005D5368" w:rsidRDefault="00000000">
            <w:pPr>
              <w:jc w:val="center"/>
              <w:rPr>
                <w:szCs w:val="28"/>
              </w:rPr>
            </w:pPr>
            <w:r w:rsidRPr="005D5368">
              <w:rPr>
                <w:szCs w:val="28"/>
              </w:rPr>
              <w:t>Normalized effective rank declines across four models; near-null expansion at the primary threshold is strong in three and small for DINOv2. Damage varies with feature direction and token coherence.</w:t>
            </w:r>
          </w:p>
        </w:tc>
      </w:tr>
      <w:tr w:rsidR="004C250E" w:rsidRPr="005D5368" w14:paraId="3206CECC" w14:textId="77777777" w:rsidTr="005D5368">
        <w:tc>
          <w:tcPr>
            <w:tcW w:w="2498" w:type="dxa"/>
            <w:tcMar>
              <w:top w:w="55" w:type="dxa"/>
              <w:left w:w="65" w:type="dxa"/>
              <w:bottom w:w="55" w:type="dxa"/>
              <w:right w:w="65" w:type="dxa"/>
            </w:tcMar>
            <w:vAlign w:val="center"/>
          </w:tcPr>
          <w:p w14:paraId="46CC1560" w14:textId="77777777" w:rsidR="004C250E" w:rsidRPr="005D5368" w:rsidRDefault="00000000">
            <w:pPr>
              <w:rPr>
                <w:szCs w:val="28"/>
              </w:rPr>
            </w:pPr>
            <w:r w:rsidRPr="005D5368">
              <w:rPr>
                <w:szCs w:val="28"/>
              </w:rPr>
              <w:t>Attention Value-path audit</w:t>
            </w:r>
          </w:p>
        </w:tc>
        <w:tc>
          <w:tcPr>
            <w:tcW w:w="2498" w:type="dxa"/>
            <w:tcMar>
              <w:top w:w="55" w:type="dxa"/>
              <w:left w:w="65" w:type="dxa"/>
              <w:bottom w:w="55" w:type="dxa"/>
              <w:right w:w="65" w:type="dxa"/>
            </w:tcMar>
            <w:vAlign w:val="center"/>
          </w:tcPr>
          <w:p w14:paraId="1E5CDA32" w14:textId="77777777" w:rsidR="004C250E" w:rsidRPr="005D5368" w:rsidRDefault="00000000">
            <w:pPr>
              <w:jc w:val="center"/>
              <w:rPr>
                <w:szCs w:val="28"/>
              </w:rPr>
            </w:pPr>
            <w:r w:rsidRPr="005D5368">
              <w:rPr>
                <w:szCs w:val="28"/>
              </w:rPr>
              <w:t>N=100 images per model</w:t>
            </w:r>
          </w:p>
        </w:tc>
        <w:tc>
          <w:tcPr>
            <w:tcW w:w="2498" w:type="dxa"/>
            <w:tcMar>
              <w:top w:w="55" w:type="dxa"/>
              <w:left w:w="65" w:type="dxa"/>
              <w:bottom w:w="55" w:type="dxa"/>
              <w:right w:w="65" w:type="dxa"/>
            </w:tcMar>
            <w:vAlign w:val="center"/>
          </w:tcPr>
          <w:p w14:paraId="6B2B6D3A" w14:textId="77777777" w:rsidR="004C250E" w:rsidRPr="005D5368" w:rsidRDefault="00000000">
            <w:pPr>
              <w:jc w:val="center"/>
              <w:rPr>
                <w:szCs w:val="28"/>
              </w:rPr>
            </w:pPr>
            <w:r w:rsidRPr="005D5368">
              <w:rPr>
                <w:szCs w:val="28"/>
              </w:rPr>
              <w:t>Frozen-attention comparison across coherent and sign-varying patterns</w:t>
            </w:r>
          </w:p>
        </w:tc>
        <w:tc>
          <w:tcPr>
            <w:tcW w:w="2498" w:type="dxa"/>
            <w:tcMar>
              <w:top w:w="55" w:type="dxa"/>
              <w:left w:w="65" w:type="dxa"/>
              <w:bottom w:w="55" w:type="dxa"/>
              <w:right w:w="65" w:type="dxa"/>
            </w:tcMar>
            <w:vAlign w:val="center"/>
          </w:tcPr>
          <w:p w14:paraId="7C0A4BB1" w14:textId="77777777" w:rsidR="004C250E" w:rsidRPr="005D5368" w:rsidRDefault="00000000">
            <w:pPr>
              <w:jc w:val="center"/>
              <w:rPr>
                <w:szCs w:val="28"/>
              </w:rPr>
            </w:pPr>
            <w:r w:rsidRPr="005D5368">
              <w:rPr>
                <w:szCs w:val="28"/>
              </w:rPr>
              <w:t xml:space="preserve">Coherent Value contributions accumulate; sign-varying contributions partially </w:t>
            </w:r>
            <w:r w:rsidRPr="005D5368">
              <w:rPr>
                <w:szCs w:val="28"/>
              </w:rPr>
              <w:lastRenderedPageBreak/>
              <w:t>cancel.</w:t>
            </w:r>
          </w:p>
        </w:tc>
      </w:tr>
      <w:tr w:rsidR="004C250E" w:rsidRPr="005D5368" w14:paraId="3D82C933" w14:textId="77777777" w:rsidTr="005D5368">
        <w:tc>
          <w:tcPr>
            <w:tcW w:w="2498" w:type="dxa"/>
            <w:tcMar>
              <w:top w:w="55" w:type="dxa"/>
              <w:left w:w="65" w:type="dxa"/>
              <w:bottom w:w="55" w:type="dxa"/>
              <w:right w:w="65" w:type="dxa"/>
            </w:tcMar>
            <w:vAlign w:val="center"/>
          </w:tcPr>
          <w:p w14:paraId="4A382793" w14:textId="77777777" w:rsidR="004C250E" w:rsidRPr="005D5368" w:rsidRDefault="00000000">
            <w:pPr>
              <w:rPr>
                <w:szCs w:val="28"/>
              </w:rPr>
            </w:pPr>
            <w:r w:rsidRPr="005D5368">
              <w:rPr>
                <w:szCs w:val="28"/>
              </w:rPr>
              <w:lastRenderedPageBreak/>
              <w:t>Multi-block operator prediction</w:t>
            </w:r>
          </w:p>
        </w:tc>
        <w:tc>
          <w:tcPr>
            <w:tcW w:w="2498" w:type="dxa"/>
            <w:tcMar>
              <w:top w:w="55" w:type="dxa"/>
              <w:left w:w="65" w:type="dxa"/>
              <w:bottom w:w="55" w:type="dxa"/>
              <w:right w:w="65" w:type="dxa"/>
            </w:tcMar>
            <w:vAlign w:val="center"/>
          </w:tcPr>
          <w:p w14:paraId="67530678" w14:textId="77777777" w:rsidR="004C250E" w:rsidRPr="005D5368" w:rsidRDefault="00000000">
            <w:pPr>
              <w:jc w:val="center"/>
              <w:rPr>
                <w:szCs w:val="28"/>
              </w:rPr>
            </w:pPr>
            <w:r w:rsidRPr="005D5368">
              <w:rPr>
                <w:szCs w:val="28"/>
              </w:rPr>
              <w:t>N=100 held-out perturbations (vectors; per model)</w:t>
            </w:r>
          </w:p>
        </w:tc>
        <w:tc>
          <w:tcPr>
            <w:tcW w:w="2498" w:type="dxa"/>
            <w:tcMar>
              <w:top w:w="55" w:type="dxa"/>
              <w:left w:w="65" w:type="dxa"/>
              <w:bottom w:w="55" w:type="dxa"/>
              <w:right w:w="65" w:type="dxa"/>
            </w:tcMar>
            <w:vAlign w:val="center"/>
          </w:tcPr>
          <w:p w14:paraId="772C2226" w14:textId="77777777" w:rsidR="004C250E" w:rsidRPr="005D5368" w:rsidRDefault="00000000">
            <w:pPr>
              <w:jc w:val="center"/>
              <w:rPr>
                <w:szCs w:val="28"/>
              </w:rPr>
            </w:pPr>
            <w:r w:rsidRPr="005D5368">
              <w:rPr>
                <w:szCs w:val="28"/>
              </w:rPr>
              <w:t>Single-block vs. end-to-end prediction on a fixed four-family mixture</w:t>
            </w:r>
          </w:p>
        </w:tc>
        <w:tc>
          <w:tcPr>
            <w:tcW w:w="2498" w:type="dxa"/>
            <w:tcMar>
              <w:top w:w="55" w:type="dxa"/>
              <w:left w:w="65" w:type="dxa"/>
              <w:bottom w:w="55" w:type="dxa"/>
              <w:right w:w="65" w:type="dxa"/>
            </w:tcMar>
            <w:vAlign w:val="center"/>
          </w:tcPr>
          <w:p w14:paraId="732715F8" w14:textId="77777777" w:rsidR="004C250E" w:rsidRPr="005D5368" w:rsidRDefault="00000000">
            <w:pPr>
              <w:jc w:val="center"/>
              <w:rPr>
                <w:szCs w:val="28"/>
              </w:rPr>
            </w:pPr>
            <w:r w:rsidRPr="005D5368">
              <w:rPr>
                <w:szCs w:val="28"/>
              </w:rPr>
              <w:t>End-to-end Jacobian predictions are more strongly associated with measured damage than single-block predictions under the tested mixture.</w:t>
            </w:r>
          </w:p>
        </w:tc>
      </w:tr>
      <w:tr w:rsidR="004C250E" w:rsidRPr="005D5368" w14:paraId="71D7805A" w14:textId="77777777" w:rsidTr="005D5368">
        <w:trPr>
          <w:cantSplit/>
        </w:trPr>
        <w:tc>
          <w:tcPr>
            <w:tcW w:w="2498" w:type="dxa"/>
            <w:tcMar>
              <w:top w:w="55" w:type="dxa"/>
              <w:left w:w="65" w:type="dxa"/>
              <w:bottom w:w="55" w:type="dxa"/>
              <w:right w:w="65" w:type="dxa"/>
            </w:tcMar>
            <w:vAlign w:val="center"/>
          </w:tcPr>
          <w:p w14:paraId="5D6D77FA" w14:textId="77777777" w:rsidR="004C250E" w:rsidRPr="005D5368" w:rsidRDefault="00000000">
            <w:pPr>
              <w:rPr>
                <w:szCs w:val="28"/>
              </w:rPr>
            </w:pPr>
            <w:r w:rsidRPr="005D5368">
              <w:rPr>
                <w:szCs w:val="28"/>
              </w:rPr>
              <w:t>Strict confirmatory compression</w:t>
            </w:r>
          </w:p>
        </w:tc>
        <w:tc>
          <w:tcPr>
            <w:tcW w:w="2498" w:type="dxa"/>
            <w:tcMar>
              <w:top w:w="55" w:type="dxa"/>
              <w:left w:w="65" w:type="dxa"/>
              <w:bottom w:w="55" w:type="dxa"/>
              <w:right w:w="65" w:type="dxa"/>
            </w:tcMar>
            <w:vAlign w:val="center"/>
          </w:tcPr>
          <w:p w14:paraId="4BA0927A" w14:textId="77777777" w:rsidR="004C250E" w:rsidRPr="005D5368" w:rsidRDefault="00000000">
            <w:pPr>
              <w:jc w:val="center"/>
              <w:rPr>
                <w:szCs w:val="28"/>
              </w:rPr>
            </w:pPr>
            <w:r w:rsidRPr="005D5368">
              <w:rPr>
                <w:szCs w:val="28"/>
              </w:rPr>
              <w:t>N=1,000 held-out images per architecture</w:t>
            </w:r>
          </w:p>
        </w:tc>
        <w:tc>
          <w:tcPr>
            <w:tcW w:w="2498" w:type="dxa"/>
            <w:tcMar>
              <w:top w:w="55" w:type="dxa"/>
              <w:left w:w="65" w:type="dxa"/>
              <w:bottom w:w="55" w:type="dxa"/>
              <w:right w:w="65" w:type="dxa"/>
            </w:tcMar>
            <w:vAlign w:val="center"/>
          </w:tcPr>
          <w:p w14:paraId="6A20384C" w14:textId="77777777" w:rsidR="004C250E" w:rsidRPr="005D5368" w:rsidRDefault="00000000">
            <w:pPr>
              <w:jc w:val="center"/>
              <w:rPr>
                <w:szCs w:val="28"/>
              </w:rPr>
            </w:pPr>
            <w:r w:rsidRPr="005D5368">
              <w:rPr>
                <w:szCs w:val="28"/>
              </w:rPr>
              <w:t>Frozen protocol and architecture-specific budgets</w:t>
            </w:r>
          </w:p>
        </w:tc>
        <w:tc>
          <w:tcPr>
            <w:tcW w:w="2498" w:type="dxa"/>
            <w:tcMar>
              <w:top w:w="55" w:type="dxa"/>
              <w:left w:w="65" w:type="dxa"/>
              <w:bottom w:w="55" w:type="dxa"/>
              <w:right w:w="65" w:type="dxa"/>
            </w:tcMar>
            <w:vAlign w:val="center"/>
          </w:tcPr>
          <w:p w14:paraId="711C9D9D" w14:textId="77777777" w:rsidR="004C250E" w:rsidRPr="005D5368" w:rsidRDefault="00000000">
            <w:pPr>
              <w:jc w:val="center"/>
              <w:rPr>
                <w:szCs w:val="28"/>
              </w:rPr>
            </w:pPr>
            <w:r w:rsidRPr="005D5368">
              <w:rPr>
                <w:szCs w:val="28"/>
              </w:rPr>
              <w:t>At the most aggressive tested budgets, operator-aware methods beat the strongest pruning baselines by 4.2–12.0 pp; ToMe remains competitive.</w:t>
            </w:r>
          </w:p>
        </w:tc>
      </w:tr>
    </w:tbl>
    <w:p w14:paraId="7363E152" w14:textId="77777777" w:rsidR="004C250E" w:rsidRDefault="004C250E">
      <w:pPr>
        <w:spacing w:after="20"/>
      </w:pPr>
    </w:p>
    <w:p w14:paraId="59C804E4" w14:textId="4690C6CF" w:rsidR="004C250E" w:rsidRDefault="00000000" w:rsidP="009B6305">
      <w:pPr>
        <w:spacing w:after="100" w:line="259" w:lineRule="auto"/>
        <w:jc w:val="both"/>
      </w:pPr>
      <w:r>
        <w:rPr>
          <w:b/>
        </w:rPr>
        <w:t>Statistical reporting.</w:t>
      </w:r>
      <w:r>
        <w:t xml:space="preserve"> </w:t>
      </w:r>
      <w:r w:rsidR="009116F8" w:rsidRPr="009116F8">
        <w:t>We use paired comparisons when interventions are evaluated on the same images, without treating repeated observations across random seeds as independent samples. For the grouped-diversity analysis, outcomes are averaged across five seeds per image before statistical testing. Paired Top-1 outcomes are assessed using McNemar's test, while margin differences are evaluated using paired t-tests or Wilcoxon signed-rank tests, as specified by each protocol. Multiple-comparison corrections are applied within predefined comparison families. Study-specific sampling units, confidence intervals, and testing procedures are detailed in Supplementary Section S10.</w:t>
      </w:r>
    </w:p>
    <w:p w14:paraId="697093A4" w14:textId="3A0577A2" w:rsidR="004C250E" w:rsidRDefault="00000000" w:rsidP="009B6305">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w:t>
      </w:r>
      <w:r w:rsidR="006F053A">
        <w:t>1</w:t>
      </w:r>
      <w:r>
        <w:t xml:space="preserve"> reports N alongside each study's sampling unit. For the fixed-slot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AC27C24" w14:textId="77777777">
        <w:trPr>
          <w:cantSplit/>
          <w:jc w:val="center"/>
        </w:trPr>
        <w:tc>
          <w:tcPr>
            <w:tcW w:w="518" w:type="dxa"/>
            <w:tcMar>
              <w:top w:w="0" w:type="dxa"/>
              <w:left w:w="0" w:type="dxa"/>
              <w:bottom w:w="0" w:type="dxa"/>
              <w:right w:w="0" w:type="dxa"/>
            </w:tcMar>
            <w:vAlign w:val="center"/>
          </w:tcPr>
          <w:p w14:paraId="1EDCDB3D"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9D372C7" w14:textId="77777777" w:rsidR="004C250E"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5FE6F7EF" w14:textId="77777777" w:rsidR="004C250E" w:rsidRDefault="00000000">
            <w:pPr>
              <w:keepLines/>
              <w:spacing w:before="40" w:after="80" w:line="240" w:lineRule="auto"/>
              <w:jc w:val="right"/>
            </w:pPr>
            <w:r>
              <w:rPr>
                <w:sz w:val="18"/>
              </w:rPr>
              <w:t>(1)</w:t>
            </w:r>
          </w:p>
        </w:tc>
      </w:tr>
    </w:tbl>
    <w:p w14:paraId="522155A2" w14:textId="77777777" w:rsidR="004C250E" w:rsidRDefault="00000000" w:rsidP="009B6305">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image-specific content while keeping token slots fixed.</w:t>
      </w:r>
    </w:p>
    <w:p w14:paraId="63DEF88C" w14:textId="77777777" w:rsidR="004C250E" w:rsidRDefault="00000000" w:rsidP="009B6305">
      <w:pPr>
        <w:spacing w:after="100" w:line="259" w:lineRule="auto"/>
        <w:jc w:val="both"/>
      </w:pPr>
      <w:r>
        <w:t>Surrogate values and replacement masks are protocol-specific: audited controls include calibration centroids, diagonal-Gaussian samples, and geometry or PCA-aligned variants. The mask identifies the selected patch positions and replacement fraction; calibration-derived quantities are estimated only from calibration data. Section 4 reports the layer, fraction, and control used in each replacement study.</w:t>
      </w:r>
    </w:p>
    <w:p w14:paraId="7BF204BF" w14:textId="7AB762B1" w:rsidR="004C250E" w:rsidRDefault="0079720F" w:rsidP="009B6305">
      <w:pPr>
        <w:spacing w:after="100" w:line="259" w:lineRule="auto"/>
        <w:jc w:val="both"/>
      </w:pPr>
      <w:r w:rsidRPr="0079720F">
        <w:t>For compression, we use the end-to-end Jacobian to characterize how patch-matrix perturbations affect the pre-classifier readout defined in Section 6. The Jacobian provides a first-order prediction of readout changes, while classification performance is measured using the actual compressed model outputs. Section 6 introduces the per-image Full-J oracle and the corresponding carrier-optimization objective.</w:t>
      </w:r>
    </w:p>
    <w:p w14:paraId="0EAD1730" w14:textId="77777777" w:rsidR="004C250E" w:rsidRDefault="00000000" w:rsidP="009B6305">
      <w:pPr>
        <w:spacing w:after="100" w:line="259" w:lineRule="auto"/>
        <w:jc w:val="both"/>
      </w:pPr>
      <w:r>
        <w:t>Practical-carrier classifier, operator-space, and throughput procedures are described separately in Supplementary Section S13.</w:t>
      </w:r>
    </w:p>
    <w:p w14:paraId="215F5366" w14:textId="77777777" w:rsidR="004C250E" w:rsidRDefault="00000000">
      <w:pPr>
        <w:pStyle w:val="Heading1"/>
      </w:pPr>
      <w:r>
        <w:rPr>
          <w:rFonts w:ascii="Times New Roman" w:hAnsi="Times New Roman"/>
        </w:rPr>
        <w:t>4. Geometric and Diversity Constraints on Patch-Content Fungibility</w:t>
      </w:r>
    </w:p>
    <w:p w14:paraId="610F240E" w14:textId="77777777" w:rsidR="004C250E" w:rsidRDefault="00000000">
      <w:pPr>
        <w:pStyle w:val="Heading2"/>
      </w:pPr>
      <w:r>
        <w:rPr>
          <w:rFonts w:ascii="Times New Roman" w:hAnsi="Times New Roman"/>
        </w:rPr>
        <w:t>4.1 Depth-Dependent Replacement Tolerance</w:t>
      </w:r>
    </w:p>
    <w:p w14:paraId="1CE7092D" w14:textId="77777777" w:rsidR="004C250E" w:rsidRDefault="00000000" w:rsidP="006F053A">
      <w:pPr>
        <w:spacing w:after="100" w:line="259" w:lineRule="auto"/>
        <w:jc w:val="both"/>
      </w:pPr>
      <w:r>
        <w:t>Figure 2 shows a pronounced distinction between zeroing patch activations and replacing their image-specific content with calibration-derived surrogates. On DINOv2 ViT-S/14, zero replacement reduces accuracy to 60.2% at depth 5 and 4.5% at depth 9, whereas centroid replacement retains 73.2% and 74.1%, respectively. The contrast also appears at depth 8 in DeiT-Tiny (59.1% vs. 67.2%) and DeiT-Small (69.6% vs. 76.1%), and at depth 7 in ViT-B/16 AugReg (70.4% vs. 74.5%). Gaussian replacement exhibits similar preservation in several settings, achieving 75.3% accuracy on DeiT-Small at depth 8.</w:t>
      </w:r>
    </w:p>
    <w:p w14:paraId="6657BFE3" w14:textId="7F4E7F0E" w:rsidR="004C250E" w:rsidRDefault="00000000" w:rsidP="006F053A">
      <w:pPr>
        <w:spacing w:after="100" w:line="259" w:lineRule="auto"/>
        <w:jc w:val="both"/>
      </w:pPr>
      <w:r>
        <w:t xml:space="preserve">Together, these results distinguish the functional consequences of removing patch activations from those of replacing image-specific content with compatible surrogate representations. The magnitude and depth profile of this distinction vary </w:t>
      </w:r>
      <w:r>
        <w:lastRenderedPageBreak/>
        <w:t xml:space="preserve">across architectures, </w:t>
      </w:r>
      <w:r w:rsidR="0079720F" w:rsidRPr="0079720F">
        <w:t>revealing architecture-specific depth profiles</w:t>
      </w:r>
      <w:r>
        <w:t xml:space="preserve">. </w:t>
      </w:r>
      <w:r w:rsidR="0079720F" w:rsidRPr="0079720F">
        <w:t>This contrast demonstrates that sensitivity to activation removal and dependence on original image-specific content are different properties.</w:t>
      </w:r>
    </w:p>
    <w:p w14:paraId="4F695EAD" w14:textId="77777777" w:rsidR="004C250E" w:rsidRDefault="00000000">
      <w:pPr>
        <w:keepNext/>
        <w:keepLines/>
        <w:spacing w:after="20"/>
        <w:jc w:val="center"/>
      </w:pPr>
      <w:r>
        <w:rPr>
          <w:noProof/>
        </w:rPr>
        <w:drawing>
          <wp:inline distT="0" distB="0" distL="0" distR="0" wp14:anchorId="20677DC4" wp14:editId="3D509528">
            <wp:extent cx="6172200" cy="37692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3769282"/>
                    </a:xfrm>
                    <a:prstGeom prst="rect">
                      <a:avLst/>
                    </a:prstGeom>
                  </pic:spPr>
                </pic:pic>
              </a:graphicData>
            </a:graphic>
          </wp:inline>
        </w:drawing>
      </w:r>
    </w:p>
    <w:p w14:paraId="1861EC51" w14:textId="112EAD68" w:rsidR="004C250E" w:rsidRDefault="00000000" w:rsidP="00FC1638">
      <w:pPr>
        <w:keepLines/>
        <w:spacing w:after="80"/>
        <w:jc w:val="both"/>
        <w:rPr>
          <w:iCs/>
          <w:color w:val="4C5963"/>
          <w:sz w:val="18"/>
          <w:szCs w:val="24"/>
        </w:rPr>
      </w:pPr>
      <w:r w:rsidRPr="00F845DC">
        <w:rPr>
          <w:b/>
          <w:bCs/>
          <w:iCs/>
          <w:color w:val="4C5963"/>
          <w:sz w:val="18"/>
          <w:szCs w:val="24"/>
        </w:rPr>
        <w:t>Figure 2.</w:t>
      </w:r>
      <w:r w:rsidRPr="00F845DC">
        <w:rPr>
          <w:iCs/>
          <w:color w:val="4C5963"/>
          <w:sz w:val="18"/>
          <w:szCs w:val="24"/>
        </w:rPr>
        <w:t xml:space="preserve"> Depth-wise Top-1 accuracy under 25% spatial-patch replacement across four architectures. Each model uses 1,000 held-out evaluation images and a disjoint 1,000-image calibration set. </w:t>
      </w:r>
    </w:p>
    <w:p w14:paraId="75A22E2B" w14:textId="77777777" w:rsidR="00FC1638" w:rsidRPr="00F845DC" w:rsidRDefault="00FC1638" w:rsidP="00FC1638">
      <w:pPr>
        <w:keepLines/>
        <w:spacing w:after="80"/>
        <w:jc w:val="both"/>
        <w:rPr>
          <w:iCs/>
        </w:rPr>
      </w:pPr>
    </w:p>
    <w:p w14:paraId="7FB38E41" w14:textId="77777777" w:rsidR="004C250E" w:rsidRDefault="00000000">
      <w:pPr>
        <w:pStyle w:val="Heading2"/>
      </w:pPr>
      <w:r>
        <w:rPr>
          <w:rFonts w:ascii="Times New Roman" w:hAnsi="Times New Roman"/>
        </w:rPr>
        <w:t>4.2 Geometric and Diversity Constraints</w:t>
      </w:r>
    </w:p>
    <w:p w14:paraId="2665419C" w14:textId="77777777" w:rsidR="004C250E" w:rsidRDefault="00000000" w:rsidP="006F053A">
      <w:pPr>
        <w:spacing w:after="100" w:line="259" w:lineRule="auto"/>
        <w:jc w:val="both"/>
      </w:pPr>
      <w:r>
        <w:rPr>
          <w:b/>
        </w:rPr>
        <w:t>Geometry.</w:t>
      </w:r>
      <w:r>
        <w:t xml:space="preserve"> At Block 8 with 50% replacement, coordinate-permuted calibration centroids yield mean Top-1 accuracy ± sample SD of 50.1% ± 7.9% (DeiT-Tiny), 57.6% ± 5.9% (DeiT-Small), 66.7% ± 3.3% (ViT-B/16 AugReg), and 7.7% ± 8.9% (DINOv2 ViT-S/14). The corresponding calibration-centroid controls are 66.3%, 75.6%, 73.2%, and 55.5%; sign-inverted controls are 0.7%, 10.5%, 67.5%, and 0.1% (Figure 3(a)). Coordinate permutation preserves the centroid’s norm and coordinate-value multiset while changing channel assignment; sign inversion preserves its norm while reversing direction. These contrasts show that feature geometry matters in the tested settings, with architecture-dependent effects.</w:t>
      </w:r>
    </w:p>
    <w:p w14:paraId="1592CA07" w14:textId="6A2338C5" w:rsidR="004C250E" w:rsidRDefault="00000000" w:rsidP="006F053A">
      <w:pPr>
        <w:spacing w:after="100" w:line="259" w:lineRule="auto"/>
        <w:jc w:val="both"/>
      </w:pPr>
      <w:r>
        <w:rPr>
          <w:b/>
        </w:rPr>
        <w:t>Token diversity.</w:t>
      </w:r>
      <w:r>
        <w:t xml:space="preserve"> Under complete grouped-Gaussian replacement at Block 8, mean Top-1 rises at every tested K for DeiT-Tiny, DeiT-Small, and ViT-B/16 AugReg (Figure 3(b)). From K=1 to K=196, accuracy increases from 1.2% to 26.4%, 10.4% to 46.5%, and 3.24% to 14.58%, respectively. For ViT-B, the paired image-level endpoint gain is 11.34 percentage points (95% CI 9.55–13.13; N=1,000 paired images). </w:t>
      </w:r>
      <w:r w:rsidR="0079720F" w:rsidRPr="0079720F">
        <w:t>The graded response is evident across these three architectures.</w:t>
      </w:r>
      <w:r>
        <w:t xml:space="preserve"> K counts distinct surrogate vectors across token positions, not feature-space dimensionality.</w:t>
      </w:r>
    </w:p>
    <w:p w14:paraId="6684759D" w14:textId="77777777" w:rsidR="0079720F" w:rsidRPr="0079720F" w:rsidRDefault="00000000" w:rsidP="006F053A">
      <w:pPr>
        <w:spacing w:after="100" w:line="259" w:lineRule="auto"/>
        <w:jc w:val="both"/>
      </w:pPr>
      <w:r>
        <w:t>DINOv2 ViT-S/14 differs: Top-1 remains between 0.06% and 0.18% across K, with a paired K=1-to-256 change of −0.02 percentage points (95% CI −0.16 to 0.12; N=1,000). Its official readout includes a mean normalized-patch representation, so we report the true-class margin alongside accuracy. The mean margin changes from −9.233 to −7.982 (paired change +1.250, 95% CI 1.091–1.410; Supplementary Figure S10)</w:t>
      </w:r>
      <w:r w:rsidR="0079720F">
        <w:t xml:space="preserve">. </w:t>
      </w:r>
      <w:r w:rsidR="0079720F" w:rsidRPr="0079720F">
        <w:t>The improvement is evident in the margin despite Top-1 accuracy remaining near its floor.</w:t>
      </w:r>
    </w:p>
    <w:p w14:paraId="3B5D258A" w14:textId="02A10817" w:rsidR="004C250E" w:rsidRDefault="004C250E">
      <w:pPr>
        <w:spacing w:after="100" w:line="259" w:lineRule="auto"/>
      </w:pPr>
    </w:p>
    <w:p w14:paraId="7F760568" w14:textId="77777777" w:rsidR="004C250E" w:rsidRDefault="00000000">
      <w:pPr>
        <w:keepNext/>
        <w:keepLines/>
        <w:spacing w:after="20"/>
        <w:jc w:val="center"/>
      </w:pPr>
      <w:r>
        <w:rPr>
          <w:noProof/>
        </w:rPr>
        <w:lastRenderedPageBreak/>
        <w:drawing>
          <wp:inline distT="0" distB="0" distL="0" distR="0" wp14:anchorId="5776E7E9" wp14:editId="07ABC152">
            <wp:extent cx="6172200" cy="37732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3773228"/>
                    </a:xfrm>
                    <a:prstGeom prst="rect">
                      <a:avLst/>
                    </a:prstGeom>
                  </pic:spPr>
                </pic:pic>
              </a:graphicData>
            </a:graphic>
          </wp:inline>
        </w:drawing>
      </w:r>
    </w:p>
    <w:p w14:paraId="2D56C7F0" w14:textId="77777777" w:rsidR="00D003EF" w:rsidRPr="00D003EF" w:rsidRDefault="00D003EF" w:rsidP="00D003EF">
      <w:pPr>
        <w:keepLines/>
        <w:spacing w:after="80"/>
        <w:jc w:val="both"/>
        <w:rPr>
          <w:b/>
          <w:bCs/>
          <w:iCs/>
          <w:color w:val="auto"/>
          <w:sz w:val="18"/>
          <w:szCs w:val="24"/>
        </w:rPr>
      </w:pPr>
      <w:r w:rsidRPr="00D003EF">
        <w:rPr>
          <w:b/>
          <w:bCs/>
          <w:iCs/>
          <w:color w:val="auto"/>
          <w:sz w:val="18"/>
          <w:szCs w:val="24"/>
        </w:rPr>
        <w:t xml:space="preserve">Figure 3. </w:t>
      </w:r>
      <w:r w:rsidRPr="00D003EF">
        <w:rPr>
          <w:iCs/>
          <w:color w:val="auto"/>
          <w:sz w:val="18"/>
          <w:szCs w:val="24"/>
        </w:rPr>
        <w:t>Geometric and diversity constraints on patch-content replacement. (a) Top-1 accuracy under centroid, coordinate-permuted, and sign-inverted replacement at Block 8 (50% of patches). (b) Top-1 accuracy under complete grouped-Gaussian replacement as the number of distinct surrogate vectors K varies. (c) Top-1 accuracy under complete replacement using calibration-derived PC1 versus an energy-matched random direction. Bars and points show seed means or single-run results, with individual outcomes and sample standard deviations where displayed. Dashed lines indicate clean accuracy. All panels use 1,000 held-out images per architecture.</w:t>
      </w:r>
    </w:p>
    <w:p w14:paraId="6DBA64A9" w14:textId="27561B01" w:rsidR="004C250E" w:rsidRDefault="004C250E" w:rsidP="00FC1638">
      <w:pPr>
        <w:keepLines/>
        <w:spacing w:after="80"/>
        <w:jc w:val="both"/>
        <w:rPr>
          <w:iCs/>
          <w:color w:val="auto"/>
          <w:sz w:val="18"/>
          <w:szCs w:val="24"/>
        </w:rPr>
      </w:pPr>
    </w:p>
    <w:p w14:paraId="72711650" w14:textId="77777777" w:rsidR="00FC1638" w:rsidRPr="00F845DC" w:rsidRDefault="00FC1638" w:rsidP="00FC1638">
      <w:pPr>
        <w:keepLines/>
        <w:spacing w:after="80"/>
        <w:jc w:val="both"/>
        <w:rPr>
          <w:iCs/>
        </w:rPr>
      </w:pPr>
    </w:p>
    <w:p w14:paraId="22B4873B" w14:textId="0793501F" w:rsidR="004C250E" w:rsidRDefault="00000000" w:rsidP="006F053A">
      <w:pPr>
        <w:spacing w:after="100" w:line="259" w:lineRule="auto"/>
        <w:jc w:val="both"/>
      </w:pPr>
      <w:r>
        <w:rPr>
          <w:b/>
        </w:rPr>
        <w:t>PCA-aligned variation.</w:t>
      </w:r>
      <w:r>
        <w:t xml:space="preserve"> Under complete replacement at Block 8, calibration-derived PC1 outperforms an energy-matched random one-dimensional direction in the tested settings with measurable Top-1 (Figure 3(c)): 18.64% versus 10.80% for DeiT-Tiny and 28.08% versus 20.78% for DeiT-Small (five seeds each), and 40.10% versus 6.70% for ViT-B/16 AugReg (three seeds). Figure 3(b) varies diversity across token positions by changing K, the number of distinct surrogate vectors; Figure 3(c) holds the variation one-dimensional and tests its feature-space direction. In both PC1 and random-direction conditions, independently sampled scalar coefficients allow variation across token positions. DINOv2 remains near the Top-1 floor (0.17% versus 0.00%), with mean true-class margins of −8.438 for PC1 and −8.654 for the random direction. PC1 is the leading eigenvector of centered calibration-activation covariance, not a learned model parameter. These results show that feature-space direction and token-position diversity are distinct constraints</w:t>
      </w:r>
      <w:r w:rsidR="0079720F">
        <w:t xml:space="preserve">. </w:t>
      </w:r>
      <w:r w:rsidR="0079720F" w:rsidRPr="0079720F">
        <w:t>The one-dimensional replacements nevertheless yield only partial accuracy recovery in the models with measurable Top-1 performance.</w:t>
      </w:r>
      <w:r>
        <w:t xml:space="preserve"> Together, the controls motivate the directional functional-sensitivity analysis in Section 5.1.</w:t>
      </w:r>
    </w:p>
    <w:p w14:paraId="02B4A234" w14:textId="4C1963C3" w:rsidR="00CA0CE6" w:rsidRDefault="00000000" w:rsidP="006F053A">
      <w:pPr>
        <w:spacing w:after="100" w:line="259" w:lineRule="auto"/>
        <w:jc w:val="both"/>
      </w:pPr>
      <w:r>
        <w:rPr>
          <w:b/>
        </w:rPr>
        <w:t xml:space="preserve">CLS–patch stream asymmetry. </w:t>
      </w:r>
      <w:r>
        <w:t xml:space="preserve">We tested a complementary Block-8 control in DeiT-Tiny and DeiT-Small (1,000 held-out images per model). Replacing the CLS activation with its calibration mean, while leaving all 196 spatial patches unchanged, retained 66.4% and 74.8% Top-1 accuracy, compared with clean baselines of 67.9% and 76.1%. Conversely, retaining the original CLS while replacing every patch with an identical calibration centroid reduced accuracy to 10.2% and 17.0%. Thus, the original image-specific CLS activation is not required for near-baseline classification when the patch stream remains intact, whereas preserving CLS does not prevent degradation under this complete patch intervention. These interventions differ in scale (one versus 196 tokens), and identical-centroid replacement also eliminates patch-token diversity. </w:t>
      </w:r>
      <w:r w:rsidR="0079720F" w:rsidRPr="0079720F">
        <w:t>This exploratory comparison characterizes conditional CLS–patch asymmetry, while the role of information transfer and CLS sufficiency remains unresolved</w:t>
      </w:r>
      <w:r w:rsidR="0079720F" w:rsidRPr="0079720F">
        <w:t xml:space="preserve"> </w:t>
      </w:r>
      <w:r>
        <w:t>(Supplementary Section S4).</w:t>
      </w:r>
    </w:p>
    <w:p w14:paraId="66BF481B" w14:textId="24A2E1F1" w:rsidR="004368BE" w:rsidRDefault="00000000">
      <w:pPr>
        <w:spacing w:after="100" w:line="259" w:lineRule="auto"/>
      </w:pPr>
      <w:r>
        <w:t xml:space="preserve">The controlled endpoint differences are summarized in Table </w:t>
      </w:r>
      <w:r w:rsidR="006F053A">
        <w:t>2</w:t>
      </w:r>
      <w:r>
        <w:t>.</w:t>
      </w:r>
    </w:p>
    <w:p w14:paraId="019B9515" w14:textId="7875B1DF" w:rsidR="00FC1638" w:rsidRPr="006F053A" w:rsidRDefault="00FC1638">
      <w:pPr>
        <w:keepNext/>
        <w:spacing w:after="100" w:line="259" w:lineRule="auto"/>
        <w:rPr>
          <w:b/>
          <w:bCs/>
        </w:rPr>
      </w:pPr>
      <w:r w:rsidRPr="006F053A">
        <w:rPr>
          <w:b/>
          <w:bCs/>
        </w:rPr>
        <w:lastRenderedPageBreak/>
        <w:t>Table 2.</w:t>
      </w:r>
    </w:p>
    <w:p w14:paraId="4A2FE1BC" w14:textId="49775242" w:rsidR="004368BE" w:rsidRPr="00D003EF" w:rsidRDefault="00000000">
      <w:pPr>
        <w:keepNext/>
        <w:spacing w:after="100" w:line="259" w:lineRule="auto"/>
        <w:rPr>
          <w:sz w:val="18"/>
          <w:szCs w:val="20"/>
        </w:rPr>
      </w:pPr>
      <w:r w:rsidRPr="00D003EF">
        <w:rPr>
          <w:sz w:val="18"/>
          <w:szCs w:val="20"/>
        </w:rPr>
        <w:t>Top-1 differences in percentage points; each contrast is first condition minus second condition. Positive values favor the first condition. Columns summarize distinct protocols, not a common treatment effect.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57"/>
        <w:gridCol w:w="1930"/>
        <w:gridCol w:w="1930"/>
        <w:gridCol w:w="2218"/>
        <w:gridCol w:w="1886"/>
      </w:tblGrid>
      <w:tr w:rsidR="004368BE" w:rsidRPr="00B63702" w14:paraId="150A56CE" w14:textId="77777777" w:rsidTr="00B63702">
        <w:trPr>
          <w:cantSplit/>
          <w:tblHeader/>
          <w:jc w:val="center"/>
        </w:trPr>
        <w:tc>
          <w:tcPr>
            <w:tcW w:w="1757" w:type="dxa"/>
            <w:tcBorders>
              <w:top w:val="single" w:sz="4" w:space="0" w:color="auto"/>
              <w:bottom w:val="single" w:sz="4" w:space="0" w:color="auto"/>
            </w:tcBorders>
            <w:tcMar>
              <w:top w:w="55" w:type="dxa"/>
              <w:left w:w="65" w:type="dxa"/>
              <w:bottom w:w="55" w:type="dxa"/>
              <w:right w:w="65" w:type="dxa"/>
            </w:tcMar>
            <w:vAlign w:val="center"/>
          </w:tcPr>
          <w:p w14:paraId="29F3B2CE" w14:textId="77777777" w:rsidR="004368BE" w:rsidRPr="00B63702" w:rsidRDefault="00000000">
            <w:pPr>
              <w:jc w:val="center"/>
              <w:rPr>
                <w:szCs w:val="32"/>
              </w:rPr>
            </w:pPr>
            <w:r w:rsidRPr="00B63702">
              <w:rPr>
                <w:b/>
                <w:color w:val="17232D"/>
                <w:szCs w:val="32"/>
              </w:rPr>
              <w:t>Architecture</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051F4395" w14:textId="77777777" w:rsidR="004368BE" w:rsidRPr="00B63702" w:rsidRDefault="00000000">
            <w:pPr>
              <w:jc w:val="center"/>
              <w:rPr>
                <w:szCs w:val="32"/>
              </w:rPr>
            </w:pPr>
            <w:r w:rsidRPr="00B63702">
              <w:rPr>
                <w:b/>
                <w:color w:val="17232D"/>
                <w:szCs w:val="32"/>
              </w:rPr>
              <w:t>Centroid − coordinate-permuted (50%)</w:t>
            </w:r>
          </w:p>
        </w:tc>
        <w:tc>
          <w:tcPr>
            <w:tcW w:w="1930" w:type="dxa"/>
            <w:tcBorders>
              <w:top w:val="single" w:sz="4" w:space="0" w:color="auto"/>
              <w:bottom w:val="single" w:sz="4" w:space="0" w:color="auto"/>
            </w:tcBorders>
            <w:tcMar>
              <w:top w:w="55" w:type="dxa"/>
              <w:left w:w="65" w:type="dxa"/>
              <w:bottom w:w="55" w:type="dxa"/>
              <w:right w:w="65" w:type="dxa"/>
            </w:tcMar>
            <w:vAlign w:val="center"/>
          </w:tcPr>
          <w:p w14:paraId="1B706E31" w14:textId="77777777" w:rsidR="004368BE" w:rsidRPr="00B63702" w:rsidRDefault="00000000">
            <w:pPr>
              <w:jc w:val="center"/>
              <w:rPr>
                <w:szCs w:val="32"/>
              </w:rPr>
            </w:pPr>
            <w:r w:rsidRPr="00B63702">
              <w:rPr>
                <w:b/>
                <w:color w:val="17232D"/>
                <w:szCs w:val="32"/>
              </w:rPr>
              <w:t>Centroid − sign-inverted (50%)</w:t>
            </w:r>
          </w:p>
        </w:tc>
        <w:tc>
          <w:tcPr>
            <w:tcW w:w="2218" w:type="dxa"/>
            <w:tcBorders>
              <w:top w:val="single" w:sz="4" w:space="0" w:color="auto"/>
              <w:bottom w:val="single" w:sz="4" w:space="0" w:color="auto"/>
            </w:tcBorders>
            <w:tcMar>
              <w:top w:w="55" w:type="dxa"/>
              <w:left w:w="65" w:type="dxa"/>
              <w:bottom w:w="55" w:type="dxa"/>
              <w:right w:w="65" w:type="dxa"/>
            </w:tcMar>
            <w:vAlign w:val="center"/>
          </w:tcPr>
          <w:p w14:paraId="43401715" w14:textId="77777777" w:rsidR="004368BE" w:rsidRPr="00B63702" w:rsidRDefault="00000000">
            <w:pPr>
              <w:jc w:val="center"/>
              <w:rPr>
                <w:szCs w:val="32"/>
              </w:rPr>
            </w:pPr>
            <w:r w:rsidRPr="00B63702">
              <w:rPr>
                <w:b/>
                <w:color w:val="17232D"/>
                <w:szCs w:val="32"/>
              </w:rPr>
              <w:t>Grouped Kmax − K1</w:t>
            </w:r>
          </w:p>
        </w:tc>
        <w:tc>
          <w:tcPr>
            <w:tcW w:w="1886" w:type="dxa"/>
            <w:tcBorders>
              <w:top w:val="single" w:sz="4" w:space="0" w:color="auto"/>
              <w:bottom w:val="single" w:sz="4" w:space="0" w:color="auto"/>
            </w:tcBorders>
            <w:tcMar>
              <w:top w:w="55" w:type="dxa"/>
              <w:left w:w="65" w:type="dxa"/>
              <w:bottom w:w="55" w:type="dxa"/>
              <w:right w:w="65" w:type="dxa"/>
            </w:tcMar>
            <w:vAlign w:val="center"/>
          </w:tcPr>
          <w:p w14:paraId="0CC24CD6" w14:textId="77777777" w:rsidR="004368BE" w:rsidRPr="00B63702" w:rsidRDefault="00000000">
            <w:pPr>
              <w:jc w:val="center"/>
              <w:rPr>
                <w:szCs w:val="32"/>
              </w:rPr>
            </w:pPr>
            <w:r w:rsidRPr="00B63702">
              <w:rPr>
                <w:b/>
                <w:color w:val="17232D"/>
                <w:szCs w:val="32"/>
              </w:rPr>
              <w:t>PC1 − random 1D (100%)</w:t>
            </w:r>
          </w:p>
        </w:tc>
      </w:tr>
      <w:tr w:rsidR="004368BE" w:rsidRPr="00B63702" w14:paraId="76A7B13E" w14:textId="77777777" w:rsidTr="00B63702">
        <w:trPr>
          <w:cantSplit/>
          <w:jc w:val="center"/>
        </w:trPr>
        <w:tc>
          <w:tcPr>
            <w:tcW w:w="1757" w:type="dxa"/>
            <w:tcBorders>
              <w:top w:val="single" w:sz="4" w:space="0" w:color="auto"/>
            </w:tcBorders>
            <w:tcMar>
              <w:top w:w="55" w:type="dxa"/>
              <w:left w:w="65" w:type="dxa"/>
              <w:bottom w:w="55" w:type="dxa"/>
              <w:right w:w="65" w:type="dxa"/>
            </w:tcMar>
            <w:vAlign w:val="center"/>
          </w:tcPr>
          <w:p w14:paraId="48B0E4FE" w14:textId="77777777" w:rsidR="004368BE" w:rsidRPr="00B63702" w:rsidRDefault="00000000">
            <w:pPr>
              <w:rPr>
                <w:szCs w:val="32"/>
              </w:rPr>
            </w:pPr>
            <w:r w:rsidRPr="00B63702">
              <w:rPr>
                <w:szCs w:val="32"/>
              </w:rPr>
              <w:t>DeiT-Tiny</w:t>
            </w:r>
          </w:p>
        </w:tc>
        <w:tc>
          <w:tcPr>
            <w:tcW w:w="1930" w:type="dxa"/>
            <w:tcBorders>
              <w:top w:val="single" w:sz="4" w:space="0" w:color="auto"/>
            </w:tcBorders>
            <w:tcMar>
              <w:top w:w="55" w:type="dxa"/>
              <w:left w:w="65" w:type="dxa"/>
              <w:bottom w:w="55" w:type="dxa"/>
              <w:right w:w="65" w:type="dxa"/>
            </w:tcMar>
            <w:vAlign w:val="center"/>
          </w:tcPr>
          <w:p w14:paraId="454DBB0A" w14:textId="77777777" w:rsidR="004368BE" w:rsidRPr="00B63702" w:rsidRDefault="00000000">
            <w:pPr>
              <w:jc w:val="center"/>
              <w:rPr>
                <w:szCs w:val="32"/>
              </w:rPr>
            </w:pPr>
            <w:r w:rsidRPr="00B63702">
              <w:rPr>
                <w:szCs w:val="32"/>
              </w:rPr>
              <w:t>+16.2</w:t>
            </w:r>
          </w:p>
        </w:tc>
        <w:tc>
          <w:tcPr>
            <w:tcW w:w="1930" w:type="dxa"/>
            <w:tcBorders>
              <w:top w:val="single" w:sz="4" w:space="0" w:color="auto"/>
            </w:tcBorders>
            <w:tcMar>
              <w:top w:w="55" w:type="dxa"/>
              <w:left w:w="65" w:type="dxa"/>
              <w:bottom w:w="55" w:type="dxa"/>
              <w:right w:w="65" w:type="dxa"/>
            </w:tcMar>
            <w:vAlign w:val="center"/>
          </w:tcPr>
          <w:p w14:paraId="520D5582" w14:textId="77777777" w:rsidR="004368BE" w:rsidRPr="00B63702" w:rsidRDefault="00000000">
            <w:pPr>
              <w:jc w:val="center"/>
              <w:rPr>
                <w:szCs w:val="32"/>
              </w:rPr>
            </w:pPr>
            <w:r w:rsidRPr="00B63702">
              <w:rPr>
                <w:szCs w:val="32"/>
              </w:rPr>
              <w:t>+65.6</w:t>
            </w:r>
          </w:p>
        </w:tc>
        <w:tc>
          <w:tcPr>
            <w:tcW w:w="2218" w:type="dxa"/>
            <w:tcBorders>
              <w:top w:val="single" w:sz="4" w:space="0" w:color="auto"/>
            </w:tcBorders>
            <w:tcMar>
              <w:top w:w="55" w:type="dxa"/>
              <w:left w:w="65" w:type="dxa"/>
              <w:bottom w:w="55" w:type="dxa"/>
              <w:right w:w="65" w:type="dxa"/>
            </w:tcMar>
            <w:vAlign w:val="center"/>
          </w:tcPr>
          <w:p w14:paraId="64964520" w14:textId="77777777" w:rsidR="004368BE" w:rsidRPr="00B63702" w:rsidRDefault="00000000">
            <w:pPr>
              <w:jc w:val="center"/>
              <w:rPr>
                <w:szCs w:val="32"/>
              </w:rPr>
            </w:pPr>
            <w:r w:rsidRPr="00B63702">
              <w:rPr>
                <w:szCs w:val="32"/>
              </w:rPr>
              <w:t>+25.2</w:t>
            </w:r>
          </w:p>
        </w:tc>
        <w:tc>
          <w:tcPr>
            <w:tcW w:w="1886" w:type="dxa"/>
            <w:tcBorders>
              <w:top w:val="single" w:sz="4" w:space="0" w:color="auto"/>
            </w:tcBorders>
            <w:tcMar>
              <w:top w:w="55" w:type="dxa"/>
              <w:left w:w="65" w:type="dxa"/>
              <w:bottom w:w="55" w:type="dxa"/>
              <w:right w:w="65" w:type="dxa"/>
            </w:tcMar>
            <w:vAlign w:val="center"/>
          </w:tcPr>
          <w:p w14:paraId="73E6C1DA" w14:textId="77777777" w:rsidR="004368BE" w:rsidRPr="00B63702" w:rsidRDefault="00000000">
            <w:pPr>
              <w:jc w:val="center"/>
              <w:rPr>
                <w:szCs w:val="32"/>
              </w:rPr>
            </w:pPr>
            <w:r w:rsidRPr="00B63702">
              <w:rPr>
                <w:szCs w:val="32"/>
              </w:rPr>
              <w:t>+7.84</w:t>
            </w:r>
          </w:p>
        </w:tc>
      </w:tr>
      <w:tr w:rsidR="004368BE" w:rsidRPr="00B63702" w14:paraId="0167E7AA" w14:textId="77777777" w:rsidTr="00B63702">
        <w:trPr>
          <w:cantSplit/>
          <w:jc w:val="center"/>
        </w:trPr>
        <w:tc>
          <w:tcPr>
            <w:tcW w:w="1757" w:type="dxa"/>
            <w:tcMar>
              <w:top w:w="55" w:type="dxa"/>
              <w:left w:w="65" w:type="dxa"/>
              <w:bottom w:w="55" w:type="dxa"/>
              <w:right w:w="65" w:type="dxa"/>
            </w:tcMar>
            <w:vAlign w:val="center"/>
          </w:tcPr>
          <w:p w14:paraId="1A478AD7" w14:textId="77777777" w:rsidR="004368BE" w:rsidRPr="00B63702" w:rsidRDefault="00000000">
            <w:pPr>
              <w:rPr>
                <w:szCs w:val="32"/>
              </w:rPr>
            </w:pPr>
            <w:r w:rsidRPr="00B63702">
              <w:rPr>
                <w:szCs w:val="32"/>
              </w:rPr>
              <w:t>DeiT-Small</w:t>
            </w:r>
          </w:p>
        </w:tc>
        <w:tc>
          <w:tcPr>
            <w:tcW w:w="1930" w:type="dxa"/>
            <w:tcMar>
              <w:top w:w="55" w:type="dxa"/>
              <w:left w:w="65" w:type="dxa"/>
              <w:bottom w:w="55" w:type="dxa"/>
              <w:right w:w="65" w:type="dxa"/>
            </w:tcMar>
            <w:vAlign w:val="center"/>
          </w:tcPr>
          <w:p w14:paraId="45A62290" w14:textId="77777777" w:rsidR="004368BE" w:rsidRPr="00B63702" w:rsidRDefault="00000000">
            <w:pPr>
              <w:jc w:val="center"/>
              <w:rPr>
                <w:szCs w:val="32"/>
              </w:rPr>
            </w:pPr>
            <w:r w:rsidRPr="00B63702">
              <w:rPr>
                <w:szCs w:val="32"/>
              </w:rPr>
              <w:t>+18.0</w:t>
            </w:r>
          </w:p>
        </w:tc>
        <w:tc>
          <w:tcPr>
            <w:tcW w:w="1930" w:type="dxa"/>
            <w:tcMar>
              <w:top w:w="55" w:type="dxa"/>
              <w:left w:w="65" w:type="dxa"/>
              <w:bottom w:w="55" w:type="dxa"/>
              <w:right w:w="65" w:type="dxa"/>
            </w:tcMar>
            <w:vAlign w:val="center"/>
          </w:tcPr>
          <w:p w14:paraId="1188BA98" w14:textId="77777777" w:rsidR="004368BE" w:rsidRPr="00B63702" w:rsidRDefault="00000000">
            <w:pPr>
              <w:jc w:val="center"/>
              <w:rPr>
                <w:szCs w:val="32"/>
              </w:rPr>
            </w:pPr>
            <w:r w:rsidRPr="00B63702">
              <w:rPr>
                <w:szCs w:val="32"/>
              </w:rPr>
              <w:t>+65.1</w:t>
            </w:r>
          </w:p>
        </w:tc>
        <w:tc>
          <w:tcPr>
            <w:tcW w:w="2218" w:type="dxa"/>
            <w:tcMar>
              <w:top w:w="55" w:type="dxa"/>
              <w:left w:w="65" w:type="dxa"/>
              <w:bottom w:w="55" w:type="dxa"/>
              <w:right w:w="65" w:type="dxa"/>
            </w:tcMar>
            <w:vAlign w:val="center"/>
          </w:tcPr>
          <w:p w14:paraId="456B093F" w14:textId="77777777" w:rsidR="004368BE" w:rsidRPr="00B63702" w:rsidRDefault="00000000">
            <w:pPr>
              <w:jc w:val="center"/>
              <w:rPr>
                <w:szCs w:val="32"/>
              </w:rPr>
            </w:pPr>
            <w:r w:rsidRPr="00B63702">
              <w:rPr>
                <w:szCs w:val="32"/>
              </w:rPr>
              <w:t>+36.1</w:t>
            </w:r>
          </w:p>
        </w:tc>
        <w:tc>
          <w:tcPr>
            <w:tcW w:w="1886" w:type="dxa"/>
            <w:tcMar>
              <w:top w:w="55" w:type="dxa"/>
              <w:left w:w="65" w:type="dxa"/>
              <w:bottom w:w="55" w:type="dxa"/>
              <w:right w:w="65" w:type="dxa"/>
            </w:tcMar>
            <w:vAlign w:val="center"/>
          </w:tcPr>
          <w:p w14:paraId="364EA049" w14:textId="77777777" w:rsidR="004368BE" w:rsidRPr="00B63702" w:rsidRDefault="00000000">
            <w:pPr>
              <w:jc w:val="center"/>
              <w:rPr>
                <w:szCs w:val="32"/>
              </w:rPr>
            </w:pPr>
            <w:r w:rsidRPr="00B63702">
              <w:rPr>
                <w:szCs w:val="32"/>
              </w:rPr>
              <w:t>+7.30</w:t>
            </w:r>
          </w:p>
        </w:tc>
      </w:tr>
      <w:tr w:rsidR="004368BE" w:rsidRPr="00B63702" w14:paraId="036387DA" w14:textId="77777777" w:rsidTr="00B63702">
        <w:trPr>
          <w:cantSplit/>
          <w:jc w:val="center"/>
        </w:trPr>
        <w:tc>
          <w:tcPr>
            <w:tcW w:w="1757" w:type="dxa"/>
            <w:tcMar>
              <w:top w:w="55" w:type="dxa"/>
              <w:left w:w="65" w:type="dxa"/>
              <w:bottom w:w="55" w:type="dxa"/>
              <w:right w:w="65" w:type="dxa"/>
            </w:tcMar>
            <w:vAlign w:val="center"/>
          </w:tcPr>
          <w:p w14:paraId="0A2F21C1" w14:textId="77777777" w:rsidR="004368BE" w:rsidRPr="00B63702" w:rsidRDefault="00000000">
            <w:pPr>
              <w:rPr>
                <w:szCs w:val="32"/>
              </w:rPr>
            </w:pPr>
            <w:r w:rsidRPr="00B63702">
              <w:rPr>
                <w:szCs w:val="32"/>
              </w:rPr>
              <w:t>ViT-B/16 AugReg</w:t>
            </w:r>
          </w:p>
        </w:tc>
        <w:tc>
          <w:tcPr>
            <w:tcW w:w="1930" w:type="dxa"/>
            <w:tcMar>
              <w:top w:w="55" w:type="dxa"/>
              <w:left w:w="65" w:type="dxa"/>
              <w:bottom w:w="55" w:type="dxa"/>
              <w:right w:w="65" w:type="dxa"/>
            </w:tcMar>
            <w:vAlign w:val="center"/>
          </w:tcPr>
          <w:p w14:paraId="4D2E970C" w14:textId="77777777" w:rsidR="004368BE" w:rsidRPr="00B63702" w:rsidRDefault="00000000">
            <w:pPr>
              <w:jc w:val="center"/>
              <w:rPr>
                <w:szCs w:val="32"/>
              </w:rPr>
            </w:pPr>
            <w:r w:rsidRPr="00B63702">
              <w:rPr>
                <w:szCs w:val="32"/>
              </w:rPr>
              <w:t>+6.5</w:t>
            </w:r>
          </w:p>
        </w:tc>
        <w:tc>
          <w:tcPr>
            <w:tcW w:w="1930" w:type="dxa"/>
            <w:tcMar>
              <w:top w:w="55" w:type="dxa"/>
              <w:left w:w="65" w:type="dxa"/>
              <w:bottom w:w="55" w:type="dxa"/>
              <w:right w:w="65" w:type="dxa"/>
            </w:tcMar>
            <w:vAlign w:val="center"/>
          </w:tcPr>
          <w:p w14:paraId="0F65739A" w14:textId="77777777" w:rsidR="004368BE" w:rsidRPr="00B63702" w:rsidRDefault="00000000">
            <w:pPr>
              <w:jc w:val="center"/>
              <w:rPr>
                <w:szCs w:val="32"/>
              </w:rPr>
            </w:pPr>
            <w:r w:rsidRPr="00B63702">
              <w:rPr>
                <w:szCs w:val="32"/>
              </w:rPr>
              <w:t>+5.7</w:t>
            </w:r>
          </w:p>
        </w:tc>
        <w:tc>
          <w:tcPr>
            <w:tcW w:w="2218" w:type="dxa"/>
            <w:tcMar>
              <w:top w:w="55" w:type="dxa"/>
              <w:left w:w="65" w:type="dxa"/>
              <w:bottom w:w="55" w:type="dxa"/>
              <w:right w:w="65" w:type="dxa"/>
            </w:tcMar>
            <w:vAlign w:val="center"/>
          </w:tcPr>
          <w:p w14:paraId="42109AA2" w14:textId="77777777" w:rsidR="004368BE" w:rsidRPr="00B63702" w:rsidRDefault="00000000">
            <w:pPr>
              <w:jc w:val="center"/>
              <w:rPr>
                <w:szCs w:val="32"/>
              </w:rPr>
            </w:pPr>
            <w:r w:rsidRPr="00B63702">
              <w:rPr>
                <w:szCs w:val="32"/>
              </w:rPr>
              <w:t>+11.34</w:t>
            </w:r>
          </w:p>
        </w:tc>
        <w:tc>
          <w:tcPr>
            <w:tcW w:w="1886" w:type="dxa"/>
            <w:tcMar>
              <w:top w:w="55" w:type="dxa"/>
              <w:left w:w="65" w:type="dxa"/>
              <w:bottom w:w="55" w:type="dxa"/>
              <w:right w:w="65" w:type="dxa"/>
            </w:tcMar>
            <w:vAlign w:val="center"/>
          </w:tcPr>
          <w:p w14:paraId="120921D4" w14:textId="77777777" w:rsidR="004368BE" w:rsidRPr="00B63702" w:rsidRDefault="00000000">
            <w:pPr>
              <w:jc w:val="center"/>
              <w:rPr>
                <w:szCs w:val="32"/>
              </w:rPr>
            </w:pPr>
            <w:r w:rsidRPr="00B63702">
              <w:rPr>
                <w:szCs w:val="32"/>
              </w:rPr>
              <w:t>+33.40</w:t>
            </w:r>
          </w:p>
        </w:tc>
      </w:tr>
      <w:tr w:rsidR="004368BE" w:rsidRPr="00B63702" w14:paraId="0D51DE66" w14:textId="77777777" w:rsidTr="00B63702">
        <w:trPr>
          <w:cantSplit/>
          <w:jc w:val="center"/>
        </w:trPr>
        <w:tc>
          <w:tcPr>
            <w:tcW w:w="1757" w:type="dxa"/>
            <w:tcBorders>
              <w:bottom w:val="single" w:sz="4" w:space="0" w:color="auto"/>
            </w:tcBorders>
            <w:tcMar>
              <w:top w:w="55" w:type="dxa"/>
              <w:left w:w="65" w:type="dxa"/>
              <w:bottom w:w="55" w:type="dxa"/>
              <w:right w:w="65" w:type="dxa"/>
            </w:tcMar>
            <w:vAlign w:val="center"/>
          </w:tcPr>
          <w:p w14:paraId="1C5F74C3" w14:textId="77777777" w:rsidR="004368BE" w:rsidRPr="00B63702" w:rsidRDefault="00000000">
            <w:pPr>
              <w:rPr>
                <w:szCs w:val="32"/>
              </w:rPr>
            </w:pPr>
            <w:r w:rsidRPr="00B63702">
              <w:rPr>
                <w:szCs w:val="32"/>
              </w:rPr>
              <w:t>DINOv2 ViT-S/14</w:t>
            </w:r>
          </w:p>
        </w:tc>
        <w:tc>
          <w:tcPr>
            <w:tcW w:w="1930" w:type="dxa"/>
            <w:tcBorders>
              <w:bottom w:val="single" w:sz="4" w:space="0" w:color="auto"/>
            </w:tcBorders>
            <w:tcMar>
              <w:top w:w="55" w:type="dxa"/>
              <w:left w:w="65" w:type="dxa"/>
              <w:bottom w:w="55" w:type="dxa"/>
              <w:right w:w="65" w:type="dxa"/>
            </w:tcMar>
            <w:vAlign w:val="center"/>
          </w:tcPr>
          <w:p w14:paraId="150F2A05" w14:textId="77777777" w:rsidR="004368BE" w:rsidRPr="00B63702" w:rsidRDefault="00000000">
            <w:pPr>
              <w:jc w:val="center"/>
              <w:rPr>
                <w:szCs w:val="32"/>
              </w:rPr>
            </w:pPr>
            <w:r w:rsidRPr="00B63702">
              <w:rPr>
                <w:szCs w:val="32"/>
              </w:rPr>
              <w:t>+47.8</w:t>
            </w:r>
          </w:p>
        </w:tc>
        <w:tc>
          <w:tcPr>
            <w:tcW w:w="1930" w:type="dxa"/>
            <w:tcBorders>
              <w:bottom w:val="single" w:sz="4" w:space="0" w:color="auto"/>
            </w:tcBorders>
            <w:tcMar>
              <w:top w:w="55" w:type="dxa"/>
              <w:left w:w="65" w:type="dxa"/>
              <w:bottom w:w="55" w:type="dxa"/>
              <w:right w:w="65" w:type="dxa"/>
            </w:tcMar>
            <w:vAlign w:val="center"/>
          </w:tcPr>
          <w:p w14:paraId="01CBB8BE" w14:textId="77777777" w:rsidR="004368BE" w:rsidRPr="00B63702" w:rsidRDefault="00000000">
            <w:pPr>
              <w:jc w:val="center"/>
              <w:rPr>
                <w:szCs w:val="32"/>
              </w:rPr>
            </w:pPr>
            <w:r w:rsidRPr="00B63702">
              <w:rPr>
                <w:szCs w:val="32"/>
              </w:rPr>
              <w:t>+55.4</w:t>
            </w:r>
          </w:p>
        </w:tc>
        <w:tc>
          <w:tcPr>
            <w:tcW w:w="2218" w:type="dxa"/>
            <w:tcBorders>
              <w:bottom w:val="single" w:sz="4" w:space="0" w:color="auto"/>
            </w:tcBorders>
            <w:tcMar>
              <w:top w:w="55" w:type="dxa"/>
              <w:left w:w="65" w:type="dxa"/>
              <w:bottom w:w="55" w:type="dxa"/>
              <w:right w:w="65" w:type="dxa"/>
            </w:tcMar>
            <w:vAlign w:val="center"/>
          </w:tcPr>
          <w:p w14:paraId="7F7B09F7" w14:textId="77777777" w:rsidR="004368BE" w:rsidRPr="00B63702" w:rsidRDefault="00000000">
            <w:pPr>
              <w:jc w:val="center"/>
              <w:rPr>
                <w:szCs w:val="32"/>
              </w:rPr>
            </w:pPr>
            <w:r w:rsidRPr="00B63702">
              <w:rPr>
                <w:szCs w:val="32"/>
              </w:rPr>
              <w:t>−0.02</w:t>
            </w:r>
          </w:p>
        </w:tc>
        <w:tc>
          <w:tcPr>
            <w:tcW w:w="1886" w:type="dxa"/>
            <w:tcBorders>
              <w:bottom w:val="single" w:sz="4" w:space="0" w:color="auto"/>
            </w:tcBorders>
            <w:tcMar>
              <w:top w:w="55" w:type="dxa"/>
              <w:left w:w="65" w:type="dxa"/>
              <w:bottom w:w="55" w:type="dxa"/>
              <w:right w:w="65" w:type="dxa"/>
            </w:tcMar>
            <w:vAlign w:val="center"/>
          </w:tcPr>
          <w:p w14:paraId="2E3A4ABC" w14:textId="77777777" w:rsidR="004368BE" w:rsidRPr="00B63702" w:rsidRDefault="00000000">
            <w:pPr>
              <w:jc w:val="center"/>
              <w:rPr>
                <w:szCs w:val="32"/>
              </w:rPr>
            </w:pPr>
            <w:r w:rsidRPr="00B63702">
              <w:rPr>
                <w:szCs w:val="32"/>
              </w:rPr>
              <w:t>+0.17</w:t>
            </w:r>
          </w:p>
        </w:tc>
      </w:tr>
    </w:tbl>
    <w:p w14:paraId="24E0E192" w14:textId="4C368820" w:rsidR="004368BE" w:rsidRPr="00D003EF" w:rsidRDefault="00000000" w:rsidP="006F053A">
      <w:pPr>
        <w:spacing w:after="100" w:line="259" w:lineRule="auto"/>
        <w:jc w:val="both"/>
        <w:rPr>
          <w:sz w:val="18"/>
          <w:szCs w:val="20"/>
        </w:rPr>
      </w:pPr>
      <w:r w:rsidRPr="00D003EF">
        <w:rPr>
          <w:sz w:val="18"/>
          <w:szCs w:val="20"/>
        </w:rPr>
        <w:t>Not</w:t>
      </w:r>
      <w:r w:rsidR="006F053A" w:rsidRPr="00D003EF">
        <w:rPr>
          <w:sz w:val="18"/>
          <w:szCs w:val="20"/>
        </w:rPr>
        <w:t>e:</w:t>
      </w:r>
      <w:r w:rsidRPr="00D003EF">
        <w:rPr>
          <w:sz w:val="18"/>
          <w:szCs w:val="20"/>
        </w:rPr>
        <w:t xml:space="preserve"> All interventions are at Block 8. Geometry contrasts replace 50% of spatial patches; coordinate-permutation values are three-seed means, while centroid and sign-inversion endpoints are single runs. Grouped-K and PC1/random contrasts replace all spatial patches; Kmax is 196 for DeiT/ViT-B and 256 for DINOv2. Grouped-K uses three seeds for DeiT and five for ViT-B/DINOv2; PC1/random uses five seeds for DeiT and three for ViT-B/DINOv2. Each architecture uses N=1,000 held-out images and a disjoint N=1,000 calibration cohort. DINOv2 remains near the Top-1 floor for both complete-replacement contrasts; its +0.17 pp PC1 contrast is not meaningful accuracy recovery. See Figure 3 and the source-linked calculations in the validation script for protocol-level values.</w:t>
      </w:r>
    </w:p>
    <w:p w14:paraId="623A61EC" w14:textId="77777777" w:rsidR="004C250E" w:rsidRDefault="00000000">
      <w:pPr>
        <w:pStyle w:val="Heading1"/>
      </w:pPr>
      <w:r>
        <w:rPr>
          <w:rFonts w:ascii="Times New Roman" w:hAnsi="Times New Roman"/>
        </w:rPr>
        <w:t>5. Functional Geometry and Attention-Mediated Transmission</w:t>
      </w:r>
    </w:p>
    <w:p w14:paraId="74CB8A4D" w14:textId="77777777" w:rsidR="004C250E" w:rsidRDefault="00000000">
      <w:pPr>
        <w:pStyle w:val="Heading2"/>
      </w:pPr>
      <w:r>
        <w:rPr>
          <w:rFonts w:ascii="Times New Roman" w:hAnsi="Times New Roman"/>
        </w:rPr>
        <w:t>5.1 Anisotropy and Functional Geometry</w:t>
      </w:r>
    </w:p>
    <w:p w14:paraId="3F859792" w14:textId="77777777" w:rsidR="004C250E" w:rsidRDefault="00000000" w:rsidP="006F053A">
      <w:pPr>
        <w:spacing w:after="100" w:line="259" w:lineRule="auto"/>
        <w:jc w:val="both"/>
      </w:pPr>
      <w:r>
        <w:t xml:space="preserve">Equal-norm feature perturbations can have different functional effects because margin sensitivity depends on direction. For image </w:t>
      </w:r>
      <m:oMath>
        <m:r>
          <w:rPr>
            <w:rFonts w:ascii="Cambria Math" w:hAnsi="Cambria Math"/>
          </w:rPr>
          <m:t>s</m:t>
        </m:r>
      </m:oMath>
      <w:r>
        <w:t xml:space="preserve">,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denote its clean predicted and runner-up classes, held fixed at the unperturbed input, and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denote the activation at spatial-patch position </w:t>
      </w:r>
      <m:oMath>
        <m:r>
          <w:rPr>
            <w:rFonts w:ascii="Cambria Math" w:hAnsi="Cambria Math"/>
          </w:rPr>
          <m:t>i</m:t>
        </m:r>
      </m:oMath>
      <w:r>
        <w:t xml:space="preserve"> in layer </w:t>
      </w:r>
      <m:oMath>
        <m:r>
          <m:rPr>
            <m:scr m:val="script"/>
          </m:rPr>
          <w:rPr>
            <w:rFonts w:ascii="Cambria Math" w:hAnsi="Cambria Math"/>
          </w:rPr>
          <m:t>l</m:t>
        </m:r>
      </m:oMath>
      <w:r>
        <w:t xml:space="preserve">. We use </w:t>
      </w:r>
      <m:oMath>
        <m:sSub>
          <m:sSubPr>
            <m:ctrlPr>
              <w:rPr>
                <w:rFonts w:ascii="Cambria Math" w:hAnsi="Cambria Math"/>
              </w:rPr>
            </m:ctrlPr>
          </m:sSubPr>
          <m:e>
            <m:r>
              <w:rPr>
                <w:rFonts w:ascii="Cambria Math" w:hAnsi="Cambria Math"/>
              </w:rPr>
              <m:t>g</m:t>
            </m:r>
          </m:e>
          <m:sub>
            <m:r>
              <w:rPr>
                <w:rFonts w:ascii="Cambria Math" w:hAnsi="Cambria Math"/>
              </w:rPr>
              <m:t>s,i</m:t>
            </m:r>
          </m:sub>
        </m:sSub>
      </m:oMath>
      <w:r>
        <w:t xml:space="preserve"> for the gradient of this clean margin with respect to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s,i</m:t>
            </m:r>
          </m:sub>
        </m:sSub>
      </m:oMath>
      <w:r>
        <w:t xml:space="preserve"> and define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as the empirical uncentered second moment of scalar margin gradients: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7BBFFC5" w14:textId="77777777">
        <w:trPr>
          <w:cantSplit/>
          <w:jc w:val="center"/>
        </w:trPr>
        <w:tc>
          <w:tcPr>
            <w:tcW w:w="518" w:type="dxa"/>
            <w:tcMar>
              <w:top w:w="0" w:type="dxa"/>
              <w:left w:w="0" w:type="dxa"/>
              <w:bottom w:w="0" w:type="dxa"/>
              <w:right w:w="0" w:type="dxa"/>
            </w:tcMar>
            <w:vAlign w:val="center"/>
          </w:tcPr>
          <w:p w14:paraId="03148F9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46D5354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7C6998B8"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7A14B6F6" w14:textId="77777777" w:rsidR="004C250E" w:rsidRDefault="00000000">
            <w:pPr>
              <w:keepLines/>
              <w:spacing w:before="40" w:after="80" w:line="240" w:lineRule="auto"/>
              <w:jc w:val="right"/>
            </w:pPr>
            <w:r>
              <w:rPr>
                <w:sz w:val="18"/>
              </w:rPr>
              <w:t>(2)</w:t>
            </w:r>
          </w:p>
        </w:tc>
      </w:tr>
    </w:tbl>
    <w:p w14:paraId="524FDA8B" w14:textId="77777777" w:rsidR="004C250E" w:rsidRDefault="00000000" w:rsidP="006F053A">
      <w:pPr>
        <w:keepLines/>
        <w:spacing w:after="100" w:line="259" w:lineRule="auto"/>
        <w:jc w:val="both"/>
      </w:pPr>
      <w:r>
        <w:t>As defined in Section 3, N</w:t>
      </w:r>
      <w:r>
        <w:rPr>
          <w:vertAlign w:val="subscript"/>
        </w:rPr>
        <w:t>img</w:t>
      </w:r>
      <w:r>
        <w:t xml:space="preserve"> denotes the number of image samples. For a unit feature direction </w:t>
      </w:r>
      <m:oMath>
        <m:r>
          <w:rPr>
            <w:rFonts w:ascii="Cambria Math" w:hAnsi="Cambria Math"/>
          </w:rPr>
          <m:t>v</m:t>
        </m:r>
      </m:oMath>
      <w:r>
        <w:t xml:space="preserve">, </w:t>
      </w:r>
      <m:oMath>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r>
          <w:rPr>
            <w:rFonts w:ascii="Cambria Math" w:hAnsi="Cambria Math"/>
          </w:rPr>
          <m:t xml:space="preserve"> v=</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Σ</m:t>
            </m:r>
          </m:e>
          <m:sub>
            <m:r>
              <w:rPr>
                <w:rFonts w:ascii="Cambria Math" w:hAnsi="Cambria Math"/>
              </w:rPr>
              <m:t>s,i</m:t>
            </m:r>
          </m:sub>
        </m:sSub>
        <m:sSup>
          <m:sSupPr>
            <m:ctrlPr>
              <w:rPr>
                <w:rFonts w:ascii="Cambria Math" w:hAnsi="Cambria Math"/>
              </w:rPr>
            </m:ctrlPr>
          </m:sSupPr>
          <m:e>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 xml:space="preserve"> v)</m:t>
            </m:r>
          </m:e>
          <m:sup>
            <m:r>
              <w:rPr>
                <w:rFonts w:ascii="Cambria Math" w:hAnsi="Cambria Math"/>
              </w:rPr>
              <m:t>2</m:t>
            </m:r>
          </m:sup>
        </m:sSup>
      </m:oMath>
      <w:r>
        <w:t xml:space="preserve"> is the average squared directional derivative of the clean classification margin across images and patch positions. Activation covariance measures feature variation, whereas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measures local functional sensitivity. The full downstream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introduced in Section 5.3, is a different object that maps perturbations across all patch positions to the pre-classifier readout.</w:t>
      </w:r>
    </w:p>
    <w:p w14:paraId="5C7FE641" w14:textId="77777777" w:rsidR="004C250E" w:rsidRDefault="00000000">
      <w:pPr>
        <w:keepNext/>
        <w:spacing w:after="100" w:line="259" w:lineRule="auto"/>
      </w:pPr>
      <w:r>
        <w:t xml:space="preserve">Figure 4 characterizes two complementary properties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(a) its directional sensitivity along the highest- and lowest-variance activation principal components, and (b) the depth-wise evolution of its threshold-defined near-null eigenvalue fraction.</w:t>
      </w:r>
    </w:p>
    <w:p w14:paraId="31B12AB3" w14:textId="77777777" w:rsidR="004C250E" w:rsidRDefault="00000000">
      <w:pPr>
        <w:keepNext/>
        <w:keepLines/>
        <w:spacing w:after="20"/>
        <w:jc w:val="center"/>
      </w:pPr>
      <w:r>
        <w:rPr>
          <w:noProof/>
        </w:rPr>
        <w:drawing>
          <wp:inline distT="0" distB="0" distL="0" distR="0" wp14:anchorId="63241AF0" wp14:editId="7B2A5335">
            <wp:extent cx="6172200" cy="20746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2074627"/>
                    </a:xfrm>
                    <a:prstGeom prst="rect">
                      <a:avLst/>
                    </a:prstGeom>
                  </pic:spPr>
                </pic:pic>
              </a:graphicData>
            </a:graphic>
          </wp:inline>
        </w:drawing>
      </w:r>
    </w:p>
    <w:p w14:paraId="6F27589D" w14:textId="00B76BF8" w:rsidR="004F4849" w:rsidRPr="004F4849" w:rsidRDefault="00000000" w:rsidP="004F4849">
      <w:pPr>
        <w:keepLines/>
        <w:spacing w:after="80"/>
        <w:jc w:val="both"/>
        <w:rPr>
          <w:iCs/>
          <w:color w:val="auto"/>
          <w:sz w:val="18"/>
          <w:szCs w:val="18"/>
        </w:rPr>
      </w:pPr>
      <w:r w:rsidRPr="00D003EF">
        <w:rPr>
          <w:b/>
          <w:bCs/>
          <w:iCs/>
          <w:color w:val="auto"/>
          <w:sz w:val="18"/>
          <w:szCs w:val="18"/>
        </w:rPr>
        <w:t>Figure 4.</w:t>
      </w:r>
      <w:r w:rsidRPr="00D003EF">
        <w:rPr>
          <w:iCs/>
          <w:color w:val="auto"/>
          <w:sz w:val="18"/>
          <w:szCs w:val="18"/>
        </w:rPr>
        <w:t xml:space="preserve"> </w:t>
      </w:r>
      <w:r w:rsidR="004F4849" w:rsidRPr="004F4849">
        <w:rPr>
          <w:iCs/>
          <w:color w:val="auto"/>
          <w:sz w:val="18"/>
          <w:szCs w:val="18"/>
        </w:rPr>
        <w:t>Depth-dependent functional sensitivity and near-null structure. (a) Ratio of squared-margin sensitivity along the highest- and lowest-variance principal components across depths 5, 7, 8, and 10. Values above 1 indicate greater sensitivity along PC1. (b) Fraction of eigenvalues of Mℓ below the relative threshold 10⁻³λmax across depth. Results use 100 calibration images per architecture.</w:t>
      </w:r>
    </w:p>
    <w:p w14:paraId="74BFDBC2" w14:textId="537F707A" w:rsidR="004C250E" w:rsidRPr="00D003EF" w:rsidRDefault="004C250E" w:rsidP="006F053A">
      <w:pPr>
        <w:keepLines/>
        <w:spacing w:after="80"/>
        <w:jc w:val="both"/>
        <w:rPr>
          <w:iCs/>
          <w:color w:val="auto"/>
          <w:sz w:val="18"/>
          <w:szCs w:val="18"/>
        </w:rPr>
      </w:pPr>
    </w:p>
    <w:p w14:paraId="4CFE1925" w14:textId="77777777" w:rsidR="006F053A" w:rsidRPr="00F845DC" w:rsidRDefault="006F053A" w:rsidP="006F053A">
      <w:pPr>
        <w:keepLines/>
        <w:spacing w:after="80"/>
        <w:jc w:val="both"/>
        <w:rPr>
          <w:iCs/>
          <w:color w:val="auto"/>
          <w:szCs w:val="20"/>
        </w:rPr>
      </w:pPr>
    </w:p>
    <w:p w14:paraId="7F5E8D4B" w14:textId="77777777" w:rsidR="004368BE" w:rsidRDefault="00000000" w:rsidP="00D003EF">
      <w:pPr>
        <w:spacing w:after="100" w:line="259" w:lineRule="auto"/>
        <w:jc w:val="both"/>
      </w:pPr>
      <w:r>
        <w:t xml:space="preserve">At depth 8, the ViT-B PCbottom direction is especially uncertain because its covariance eigengap is only </w:t>
      </w:r>
      <m:oMath>
        <m:r>
          <w:rPr>
            <w:rFonts w:ascii="Cambria Math" w:hAnsi="Cambria Math"/>
          </w:rPr>
          <m:t>1.53×</m:t>
        </m:r>
        <m:sSup>
          <m:sSupPr>
            <m:ctrlPr>
              <w:rPr>
                <w:rFonts w:ascii="Cambria Math" w:hAnsi="Cambria Math"/>
              </w:rPr>
            </m:ctrlPr>
          </m:sSupPr>
          <m:e>
            <m:r>
              <w:rPr>
                <w:rFonts w:ascii="Cambria Math" w:hAnsi="Cambria Math"/>
              </w:rPr>
              <m:t>10</m:t>
            </m:r>
          </m:e>
          <m:sup>
            <m:r>
              <w:rPr>
                <w:rFonts w:ascii="Cambria Math" w:hAnsi="Cambria Math"/>
              </w:rPr>
              <m:t>-5</m:t>
            </m:r>
          </m:sup>
        </m:sSup>
      </m:oMath>
      <w:r>
        <w:t xml:space="preserve"> of the largest eigenvalue. Its large sensitivity ratio therefore describes the selected sample eigenvector, not a stable ranking of the low-variance subspace. Activation variance does not provide a model-independent proxy for margin sensitivity.</w:t>
      </w:r>
    </w:p>
    <w:p w14:paraId="695F8522" w14:textId="35CCF11E" w:rsidR="004C250E" w:rsidRDefault="00000000" w:rsidP="00D003EF">
      <w:pPr>
        <w:spacing w:after="100" w:line="259" w:lineRule="auto"/>
        <w:jc w:val="both"/>
      </w:pPr>
      <w:r>
        <w:t xml:space="preserve">The entropy-based effective rank of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normalized by feature dimension </w:t>
      </w:r>
      <m:oMath>
        <m:r>
          <w:rPr>
            <w:rFonts w:ascii="Cambria Math" w:hAnsi="Cambria Math"/>
          </w:rPr>
          <m:t>D</m:t>
        </m:r>
      </m:oMath>
      <w:r>
        <w:t xml:space="preserve">, is compared across depths 5–10 in Table </w:t>
      </w:r>
      <w:r w:rsidR="006F053A">
        <w:t>3</w:t>
      </w:r>
      <w:r>
        <w:t xml:space="preserve">. At the operational near-null cutoff </w:t>
      </w:r>
      <m:oMath>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the primary-threshold fractions are summarized there; DINOv2 reaches 64.84% at the looser </w:t>
      </w:r>
      <m:oMath>
        <m:sSup>
          <m:sSupPr>
            <m:ctrlPr>
              <w:rPr>
                <w:rFonts w:ascii="Cambria Math" w:hAnsi="Cambria Math"/>
              </w:rPr>
            </m:ctrlPr>
          </m:sSupPr>
          <m:e>
            <m:r>
              <w:rPr>
                <w:rFonts w:ascii="Cambria Math" w:hAnsi="Cambria Math"/>
              </w:rPr>
              <m:t>10</m:t>
            </m:r>
          </m:e>
          <m:sup>
            <m:r>
              <w:rPr>
                <w:rFonts w:ascii="Cambria Math" w:hAnsi="Cambria Math"/>
              </w:rPr>
              <m:t>-2</m:t>
            </m:r>
          </m:sup>
        </m:sSup>
        <m:sSub>
          <m:sSubPr>
            <m:ctrlPr>
              <w:rPr>
                <w:rFonts w:ascii="Cambria Math" w:hAnsi="Cambria Math"/>
              </w:rPr>
            </m:ctrlPr>
          </m:sSubPr>
          <m:e>
            <m:r>
              <w:rPr>
                <w:rFonts w:ascii="Cambria Math" w:hAnsi="Cambria Math"/>
              </w:rPr>
              <m:t>λ</m:t>
            </m:r>
          </m:e>
          <m:sub>
            <m:r>
              <w:rPr>
                <w:rFonts w:ascii="Cambria Math" w:hAnsi="Cambria Math"/>
              </w:rPr>
              <m:t>max</m:t>
            </m:r>
          </m:sub>
        </m:sSub>
      </m:oMath>
      <w:r>
        <w:t xml:space="preserve"> cutoff, illustrating threshold sensitivity.</w:t>
      </w:r>
    </w:p>
    <w:p w14:paraId="1083522E" w14:textId="2F2A0427" w:rsidR="004368BE" w:rsidRDefault="00000000" w:rsidP="00D003EF">
      <w:pPr>
        <w:spacing w:after="100" w:line="259" w:lineRule="auto"/>
        <w:jc w:val="both"/>
      </w:pPr>
      <w:r>
        <w:t xml:space="preserve">Near-null expansion at the primary cutoff is architecture-dependent and small for DINOv2. The ViT-B PCbottom ratio depends on a direction with a small covariance eigengap. </w:t>
      </w:r>
      <w:r w:rsidR="0079720F" w:rsidRPr="0079720F">
        <w:t>These depth-wise associations connect late-layer fungibility with changes in local functional sensitivity, motivating the transmission analyses that follow.</w:t>
      </w:r>
    </w:p>
    <w:p w14:paraId="191FC7F3" w14:textId="77777777" w:rsidR="006F053A" w:rsidRDefault="006F053A">
      <w:pPr>
        <w:spacing w:after="100" w:line="259" w:lineRule="auto"/>
      </w:pPr>
    </w:p>
    <w:p w14:paraId="18F4669C" w14:textId="02024745" w:rsidR="004368BE" w:rsidRPr="006F053A" w:rsidRDefault="00000000">
      <w:pPr>
        <w:spacing w:after="100" w:line="259" w:lineRule="auto"/>
        <w:rPr>
          <w:b/>
          <w:bCs/>
        </w:rPr>
      </w:pPr>
      <w:r w:rsidRPr="006F053A">
        <w:rPr>
          <w:b/>
          <w:bCs/>
        </w:rPr>
        <w:t>T</w:t>
      </w:r>
      <w:r w:rsidR="006F053A" w:rsidRPr="006F053A">
        <w:rPr>
          <w:b/>
          <w:bCs/>
        </w:rPr>
        <w:t>able 3</w:t>
      </w:r>
    </w:p>
    <w:p w14:paraId="763D7C1C" w14:textId="77777777" w:rsidR="004368BE" w:rsidRPr="00D003EF" w:rsidRDefault="00000000">
      <w:pPr>
        <w:keepNext/>
        <w:spacing w:after="100" w:line="259" w:lineRule="auto"/>
        <w:rPr>
          <w:sz w:val="18"/>
          <w:szCs w:val="20"/>
        </w:rPr>
      </w:pPr>
      <w:r w:rsidRPr="00D003EF">
        <w:rPr>
          <w:sz w:val="18"/>
          <w:szCs w:val="20"/>
        </w:rPr>
        <w:t xml:space="preserve">The empirical margin-gradient metric Mℓ and its depth-dependent spectrum. Normalized effective rank is dimensionless; near-null eigenvalues satisfy λk ≤ </w:t>
      </w:r>
      <m:oMath>
        <m:sSup>
          <m:sSupPr>
            <m:ctrlPr>
              <w:rPr>
                <w:rFonts w:ascii="Cambria Math" w:hAnsi="Cambria Math"/>
                <w:sz w:val="18"/>
                <w:szCs w:val="20"/>
              </w:rPr>
            </m:ctrlPr>
          </m:sSupPr>
          <m:e>
            <m:r>
              <w:rPr>
                <w:rFonts w:ascii="Cambria Math" w:hAnsi="Cambria Math"/>
                <w:sz w:val="18"/>
                <w:szCs w:val="20"/>
              </w:rPr>
              <m:t>10</m:t>
            </m:r>
          </m:e>
          <m:sup>
            <m:r>
              <w:rPr>
                <w:rFonts w:ascii="Cambria Math" w:hAnsi="Cambria Math"/>
                <w:sz w:val="18"/>
                <w:szCs w:val="20"/>
              </w:rPr>
              <m:t>-3</m:t>
            </m:r>
          </m:sup>
        </m:sSup>
      </m:oMath>
      <w:r w:rsidRPr="00D003EF">
        <w:rPr>
          <w:sz w:val="18"/>
          <w:szCs w:val="20"/>
        </w:rPr>
        <w:t xml:space="preserve"> λmax, an operational cutoff rather than an exact nonlinear nullspace criterion.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00"/>
        <w:gridCol w:w="2477"/>
        <w:gridCol w:w="2448"/>
        <w:gridCol w:w="2995"/>
      </w:tblGrid>
      <w:tr w:rsidR="004368BE" w:rsidRPr="00B63702" w14:paraId="68323602" w14:textId="77777777" w:rsidTr="00B63702">
        <w:trPr>
          <w:cantSplit/>
          <w:tblHeader/>
          <w:jc w:val="center"/>
        </w:trPr>
        <w:tc>
          <w:tcPr>
            <w:tcW w:w="1800" w:type="dxa"/>
            <w:tcBorders>
              <w:top w:val="single" w:sz="4" w:space="0" w:color="auto"/>
              <w:bottom w:val="single" w:sz="4" w:space="0" w:color="auto"/>
            </w:tcBorders>
            <w:tcMar>
              <w:top w:w="55" w:type="dxa"/>
              <w:left w:w="65" w:type="dxa"/>
              <w:bottom w:w="55" w:type="dxa"/>
              <w:right w:w="65" w:type="dxa"/>
            </w:tcMar>
            <w:vAlign w:val="center"/>
          </w:tcPr>
          <w:p w14:paraId="2FCF2281" w14:textId="77777777" w:rsidR="004368BE" w:rsidRPr="00B63702" w:rsidRDefault="00000000">
            <w:pPr>
              <w:jc w:val="center"/>
              <w:rPr>
                <w:szCs w:val="32"/>
              </w:rPr>
            </w:pPr>
            <w:r w:rsidRPr="00B63702">
              <w:rPr>
                <w:b/>
                <w:color w:val="17232D"/>
                <w:szCs w:val="32"/>
              </w:rPr>
              <w:t>Architecture</w:t>
            </w:r>
          </w:p>
        </w:tc>
        <w:tc>
          <w:tcPr>
            <w:tcW w:w="2477" w:type="dxa"/>
            <w:tcBorders>
              <w:top w:val="single" w:sz="4" w:space="0" w:color="auto"/>
              <w:bottom w:val="single" w:sz="4" w:space="0" w:color="auto"/>
            </w:tcBorders>
            <w:tcMar>
              <w:top w:w="55" w:type="dxa"/>
              <w:left w:w="65" w:type="dxa"/>
              <w:bottom w:w="55" w:type="dxa"/>
              <w:right w:w="65" w:type="dxa"/>
            </w:tcMar>
            <w:vAlign w:val="center"/>
          </w:tcPr>
          <w:p w14:paraId="386B6ABB" w14:textId="77777777" w:rsidR="004368BE" w:rsidRPr="00B63702" w:rsidRDefault="00000000">
            <w:pPr>
              <w:jc w:val="center"/>
              <w:rPr>
                <w:szCs w:val="32"/>
              </w:rPr>
            </w:pPr>
            <w:r w:rsidRPr="00B63702">
              <w:rPr>
                <w:b/>
                <w:color w:val="17232D"/>
                <w:szCs w:val="32"/>
              </w:rPr>
              <w:t>Normalized effective rank, d5 → d10</w:t>
            </w:r>
          </w:p>
        </w:tc>
        <w:tc>
          <w:tcPr>
            <w:tcW w:w="2448" w:type="dxa"/>
            <w:tcBorders>
              <w:top w:val="single" w:sz="4" w:space="0" w:color="auto"/>
              <w:bottom w:val="single" w:sz="4" w:space="0" w:color="auto"/>
            </w:tcBorders>
            <w:tcMar>
              <w:top w:w="55" w:type="dxa"/>
              <w:left w:w="65" w:type="dxa"/>
              <w:bottom w:w="55" w:type="dxa"/>
              <w:right w:w="65" w:type="dxa"/>
            </w:tcMar>
            <w:vAlign w:val="center"/>
          </w:tcPr>
          <w:p w14:paraId="0BEA66CC" w14:textId="77777777" w:rsidR="004368BE" w:rsidRPr="00B63702" w:rsidRDefault="00000000">
            <w:pPr>
              <w:jc w:val="center"/>
              <w:rPr>
                <w:szCs w:val="32"/>
              </w:rPr>
            </w:pPr>
            <w:r w:rsidRPr="00B63702">
              <w:rPr>
                <w:b/>
                <w:color w:val="17232D"/>
                <w:szCs w:val="32"/>
              </w:rPr>
              <w:t>Near-null fraction, d5 → d10</w:t>
            </w:r>
          </w:p>
        </w:tc>
        <w:tc>
          <w:tcPr>
            <w:tcW w:w="2995" w:type="dxa"/>
            <w:tcBorders>
              <w:top w:val="single" w:sz="4" w:space="0" w:color="auto"/>
              <w:bottom w:val="single" w:sz="4" w:space="0" w:color="auto"/>
            </w:tcBorders>
            <w:tcMar>
              <w:top w:w="55" w:type="dxa"/>
              <w:left w:w="65" w:type="dxa"/>
              <w:bottom w:w="55" w:type="dxa"/>
              <w:right w:w="65" w:type="dxa"/>
            </w:tcMar>
            <w:vAlign w:val="center"/>
          </w:tcPr>
          <w:p w14:paraId="3A7651F0" w14:textId="77777777" w:rsidR="004368BE" w:rsidRPr="00B63702" w:rsidRDefault="00000000">
            <w:pPr>
              <w:jc w:val="center"/>
              <w:rPr>
                <w:szCs w:val="32"/>
              </w:rPr>
            </w:pPr>
            <w:r w:rsidRPr="00B63702">
              <w:rPr>
                <w:b/>
                <w:color w:val="17232D"/>
                <w:szCs w:val="32"/>
              </w:rPr>
              <w:t>PC1 / PCbottom sensitivity ratio, d8</w:t>
            </w:r>
          </w:p>
        </w:tc>
      </w:tr>
      <w:tr w:rsidR="004368BE" w:rsidRPr="00B63702" w14:paraId="66708E7E" w14:textId="77777777" w:rsidTr="00B63702">
        <w:trPr>
          <w:cantSplit/>
          <w:jc w:val="center"/>
        </w:trPr>
        <w:tc>
          <w:tcPr>
            <w:tcW w:w="1800" w:type="dxa"/>
            <w:tcBorders>
              <w:top w:val="single" w:sz="4" w:space="0" w:color="auto"/>
            </w:tcBorders>
            <w:tcMar>
              <w:top w:w="55" w:type="dxa"/>
              <w:left w:w="65" w:type="dxa"/>
              <w:bottom w:w="55" w:type="dxa"/>
              <w:right w:w="65" w:type="dxa"/>
            </w:tcMar>
            <w:vAlign w:val="center"/>
          </w:tcPr>
          <w:p w14:paraId="694ED20D" w14:textId="77777777" w:rsidR="004368BE" w:rsidRPr="00B63702" w:rsidRDefault="00000000">
            <w:pPr>
              <w:rPr>
                <w:szCs w:val="32"/>
              </w:rPr>
            </w:pPr>
            <w:r w:rsidRPr="00B63702">
              <w:rPr>
                <w:szCs w:val="32"/>
              </w:rPr>
              <w:t>DeiT-Tiny</w:t>
            </w:r>
          </w:p>
        </w:tc>
        <w:tc>
          <w:tcPr>
            <w:tcW w:w="2477" w:type="dxa"/>
            <w:tcBorders>
              <w:top w:val="single" w:sz="4" w:space="0" w:color="auto"/>
            </w:tcBorders>
            <w:tcMar>
              <w:top w:w="55" w:type="dxa"/>
              <w:left w:w="65" w:type="dxa"/>
              <w:bottom w:w="55" w:type="dxa"/>
              <w:right w:w="65" w:type="dxa"/>
            </w:tcMar>
            <w:vAlign w:val="center"/>
          </w:tcPr>
          <w:p w14:paraId="0FDD2912" w14:textId="77777777" w:rsidR="004368BE" w:rsidRPr="00B63702" w:rsidRDefault="00000000">
            <w:pPr>
              <w:jc w:val="center"/>
              <w:rPr>
                <w:szCs w:val="32"/>
              </w:rPr>
            </w:pPr>
            <w:r w:rsidRPr="00B63702">
              <w:rPr>
                <w:szCs w:val="32"/>
              </w:rPr>
              <w:t>0.541 → 0.125</w:t>
            </w:r>
          </w:p>
        </w:tc>
        <w:tc>
          <w:tcPr>
            <w:tcW w:w="2448" w:type="dxa"/>
            <w:tcBorders>
              <w:top w:val="single" w:sz="4" w:space="0" w:color="auto"/>
            </w:tcBorders>
            <w:tcMar>
              <w:top w:w="55" w:type="dxa"/>
              <w:left w:w="65" w:type="dxa"/>
              <w:bottom w:w="55" w:type="dxa"/>
              <w:right w:w="65" w:type="dxa"/>
            </w:tcMar>
            <w:vAlign w:val="center"/>
          </w:tcPr>
          <w:p w14:paraId="327D640B" w14:textId="77777777" w:rsidR="004368BE" w:rsidRPr="00B63702" w:rsidRDefault="00000000">
            <w:pPr>
              <w:jc w:val="center"/>
              <w:rPr>
                <w:szCs w:val="32"/>
              </w:rPr>
            </w:pPr>
            <w:r w:rsidRPr="00B63702">
              <w:rPr>
                <w:szCs w:val="32"/>
              </w:rPr>
              <w:t>0.52% → 31.77%</w:t>
            </w:r>
          </w:p>
        </w:tc>
        <w:tc>
          <w:tcPr>
            <w:tcW w:w="2995" w:type="dxa"/>
            <w:tcBorders>
              <w:top w:val="single" w:sz="4" w:space="0" w:color="auto"/>
            </w:tcBorders>
            <w:tcMar>
              <w:top w:w="55" w:type="dxa"/>
              <w:left w:w="65" w:type="dxa"/>
              <w:bottom w:w="55" w:type="dxa"/>
              <w:right w:w="65" w:type="dxa"/>
            </w:tcMar>
            <w:vAlign w:val="center"/>
          </w:tcPr>
          <w:p w14:paraId="0F73BEEF" w14:textId="77777777" w:rsidR="004368BE" w:rsidRPr="00B63702" w:rsidRDefault="00000000">
            <w:pPr>
              <w:jc w:val="center"/>
              <w:rPr>
                <w:szCs w:val="32"/>
              </w:rPr>
            </w:pPr>
            <w:r w:rsidRPr="00B63702">
              <w:rPr>
                <w:szCs w:val="32"/>
              </w:rPr>
              <w:t>0.089</w:t>
            </w:r>
          </w:p>
        </w:tc>
      </w:tr>
      <w:tr w:rsidR="004368BE" w:rsidRPr="00B63702" w14:paraId="3CD12D0D" w14:textId="77777777" w:rsidTr="00B63702">
        <w:trPr>
          <w:cantSplit/>
          <w:jc w:val="center"/>
        </w:trPr>
        <w:tc>
          <w:tcPr>
            <w:tcW w:w="1800" w:type="dxa"/>
            <w:tcMar>
              <w:top w:w="55" w:type="dxa"/>
              <w:left w:w="65" w:type="dxa"/>
              <w:bottom w:w="55" w:type="dxa"/>
              <w:right w:w="65" w:type="dxa"/>
            </w:tcMar>
            <w:vAlign w:val="center"/>
          </w:tcPr>
          <w:p w14:paraId="07177668" w14:textId="77777777" w:rsidR="004368BE" w:rsidRPr="00B63702" w:rsidRDefault="00000000">
            <w:pPr>
              <w:rPr>
                <w:szCs w:val="32"/>
              </w:rPr>
            </w:pPr>
            <w:r w:rsidRPr="00B63702">
              <w:rPr>
                <w:szCs w:val="32"/>
              </w:rPr>
              <w:t>DeiT-Small</w:t>
            </w:r>
          </w:p>
        </w:tc>
        <w:tc>
          <w:tcPr>
            <w:tcW w:w="2477" w:type="dxa"/>
            <w:tcMar>
              <w:top w:w="55" w:type="dxa"/>
              <w:left w:w="65" w:type="dxa"/>
              <w:bottom w:w="55" w:type="dxa"/>
              <w:right w:w="65" w:type="dxa"/>
            </w:tcMar>
            <w:vAlign w:val="center"/>
          </w:tcPr>
          <w:p w14:paraId="2A262636" w14:textId="77777777" w:rsidR="004368BE" w:rsidRPr="00B63702" w:rsidRDefault="00000000">
            <w:pPr>
              <w:jc w:val="center"/>
              <w:rPr>
                <w:szCs w:val="32"/>
              </w:rPr>
            </w:pPr>
            <w:r w:rsidRPr="00B63702">
              <w:rPr>
                <w:szCs w:val="32"/>
              </w:rPr>
              <w:t>0.467 → 0.114</w:t>
            </w:r>
          </w:p>
        </w:tc>
        <w:tc>
          <w:tcPr>
            <w:tcW w:w="2448" w:type="dxa"/>
            <w:tcMar>
              <w:top w:w="55" w:type="dxa"/>
              <w:left w:w="65" w:type="dxa"/>
              <w:bottom w:w="55" w:type="dxa"/>
              <w:right w:w="65" w:type="dxa"/>
            </w:tcMar>
            <w:vAlign w:val="center"/>
          </w:tcPr>
          <w:p w14:paraId="1494A276" w14:textId="77777777" w:rsidR="004368BE" w:rsidRPr="00B63702" w:rsidRDefault="00000000">
            <w:pPr>
              <w:jc w:val="center"/>
              <w:rPr>
                <w:szCs w:val="32"/>
              </w:rPr>
            </w:pPr>
            <w:r w:rsidRPr="00B63702">
              <w:rPr>
                <w:szCs w:val="32"/>
              </w:rPr>
              <w:t>0.26% → 57.03%</w:t>
            </w:r>
          </w:p>
        </w:tc>
        <w:tc>
          <w:tcPr>
            <w:tcW w:w="2995" w:type="dxa"/>
            <w:tcMar>
              <w:top w:w="55" w:type="dxa"/>
              <w:left w:w="65" w:type="dxa"/>
              <w:bottom w:w="55" w:type="dxa"/>
              <w:right w:w="65" w:type="dxa"/>
            </w:tcMar>
            <w:vAlign w:val="center"/>
          </w:tcPr>
          <w:p w14:paraId="25294F3A" w14:textId="77777777" w:rsidR="004368BE" w:rsidRPr="00B63702" w:rsidRDefault="00000000">
            <w:pPr>
              <w:jc w:val="center"/>
              <w:rPr>
                <w:szCs w:val="32"/>
              </w:rPr>
            </w:pPr>
            <w:r w:rsidRPr="00B63702">
              <w:rPr>
                <w:szCs w:val="32"/>
              </w:rPr>
              <w:t>0.041</w:t>
            </w:r>
          </w:p>
        </w:tc>
      </w:tr>
      <w:tr w:rsidR="004368BE" w:rsidRPr="00B63702" w14:paraId="700693C3" w14:textId="77777777" w:rsidTr="00B63702">
        <w:trPr>
          <w:cantSplit/>
          <w:jc w:val="center"/>
        </w:trPr>
        <w:tc>
          <w:tcPr>
            <w:tcW w:w="1800" w:type="dxa"/>
            <w:tcMar>
              <w:top w:w="55" w:type="dxa"/>
              <w:left w:w="65" w:type="dxa"/>
              <w:bottom w:w="55" w:type="dxa"/>
              <w:right w:w="65" w:type="dxa"/>
            </w:tcMar>
            <w:vAlign w:val="center"/>
          </w:tcPr>
          <w:p w14:paraId="3FBA226A" w14:textId="77777777" w:rsidR="004368BE" w:rsidRPr="00B63702" w:rsidRDefault="00000000">
            <w:pPr>
              <w:rPr>
                <w:szCs w:val="32"/>
              </w:rPr>
            </w:pPr>
            <w:r w:rsidRPr="00B63702">
              <w:rPr>
                <w:szCs w:val="32"/>
              </w:rPr>
              <w:t>ViT-B/16 AugReg</w:t>
            </w:r>
          </w:p>
        </w:tc>
        <w:tc>
          <w:tcPr>
            <w:tcW w:w="2477" w:type="dxa"/>
            <w:tcMar>
              <w:top w:w="55" w:type="dxa"/>
              <w:left w:w="65" w:type="dxa"/>
              <w:bottom w:w="55" w:type="dxa"/>
              <w:right w:w="65" w:type="dxa"/>
            </w:tcMar>
            <w:vAlign w:val="center"/>
          </w:tcPr>
          <w:p w14:paraId="62C71C6A" w14:textId="77777777" w:rsidR="004368BE" w:rsidRPr="00B63702" w:rsidRDefault="00000000">
            <w:pPr>
              <w:jc w:val="center"/>
              <w:rPr>
                <w:szCs w:val="32"/>
              </w:rPr>
            </w:pPr>
            <w:r w:rsidRPr="00B63702">
              <w:rPr>
                <w:szCs w:val="32"/>
              </w:rPr>
              <w:t>0.383 → 0.140</w:t>
            </w:r>
          </w:p>
        </w:tc>
        <w:tc>
          <w:tcPr>
            <w:tcW w:w="2448" w:type="dxa"/>
            <w:tcMar>
              <w:top w:w="55" w:type="dxa"/>
              <w:left w:w="65" w:type="dxa"/>
              <w:bottom w:w="55" w:type="dxa"/>
              <w:right w:w="65" w:type="dxa"/>
            </w:tcMar>
            <w:vAlign w:val="center"/>
          </w:tcPr>
          <w:p w14:paraId="0B99FB88" w14:textId="77777777" w:rsidR="004368BE" w:rsidRPr="00B63702" w:rsidRDefault="00000000">
            <w:pPr>
              <w:jc w:val="center"/>
              <w:rPr>
                <w:szCs w:val="32"/>
              </w:rPr>
            </w:pPr>
            <w:r w:rsidRPr="00B63702">
              <w:rPr>
                <w:szCs w:val="32"/>
              </w:rPr>
              <w:t>0.26% → 49.61%</w:t>
            </w:r>
          </w:p>
        </w:tc>
        <w:tc>
          <w:tcPr>
            <w:tcW w:w="2995" w:type="dxa"/>
            <w:tcMar>
              <w:top w:w="55" w:type="dxa"/>
              <w:left w:w="65" w:type="dxa"/>
              <w:bottom w:w="55" w:type="dxa"/>
              <w:right w:w="65" w:type="dxa"/>
            </w:tcMar>
            <w:vAlign w:val="center"/>
          </w:tcPr>
          <w:p w14:paraId="2D534EE6" w14:textId="77777777" w:rsidR="004368BE" w:rsidRPr="00B63702" w:rsidRDefault="00000000">
            <w:pPr>
              <w:jc w:val="center"/>
              <w:rPr>
                <w:szCs w:val="32"/>
              </w:rPr>
            </w:pPr>
            <w:r w:rsidRPr="00B63702">
              <w:rPr>
                <w:szCs w:val="32"/>
              </w:rPr>
              <w:t>65.2†</w:t>
            </w:r>
          </w:p>
        </w:tc>
      </w:tr>
      <w:tr w:rsidR="004368BE" w:rsidRPr="00B63702" w14:paraId="4970A005" w14:textId="77777777" w:rsidTr="00B63702">
        <w:trPr>
          <w:cantSplit/>
          <w:jc w:val="center"/>
        </w:trPr>
        <w:tc>
          <w:tcPr>
            <w:tcW w:w="1800" w:type="dxa"/>
            <w:tcBorders>
              <w:bottom w:val="single" w:sz="4" w:space="0" w:color="auto"/>
            </w:tcBorders>
            <w:tcMar>
              <w:top w:w="55" w:type="dxa"/>
              <w:left w:w="65" w:type="dxa"/>
              <w:bottom w:w="55" w:type="dxa"/>
              <w:right w:w="65" w:type="dxa"/>
            </w:tcMar>
            <w:vAlign w:val="center"/>
          </w:tcPr>
          <w:p w14:paraId="475F813F" w14:textId="77777777" w:rsidR="004368BE" w:rsidRPr="00B63702" w:rsidRDefault="00000000">
            <w:pPr>
              <w:rPr>
                <w:szCs w:val="32"/>
              </w:rPr>
            </w:pPr>
            <w:r w:rsidRPr="00B63702">
              <w:rPr>
                <w:szCs w:val="32"/>
              </w:rPr>
              <w:t>DINOv2 ViT-S/14</w:t>
            </w:r>
          </w:p>
        </w:tc>
        <w:tc>
          <w:tcPr>
            <w:tcW w:w="2477" w:type="dxa"/>
            <w:tcBorders>
              <w:bottom w:val="single" w:sz="4" w:space="0" w:color="auto"/>
            </w:tcBorders>
            <w:tcMar>
              <w:top w:w="55" w:type="dxa"/>
              <w:left w:w="65" w:type="dxa"/>
              <w:bottom w:w="55" w:type="dxa"/>
              <w:right w:w="65" w:type="dxa"/>
            </w:tcMar>
            <w:vAlign w:val="center"/>
          </w:tcPr>
          <w:p w14:paraId="35EE2CD2" w14:textId="77777777" w:rsidR="004368BE" w:rsidRPr="00B63702" w:rsidRDefault="00000000">
            <w:pPr>
              <w:jc w:val="center"/>
              <w:rPr>
                <w:szCs w:val="32"/>
              </w:rPr>
            </w:pPr>
            <w:r w:rsidRPr="00B63702">
              <w:rPr>
                <w:szCs w:val="32"/>
              </w:rPr>
              <w:t>0.453 → 0.323</w:t>
            </w:r>
          </w:p>
        </w:tc>
        <w:tc>
          <w:tcPr>
            <w:tcW w:w="2448" w:type="dxa"/>
            <w:tcBorders>
              <w:bottom w:val="single" w:sz="4" w:space="0" w:color="auto"/>
            </w:tcBorders>
            <w:tcMar>
              <w:top w:w="55" w:type="dxa"/>
              <w:left w:w="65" w:type="dxa"/>
              <w:bottom w:w="55" w:type="dxa"/>
              <w:right w:w="65" w:type="dxa"/>
            </w:tcMar>
            <w:vAlign w:val="center"/>
          </w:tcPr>
          <w:p w14:paraId="0D3A5374" w14:textId="77777777" w:rsidR="004368BE" w:rsidRPr="00B63702" w:rsidRDefault="00000000">
            <w:pPr>
              <w:jc w:val="center"/>
              <w:rPr>
                <w:szCs w:val="32"/>
              </w:rPr>
            </w:pPr>
            <w:r w:rsidRPr="00B63702">
              <w:rPr>
                <w:szCs w:val="32"/>
              </w:rPr>
              <w:t>0.26% → 1.56%</w:t>
            </w:r>
          </w:p>
        </w:tc>
        <w:tc>
          <w:tcPr>
            <w:tcW w:w="2995" w:type="dxa"/>
            <w:tcBorders>
              <w:bottom w:val="single" w:sz="4" w:space="0" w:color="auto"/>
            </w:tcBorders>
            <w:tcMar>
              <w:top w:w="55" w:type="dxa"/>
              <w:left w:w="65" w:type="dxa"/>
              <w:bottom w:w="55" w:type="dxa"/>
              <w:right w:w="65" w:type="dxa"/>
            </w:tcMar>
            <w:vAlign w:val="center"/>
          </w:tcPr>
          <w:p w14:paraId="11A0307B" w14:textId="77777777" w:rsidR="004368BE" w:rsidRPr="00B63702" w:rsidRDefault="00000000">
            <w:pPr>
              <w:jc w:val="center"/>
              <w:rPr>
                <w:szCs w:val="32"/>
              </w:rPr>
            </w:pPr>
            <w:r w:rsidRPr="00B63702">
              <w:rPr>
                <w:szCs w:val="32"/>
              </w:rPr>
              <w:t>0.199</w:t>
            </w:r>
          </w:p>
        </w:tc>
      </w:tr>
    </w:tbl>
    <w:p w14:paraId="00B7C8A5" w14:textId="77777777" w:rsidR="004368BE" w:rsidRDefault="004368BE">
      <w:pPr>
        <w:spacing w:after="20"/>
      </w:pPr>
    </w:p>
    <w:p w14:paraId="70839665" w14:textId="77777777" w:rsidR="006F053A" w:rsidRDefault="006F053A">
      <w:pPr>
        <w:spacing w:after="100" w:line="259" w:lineRule="auto"/>
      </w:pPr>
    </w:p>
    <w:p w14:paraId="259919D7" w14:textId="1D2816C2" w:rsidR="004368BE" w:rsidRDefault="00000000" w:rsidP="00D003EF">
      <w:pPr>
        <w:spacing w:after="100" w:line="259" w:lineRule="auto"/>
        <w:jc w:val="both"/>
      </w:pPr>
      <w:r>
        <w:t>Mℓ is the empirical uncentered second moment of clean predicted-class margin gradients over patch positions and N=100 calibration images/model; positions are aggregated within images. Normalized effective rank divides the entropy-based effective rank by feature dimension D, so it is dimensionless. Mℓ is distinct from the full token-by-feature downstream readout Jacobian Gram matrix. DINOv2 near-null growth is small at the primary threshold. The ViT-B PCbottom-based ratio is sensitive to a small depth-8 activation-covariance eigengap. Ratios describe the selected sample directions and are not a universal ranking of PCA directions.</w:t>
      </w:r>
    </w:p>
    <w:p w14:paraId="7D8113E9" w14:textId="77777777" w:rsidR="004C250E" w:rsidRDefault="00000000" w:rsidP="00D003EF">
      <w:pPr>
        <w:spacing w:after="100" w:line="259" w:lineRule="auto"/>
        <w:jc w:val="both"/>
      </w:pPr>
      <w:r>
        <w:t xml:space="preserve">The spectra, cutoff sensitivity, directional sensitivities, normalized effective ranks, and positive-semidefinite checks are reported in Supplementary Table S2. Because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contains no cross-token terms, Section 5.2 examines how attention-mediated Value aggregation combines perturbations across patch positions.</w:t>
      </w:r>
    </w:p>
    <w:p w14:paraId="5BE5CFEF" w14:textId="77777777" w:rsidR="004C250E" w:rsidRDefault="00000000">
      <w:pPr>
        <w:pStyle w:val="Heading2"/>
      </w:pPr>
      <w:r>
        <w:rPr>
          <w:rFonts w:ascii="Times New Roman" w:hAnsi="Times New Roman"/>
        </w:rPr>
        <w:t>5.2 Value-Path Coherence and Cancellation</w:t>
      </w:r>
    </w:p>
    <w:p w14:paraId="1A66F6D7" w14:textId="22B11F36" w:rsidR="004C250E" w:rsidRDefault="00000000" w:rsidP="00D003EF">
      <w:pPr>
        <w:spacing w:after="100" w:line="259" w:lineRule="auto"/>
        <w:jc w:val="both"/>
      </w:pPr>
      <w:r>
        <w:t xml:space="preserve">Across the four architectures, the frozen-attention condition reproduces nearly all of the full-perturbation immediate readout-change magnitude for coherent perturbations: frozen/full ratios are 97.4% for DeiT-Small (Block 8), 99.4% for ViT-B/16 AugReg (Block 7), 100.1% for DeiT-Tiny (Block 8), and 100.8% for DINOv2 ViT-S/14 (Block 8). Random-sign and checkerboard patterns produce smaller absolute changes in both conditions, although their relative agreement varies by model; for example, the frozen/full ratio is 98.3% for DINOv2 random-sign perturbations but 70.7% for its checkerboard pattern, and 48.1% for DeiT-Tiny checkerboard. Full perturbation changes </w:t>
      </w:r>
      <m:oMath>
        <m:r>
          <w:rPr>
            <w:rFonts w:ascii="Cambria Math" w:hAnsi="Cambria Math"/>
          </w:rPr>
          <m:t>Q</m:t>
        </m:r>
      </m:oMath>
      <w:r>
        <w:t xml:space="preserve">, </w:t>
      </w:r>
      <m:oMath>
        <m:r>
          <w:rPr>
            <w:rFonts w:ascii="Cambria Math" w:hAnsi="Cambria Math"/>
          </w:rPr>
          <m:t>K</m:t>
        </m:r>
      </m:oMath>
      <w:r>
        <w:t xml:space="preserve">, </w:t>
      </w:r>
      <m:oMath>
        <m:r>
          <w:rPr>
            <w:rFonts w:ascii="Cambria Math" w:hAnsi="Cambria Math"/>
          </w:rPr>
          <m:t>V</m:t>
        </m:r>
      </m:oMath>
      <w:r>
        <w:t xml:space="preserve">, and the residual stream and recomputes attention. The frozen-attention condition holds clean </w:t>
      </w:r>
      <m:oMath>
        <m:r>
          <w:rPr>
            <w:rFonts w:ascii="Cambria Math" w:hAnsi="Cambria Math"/>
          </w:rPr>
          <m:t>Q</m:t>
        </m:r>
      </m:oMath>
      <w:r>
        <w:t xml:space="preserve">, </w:t>
      </w:r>
      <m:oMath>
        <m:r>
          <w:rPr>
            <w:rFonts w:ascii="Cambria Math" w:hAnsi="Cambria Math"/>
          </w:rPr>
          <m:t>K</m:t>
        </m:r>
      </m:oMath>
      <w:r>
        <w:t xml:space="preserve">, and attention fixed while perturbing </w:t>
      </w:r>
      <m:oMath>
        <m:r>
          <w:rPr>
            <w:rFonts w:ascii="Cambria Math" w:hAnsi="Cambria Math"/>
          </w:rPr>
          <m:t>V</m:t>
        </m:r>
      </m:oMath>
      <w:r>
        <w:t xml:space="preserve"> and the residual, </w:t>
      </w:r>
      <w:r w:rsidR="0079720F" w:rsidRPr="0079720F">
        <w:t>making the contrast a measure of joint Value-and-residual transmission under frozen attention.</w:t>
      </w:r>
    </w:p>
    <w:p w14:paraId="7B1868F9" w14:textId="5AC983CE" w:rsidR="004C250E" w:rsidRDefault="00000000" w:rsidP="00D003EF">
      <w:pPr>
        <w:spacing w:after="100" w:line="259" w:lineRule="auto"/>
        <w:jc w:val="both"/>
      </w:pPr>
      <w:r>
        <w:t xml:space="preserve">The primary projection-path audit remains limited to DeiT-Small and ViT-B/16 AugReg and is reported separately in Supplementary Figure S12. With the residual stream clean, the V-only immediate-readout norm is 97.4% and 99.4% of the corresponding </w:t>
      </w:r>
      <m:oMath>
        <m:r>
          <w:rPr>
            <w:rFonts w:ascii="Cambria Math" w:hAnsi="Cambria Math"/>
          </w:rPr>
          <m:t>K+V</m:t>
        </m:r>
      </m:oMath>
      <w:r>
        <w:t xml:space="preserve"> norm, respectively; here </w:t>
      </w:r>
      <m:oMath>
        <m:r>
          <w:rPr>
            <w:rFonts w:ascii="Cambria Math" w:hAnsi="Cambria Math"/>
          </w:rPr>
          <m:t>K+V</m:t>
        </m:r>
      </m:oMath>
      <w:r>
        <w:t xml:space="preserve"> is the denominator, distinct from the full-perturbation denominator above. A separate signed true-class logit-drop contrast ratio, computed as the coherent-minus-random-sign contrast under frozen-attention V-only with the residual perturbed divided by the corresponding full-perturbation contrast, is 70.8% for DeiT-Small and 102.2% for ViT-B/16 AugReg (Supplementary Table S4). </w:t>
      </w:r>
      <w:r w:rsidR="0079720F" w:rsidRPr="0079720F">
        <w:t>These ratios quantify contrasts between separately defined interventions and are interpreted as comparative transmission measurements.</w:t>
      </w:r>
      <w:r>
        <w:t xml:space="preserve"> Signed-logit outcomes for </w:t>
      </w:r>
      <w:r>
        <w:lastRenderedPageBreak/>
        <w:t>the reduced DeiT-Tiny and DINOv2 replications are reported separately in Supplementary Figure S11; Figure 5 uses the immediate-readout norm for every architecture.</w:t>
      </w:r>
    </w:p>
    <w:p w14:paraId="7280149C" w14:textId="77777777" w:rsidR="004C250E" w:rsidRDefault="00000000">
      <w:pPr>
        <w:keepNext/>
        <w:keepLines/>
        <w:spacing w:after="20"/>
        <w:jc w:val="center"/>
      </w:pPr>
      <w:r>
        <w:rPr>
          <w:noProof/>
        </w:rPr>
        <w:drawing>
          <wp:inline distT="0" distB="0" distL="0" distR="0" wp14:anchorId="21C71948" wp14:editId="6E21B0E7">
            <wp:extent cx="6172200" cy="43757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4375764"/>
                    </a:xfrm>
                    <a:prstGeom prst="rect">
                      <a:avLst/>
                    </a:prstGeom>
                  </pic:spPr>
                </pic:pic>
              </a:graphicData>
            </a:graphic>
          </wp:inline>
        </w:drawing>
      </w:r>
    </w:p>
    <w:p w14:paraId="009B7C51" w14:textId="77777777" w:rsidR="004F4849" w:rsidRPr="004F4849" w:rsidRDefault="00000000" w:rsidP="004F4849">
      <w:pPr>
        <w:keepLines/>
        <w:spacing w:after="80"/>
        <w:jc w:val="both"/>
        <w:rPr>
          <w:iCs/>
          <w:color w:val="auto"/>
          <w:sz w:val="18"/>
          <w:szCs w:val="18"/>
        </w:rPr>
      </w:pPr>
      <w:r w:rsidRPr="004F4849">
        <w:rPr>
          <w:b/>
          <w:bCs/>
          <w:iCs/>
          <w:color w:val="auto"/>
          <w:sz w:val="18"/>
          <w:szCs w:val="18"/>
        </w:rPr>
        <w:t xml:space="preserve">Figure 5. </w:t>
      </w:r>
      <w:r w:rsidR="004F4849" w:rsidRPr="004F4849">
        <w:rPr>
          <w:iCs/>
          <w:color w:val="auto"/>
          <w:sz w:val="18"/>
          <w:szCs w:val="18"/>
        </w:rPr>
        <w:t>Coherent accumulation and sign-dependent cancellation under attention perturbations. Mean immediate-readout L₂ change for coherent, random-sign, and checkerboard perturbations under full perturbation versus frozen attention with perturbed Value projections and residual stream. (a) DeiT-Small, Block 8; (b) ViT-B/16 AugReg, Block 7; (c) DeiT-Tiny, Block 8; (d) DINOv2 ViT-S/14, Block 8. Each panel uses 100 images and its own vertical scale. Panels (c,d) are reduced replications.</w:t>
      </w:r>
    </w:p>
    <w:p w14:paraId="36A3A420" w14:textId="67FCF209" w:rsidR="004C250E" w:rsidRDefault="004C250E" w:rsidP="00D003EF">
      <w:pPr>
        <w:keepLines/>
        <w:spacing w:after="80"/>
        <w:jc w:val="both"/>
        <w:rPr>
          <w:iCs/>
          <w:color w:val="auto"/>
          <w:sz w:val="18"/>
          <w:szCs w:val="18"/>
        </w:rPr>
      </w:pPr>
    </w:p>
    <w:p w14:paraId="48737A7B" w14:textId="77777777" w:rsidR="00D003EF" w:rsidRPr="00D003EF" w:rsidRDefault="00D003EF" w:rsidP="00D003EF">
      <w:pPr>
        <w:keepLines/>
        <w:spacing w:after="80"/>
        <w:jc w:val="both"/>
        <w:rPr>
          <w:iCs/>
          <w:color w:val="auto"/>
          <w:sz w:val="18"/>
          <w:szCs w:val="18"/>
        </w:rPr>
      </w:pPr>
    </w:p>
    <w:p w14:paraId="3EDC386A" w14:textId="77777777" w:rsidR="004C250E" w:rsidRDefault="00000000" w:rsidP="00D003EF">
      <w:pPr>
        <w:spacing w:after="100" w:line="259" w:lineRule="auto"/>
        <w:jc w:val="both"/>
      </w:pPr>
      <w:r>
        <w:t xml:space="preserve">For one image,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spatial patch </w:t>
      </w:r>
      <m:oMath>
        <m:r>
          <w:rPr>
            <w:rFonts w:ascii="Cambria Math" w:hAnsi="Cambria Math"/>
          </w:rPr>
          <m:t>i</m:t>
        </m:r>
      </m:oMath>
      <w:r>
        <w:t xml:space="preserve"> to the CLS query in head </w:t>
      </w:r>
      <m:oMath>
        <m:r>
          <w:rPr>
            <w:rFonts w:ascii="Cambria Math" w:hAnsi="Cambria Math"/>
          </w:rPr>
          <m:t>h</m:t>
        </m:r>
      </m:oMath>
      <w:r>
        <w:t>. The signed attention-weighted token pattern and frozen-attention Value-context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9C0A33A" w14:textId="77777777">
        <w:trPr>
          <w:cantSplit/>
          <w:jc w:val="center"/>
        </w:trPr>
        <w:tc>
          <w:tcPr>
            <w:tcW w:w="518" w:type="dxa"/>
            <w:tcMar>
              <w:top w:w="0" w:type="dxa"/>
              <w:left w:w="0" w:type="dxa"/>
              <w:bottom w:w="0" w:type="dxa"/>
              <w:right w:w="0" w:type="dxa"/>
            </w:tcMar>
            <w:vAlign w:val="center"/>
          </w:tcPr>
          <w:p w14:paraId="216D1DB7"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7219BBD6"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6047F016" w14:textId="77777777" w:rsidR="004C250E" w:rsidRDefault="00000000">
            <w:pPr>
              <w:keepLines/>
              <w:spacing w:after="0" w:line="240" w:lineRule="auto"/>
              <w:jc w:val="center"/>
            </w:pPr>
            <m:oMathPara>
              <m:oMath>
                <m:r>
                  <w:rPr>
                    <w:rFonts w:ascii="Cambria Math" w:hAnsi="Cambria Math"/>
                  </w:rPr>
                  <m:t xml:space="preserve">Δ </m:t>
                </m:r>
                <m:sSubSup>
                  <m:sSubSupPr>
                    <m:ctrlPr>
                      <w:rPr>
                        <w:rFonts w:ascii="Cambria Math" w:hAnsi="Cambria Math"/>
                      </w:rPr>
                    </m:ctrlPr>
                  </m:sSubSupPr>
                  <m:e>
                    <m:r>
                      <w:rPr>
                        <w:rFonts w:ascii="Cambria Math" w:hAnsi="Cambria Math"/>
                      </w:rPr>
                      <m:t>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42D252D6" w14:textId="77777777" w:rsidR="004C250E" w:rsidRDefault="00000000">
            <w:pPr>
              <w:keepLines/>
              <w:spacing w:before="40" w:after="80" w:line="240" w:lineRule="auto"/>
              <w:jc w:val="right"/>
            </w:pPr>
            <w:r>
              <w:rPr>
                <w:sz w:val="18"/>
              </w:rPr>
              <w:t>(3)</w:t>
            </w:r>
          </w:p>
        </w:tc>
      </w:tr>
    </w:tbl>
    <w:p w14:paraId="0E42A67D" w14:textId="77777777" w:rsidR="004C250E" w:rsidRDefault="00000000" w:rsidP="00D003EF">
      <w:pPr>
        <w:spacing w:after="100" w:line="259" w:lineRule="auto"/>
        <w:jc w:val="both"/>
      </w:pPr>
      <w:r>
        <w:t xml:space="preserve">Here </w:t>
      </w:r>
      <m:oMath>
        <m:r>
          <w:rPr>
            <w:rFonts w:ascii="Cambria Math" w:hAnsi="Cambria Math"/>
          </w:rPr>
          <m:t xml:space="preserve">Δ </m:t>
        </m:r>
        <m:sSub>
          <m:sSubPr>
            <m:ctrlPr>
              <w:rPr>
                <w:rFonts w:ascii="Cambria Math" w:hAnsi="Cambria Math"/>
              </w:rPr>
            </m:ctrlPr>
          </m:sSubPr>
          <m:e>
            <m:r>
              <w:rPr>
                <w:rFonts w:ascii="Cambria Math" w:hAnsi="Cambria Math"/>
              </w:rPr>
              <m:t>v</m:t>
            </m:r>
          </m:e>
          <m:sub>
            <m:r>
              <w:rPr>
                <w:rFonts w:ascii="Cambria Math" w:hAnsi="Cambria Math"/>
              </w:rPr>
              <m:t>h,i</m:t>
            </m:r>
          </m:sub>
        </m:sSub>
      </m:oMath>
      <w:r>
        <w:t xml:space="preserve"> is the measured change in the post-normalization Value projection for patch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oMath>
      <w:r>
        <w:t xml:space="preserve"> summarizes how the token pattern aligns with clean attention weights; the second expression retains token-specific Value changes and gives the pre-output-projection head context audited in code. This equation describes the CLS-attention branch; DINOv2’s classifier readout also includes mean normalized patch features, so (3) does not represent every component of its readout. With attention frozen, coherent signed contributions can accumulate, whereas varying signs can partially cancel. This decomposition isolates frozen-attention Value-path transmission while leaving nonlinear attention rerouting and other paths outside its scope.</w:t>
      </w:r>
    </w:p>
    <w:p w14:paraId="2DF9C8A7" w14:textId="77777777" w:rsidR="004C250E" w:rsidRDefault="00000000">
      <w:pPr>
        <w:pStyle w:val="Heading2"/>
      </w:pPr>
      <w:r>
        <w:rPr>
          <w:rFonts w:ascii="Times New Roman" w:hAnsi="Times New Roman"/>
        </w:rPr>
        <w:t>5.3 End-to-End Functional Transmission</w:t>
      </w:r>
    </w:p>
    <w:p w14:paraId="62936DD5" w14:textId="77777777" w:rsidR="004C250E" w:rsidRDefault="00000000" w:rsidP="00D003EF">
      <w:pPr>
        <w:spacing w:after="100" w:line="259" w:lineRule="auto"/>
        <w:jc w:val="both"/>
      </w:pPr>
      <w:r>
        <w:rPr>
          <w:b/>
        </w:rPr>
        <w:t>Joint token–feature perturbation.</w:t>
      </w:r>
      <w:r>
        <w:t xml:space="preserve"> The effect of a patch-stream intervention depends on both its feature direction and how that direction is distributed across token positions. We represent the joint-stream probe at layer </w:t>
      </w:r>
      <m:oMath>
        <m:r>
          <m:rPr>
            <m:scr m:val="script"/>
          </m:rPr>
          <w:rPr>
            <w:rFonts w:ascii="Cambria Math" w:hAnsi="Cambria Math"/>
          </w:rPr>
          <m:t>l</m:t>
        </m:r>
      </m:oMath>
      <w:r>
        <w:t xml:space="preserve"> as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457C2AB" w14:textId="77777777">
        <w:trPr>
          <w:cantSplit/>
          <w:jc w:val="center"/>
        </w:trPr>
        <w:tc>
          <w:tcPr>
            <w:tcW w:w="518" w:type="dxa"/>
            <w:tcMar>
              <w:top w:w="0" w:type="dxa"/>
              <w:left w:w="0" w:type="dxa"/>
              <w:bottom w:w="0" w:type="dxa"/>
              <w:right w:w="0" w:type="dxa"/>
            </w:tcMar>
            <w:vAlign w:val="center"/>
          </w:tcPr>
          <w:p w14:paraId="4CE962F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308573DF"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α=</m:t>
                </m:r>
                <m:sSub>
                  <m:sSubPr>
                    <m:ctrlPr>
                      <w:rPr>
                        <w:rFonts w:ascii="Cambria Math" w:hAnsi="Cambria Math"/>
                      </w:rPr>
                    </m:ctrlPr>
                  </m:sSubPr>
                  <m:e>
                    <m:r>
                      <w:rPr>
                        <w:rFonts w:ascii="Cambria Math" w:hAnsi="Cambria Math"/>
                      </w:rPr>
                      <m:t>sσ</m:t>
                    </m:r>
                  </m:e>
                  <m:sub>
                    <m:r>
                      <w:rPr>
                        <w:rFonts w:ascii="Cambria Math" w:hAnsi="Cambria Math"/>
                      </w:rPr>
                      <m:t>l</m:t>
                    </m:r>
                  </m:sub>
                </m:sSub>
                <m:r>
                  <w:rPr>
                    <w:rFonts w:ascii="Cambria Math" w:hAnsi="Cambria Math"/>
                  </w:rPr>
                  <m:t>≥0,</m:t>
                </m:r>
              </m:oMath>
            </m:oMathPara>
          </w:p>
          <w:p w14:paraId="0ABAEDF5" w14:textId="77777777" w:rsidR="004C250E" w:rsidRDefault="00000000">
            <w:pPr>
              <w:keepLines/>
              <w:spacing w:after="0" w:line="240" w:lineRule="auto"/>
              <w:jc w:val="center"/>
            </w:pPr>
            <m:oMathPara>
              <m:oMath>
                <m:r>
                  <w:rPr>
                    <w:rFonts w:ascii="Cambria Math" w:hAnsi="Cambria Math"/>
                  </w:rPr>
                  <m:t>‖</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40478F78" w14:textId="77777777" w:rsidR="004C250E" w:rsidRDefault="00000000">
            <w:pPr>
              <w:keepLines/>
              <w:spacing w:before="40" w:after="80" w:line="240" w:lineRule="auto"/>
              <w:jc w:val="right"/>
            </w:pPr>
            <w:r>
              <w:rPr>
                <w:sz w:val="18"/>
              </w:rPr>
              <w:t>(4)</w:t>
            </w:r>
          </w:p>
        </w:tc>
      </w:tr>
    </w:tbl>
    <w:p w14:paraId="05D3C5F5" w14:textId="77777777" w:rsidR="004C250E" w:rsidRDefault="00000000" w:rsidP="00D003EF">
      <w:pPr>
        <w:spacing w:after="100" w:line="259" w:lineRule="auto"/>
        <w:jc w:val="both"/>
      </w:pPr>
      <w:r>
        <w:t xml:space="preserve">Here </w:t>
      </w:r>
      <m:oMath>
        <m:r>
          <w:rPr>
            <w:rFonts w:ascii="Cambria Math" w:hAnsi="Cambria Math"/>
          </w:rPr>
          <m:t>a</m:t>
        </m:r>
      </m:oMath>
      <w:r>
        <w:t xml:space="preserve"> encodes the token-position pattern, </w:t>
      </w:r>
      <m:oMath>
        <m:r>
          <w:rPr>
            <w:rFonts w:ascii="Cambria Math" w:hAnsi="Cambria Math"/>
          </w:rPr>
          <m:t>v</m:t>
        </m:r>
      </m:oMath>
      <w:r>
        <w:t xml:space="preserve"> the feature-space direction, and </w:t>
      </w:r>
      <m:oMath>
        <m:r>
          <w:rPr>
            <w:rFonts w:ascii="Cambria Math" w:hAnsi="Cambria Math"/>
          </w:rPr>
          <m:t>s</m:t>
        </m:r>
      </m:oMath>
      <w:r>
        <w:t xml:space="preserve"> is a dimensionless scale. In this joint-stream protocol,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square root of the trace of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Σ</m:t>
            </m:r>
          </m:e>
          <m:sub>
            <m:r>
              <w:rPr>
                <w:rFonts w:ascii="Cambria Math" w:hAnsi="Cambria Math"/>
              </w:rPr>
              <m:t>l</m:t>
            </m:r>
          </m:sub>
        </m:sSub>
      </m:oMath>
      <w:r>
        <w:t xml:space="preserve"> is the sample covariance of all patch activations pooled across calibration images and spatial positions and centered by their pooled feature mean (with denominator </w:t>
      </w:r>
      <m:oMath>
        <m:sSub>
          <m:sSubPr>
            <m:ctrlPr>
              <w:rPr>
                <w:rFonts w:ascii="Cambria Math" w:hAnsi="Cambria Math"/>
              </w:rPr>
            </m:ctrlPr>
          </m:sSubPr>
          <m:e>
            <m:r>
              <w:rPr>
                <w:rFonts w:ascii="Cambria Math" w:hAnsi="Cambria Math"/>
              </w:rPr>
              <m:t>N</m:t>
            </m:r>
          </m:e>
          <m:sub>
            <m:r>
              <w:rPr>
                <w:rFonts w:ascii="Cambria Math" w:hAnsi="Cambria Math"/>
              </w:rPr>
              <m:t>{img}</m:t>
            </m:r>
          </m:sub>
        </m:sSub>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oMath>
      <w:r>
        <w:t xml:space="preserve">). Thus </w:t>
      </w:r>
      <m:oMath>
        <m:sSub>
          <m:sSubPr>
            <m:ctrlPr>
              <w:rPr>
                <w:rFonts w:ascii="Cambria Math" w:hAnsi="Cambria Math"/>
              </w:rPr>
            </m:ctrlPr>
          </m:sSubPr>
          <m:e>
            <m:r>
              <w:rPr>
                <w:rFonts w:ascii="Cambria Math" w:hAnsi="Cambria Math"/>
              </w:rPr>
              <m:t>sigma</m:t>
            </m:r>
          </m:e>
          <m:sub>
            <m:r>
              <m:rPr>
                <m:scr m:val="script"/>
              </m:rPr>
              <w:rPr>
                <w:rFonts w:ascii="Cambria Math" w:hAnsi="Cambria Math"/>
              </w:rPr>
              <m:t>l</m:t>
            </m:r>
          </m:sub>
        </m:sSub>
      </m:oMath>
      <w:r>
        <w:t xml:space="preserve"> is the square root of the summed feature variances, and </w:t>
      </w:r>
      <m:oMath>
        <m:r>
          <w:rPr>
            <w:rFonts w:ascii="Cambria Math" w:hAnsi="Cambria Math"/>
          </w:rPr>
          <m:t>α</m:t>
        </m:r>
      </m:oMath>
      <w:r>
        <w:t xml:space="preserve"> is the Frobenius norm of the injected perturbation. This scale is specific to the joint-stream experiment.</w:t>
      </w:r>
    </w:p>
    <w:p w14:paraId="285E0572" w14:textId="77777777" w:rsidR="004C250E" w:rsidRDefault="00000000" w:rsidP="00D003EF">
      <w:pPr>
        <w:spacing w:after="100" w:line="259" w:lineRule="auto"/>
        <w:jc w:val="both"/>
      </w:pPr>
      <w:r>
        <w:t xml:space="preserve">Sections 5.1 and 5.2 establish complementary feature-direction and token-coherence effects; Equation (4) combines these factors under a matched Frobenius perturbation norm. Figure 6 displays the mean per-image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change at </w:t>
      </w:r>
      <m:oMath>
        <m:r>
          <w:rPr>
            <w:rFonts w:ascii="Cambria Math" w:hAnsi="Cambria Math"/>
          </w:rPr>
          <m:t>s=1.0</m:t>
        </m:r>
      </m:oMath>
      <w:r>
        <w:t xml:space="preserve"> for DeiT-Small at Block 8 and ViT-B/16 AugReg at Block 7, with token patterns as rows and feature directions as columns. Supplementary Figure S14 extends the same 8-by-5 grid across the three tested depths for each architecture. The full grid contains 240 unique model–depth–pattern–direction conditions. DeiT-Tiny and DINOv2 have separate Block-8 replications and are not part of the six-panel depth grid.</w:t>
      </w:r>
    </w:p>
    <w:p w14:paraId="3A03BE28" w14:textId="2DF3A277" w:rsidR="004C250E" w:rsidRDefault="00000000" w:rsidP="00D003EF">
      <w:pPr>
        <w:spacing w:after="100" w:line="259" w:lineRule="auto"/>
        <w:jc w:val="both"/>
      </w:pPr>
      <w:r>
        <w:t xml:space="preserve">The </w:t>
      </w:r>
      <w:r>
        <w:t>jac_top</w:t>
      </w:r>
      <w:r>
        <w:t xml:space="preserve"> and </w:t>
      </w:r>
      <w:r>
        <w:t>jac_null</w:t>
      </w:r>
      <w:r>
        <w:t xml:space="preserve"> directions are selected using the joint-stream protocol’s mean per-image patch-margin-gradient second-moment matrix. They are protocol-specific local feature directions: this estimate is distinct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reported in Section 5.1 and is not the end-to-end readout Jacobian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in Equation (5). Heatmap color instead encodes the mean Euclidean change in the complete final-logit vector. The same </w:t>
      </w:r>
      <m:oMath>
        <m:r>
          <w:rPr>
            <w:rFonts w:ascii="Cambria Math" w:hAnsi="Cambria Math"/>
          </w:rPr>
          <m:t>N=100</m:t>
        </m:r>
      </m:oMath>
      <w:r>
        <w:t xml:space="preserve"> calibration images are used to estimate the directions and score outcomes, </w:t>
      </w:r>
      <w:r w:rsidR="0079720F" w:rsidRPr="0079720F">
        <w:t>yielding descriptive within-cohort estimates of the pattern–direction response.</w:t>
      </w:r>
      <w:r>
        <w:t xml:space="preserve"> Responses vary across both pattern and direction, but the full direction-by-pattern regression is saturated and has no residual degrees of freedom; it therefore supports no inferential significance claim.</w:t>
      </w:r>
    </w:p>
    <w:p w14:paraId="3CA2D2E8" w14:textId="77777777" w:rsidR="004C250E" w:rsidRDefault="00000000">
      <w:pPr>
        <w:keepNext/>
        <w:keepLines/>
        <w:spacing w:after="20"/>
        <w:jc w:val="center"/>
      </w:pPr>
      <w:r>
        <w:rPr>
          <w:noProof/>
        </w:rPr>
        <w:drawing>
          <wp:inline distT="0" distB="0" distL="0" distR="0" wp14:anchorId="1D8C6E47" wp14:editId="2F6F640C">
            <wp:extent cx="6172200" cy="3205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joint_stream_geometry.png"/>
                    <pic:cNvPicPr/>
                  </pic:nvPicPr>
                  <pic:blipFill>
                    <a:blip r:embed="rId11"/>
                    <a:stretch>
                      <a:fillRect/>
                    </a:stretch>
                  </pic:blipFill>
                  <pic:spPr>
                    <a:xfrm>
                      <a:off x="0" y="0"/>
                      <a:ext cx="6172200" cy="3205234"/>
                    </a:xfrm>
                    <a:prstGeom prst="rect">
                      <a:avLst/>
                    </a:prstGeom>
                  </pic:spPr>
                </pic:pic>
              </a:graphicData>
            </a:graphic>
          </wp:inline>
        </w:drawing>
      </w:r>
    </w:p>
    <w:p w14:paraId="6526461B" w14:textId="77777777" w:rsidR="004F4849" w:rsidRPr="004F4849" w:rsidRDefault="00000000" w:rsidP="004F4849">
      <w:pPr>
        <w:keepLines/>
        <w:spacing w:after="80"/>
        <w:jc w:val="both"/>
        <w:rPr>
          <w:iCs/>
          <w:color w:val="auto"/>
          <w:sz w:val="18"/>
          <w:szCs w:val="18"/>
        </w:rPr>
      </w:pPr>
      <w:r w:rsidRPr="00D003EF">
        <w:rPr>
          <w:b/>
          <w:bCs/>
          <w:iCs/>
          <w:color w:val="auto"/>
          <w:sz w:val="18"/>
          <w:szCs w:val="18"/>
        </w:rPr>
        <w:t>Figure 6.</w:t>
      </w:r>
      <w:r w:rsidRPr="00D003EF">
        <w:rPr>
          <w:iCs/>
          <w:color w:val="auto"/>
          <w:sz w:val="18"/>
          <w:szCs w:val="18"/>
        </w:rPr>
        <w:t xml:space="preserve"> </w:t>
      </w:r>
      <w:r w:rsidR="004F4849" w:rsidRPr="004F4849">
        <w:rPr>
          <w:iCs/>
          <w:color w:val="auto"/>
          <w:sz w:val="18"/>
          <w:szCs w:val="18"/>
        </w:rPr>
        <w:t>Joint token–feature sensitivity to patch perturbations. Mean final-logit L₂ change across token perturbation patterns (rows) and feature-space directions (columns) at perturbation scale s = 1.0. (a) DeiT-Small, Block 8; (b) ViT-B/16 AugReg, Block 7. Both heatmaps share a logarithmic color scale. Directions and responses are evaluated using the same 100-image calibration cohort per model, yielding descriptive within-cohort results.</w:t>
      </w:r>
    </w:p>
    <w:p w14:paraId="022A9BA9" w14:textId="77777777" w:rsidR="00D003EF" w:rsidRPr="00D003EF" w:rsidRDefault="00D003EF" w:rsidP="00D003EF">
      <w:pPr>
        <w:keepLines/>
        <w:spacing w:after="80"/>
        <w:jc w:val="both"/>
        <w:rPr>
          <w:iCs/>
          <w:color w:val="auto"/>
          <w:sz w:val="22"/>
          <w:szCs w:val="24"/>
        </w:rPr>
      </w:pPr>
    </w:p>
    <w:p w14:paraId="0BACFF32" w14:textId="77777777" w:rsidR="004C250E" w:rsidRDefault="00000000" w:rsidP="00D003EF">
      <w:pPr>
        <w:spacing w:after="100" w:line="259" w:lineRule="auto"/>
        <w:jc w:val="both"/>
      </w:pPr>
      <w:r>
        <w:rPr>
          <w:b/>
        </w:rPr>
        <w:t>End-to-end transmission operator.</w:t>
      </w:r>
      <w:r>
        <w:t xml:space="preserve"> To describe propagation through the remaining blocks, let </w:t>
      </w:r>
      <m:oMath>
        <m:r>
          <w:rPr>
            <w:rFonts w:ascii="Cambria Math" w:hAnsi="Cambria Math"/>
          </w:rPr>
          <m:t>u</m:t>
        </m:r>
      </m:oMath>
      <w:r>
        <w:t xml:space="preserve"> denote the pre-classifier readout vector. We define the clean-state Jacobian from all spatial patch activations at layer </w:t>
      </w:r>
      <m:oMath>
        <m:r>
          <m:rPr>
            <m:scr m:val="script"/>
          </m:rPr>
          <w:rPr>
            <w:rFonts w:ascii="Cambria Math" w:hAnsi="Cambria Math"/>
          </w:rPr>
          <m:t>l</m:t>
        </m:r>
      </m:oMath>
      <w:r>
        <w:t xml:space="preserve"> to </w:t>
      </w:r>
      <m:oMath>
        <m:r>
          <w:rPr>
            <w:rFonts w:ascii="Cambria Math" w:hAnsi="Cambria Math"/>
          </w:rPr>
          <m:t>u</m:t>
        </m:r>
      </m:oMath>
      <w:r>
        <w:t xml:space="preserve"> by</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200D62F7" w14:textId="77777777">
        <w:trPr>
          <w:cantSplit/>
          <w:jc w:val="center"/>
        </w:trPr>
        <w:tc>
          <w:tcPr>
            <w:tcW w:w="518" w:type="dxa"/>
            <w:tcMar>
              <w:top w:w="0" w:type="dxa"/>
              <w:left w:w="0" w:type="dxa"/>
              <w:bottom w:w="0" w:type="dxa"/>
              <w:right w:w="0" w:type="dxa"/>
            </w:tcMar>
            <w:vAlign w:val="center"/>
          </w:tcPr>
          <w:p w14:paraId="06C6DC70"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6035BCE"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∂rvec</m:t>
                    </m:r>
                    <m:d>
                      <m:dPr>
                        <m:ctrlPr>
                          <w:rPr>
                            <w:rFonts w:ascii="Cambria Math" w:hAnsi="Cambria Math"/>
                            <w:i/>
                          </w:rPr>
                        </m:ctrlPr>
                      </m:dPr>
                      <m:e>
                        <m:sSub>
                          <m:sSubPr>
                            <m:ctrlPr>
                              <w:rPr>
                                <w:rFonts w:ascii="Cambria Math" w:hAnsi="Cambria Math"/>
                              </w:rPr>
                            </m:ctrlPr>
                          </m:sSubPr>
                          <m:e>
                            <m:r>
                              <w:rPr>
                                <w:rFonts w:ascii="Cambria Math" w:hAnsi="Cambria Math"/>
                              </w:rPr>
                              <m:t>P</m:t>
                            </m:r>
                          </m:e>
                          <m:sub>
                            <m:r>
                              <w:rPr>
                                <w:rFonts w:ascii="Cambria Math" w:hAnsi="Cambria Math"/>
                              </w:rPr>
                              <m:t>l</m:t>
                            </m:r>
                          </m:sub>
                        </m:sSub>
                      </m:e>
                    </m:d>
                  </m:den>
                </m:f>
                <m:r>
                  <w:rPr>
                    <w:rFonts w:ascii="Cambria Math" w:hAnsi="Cambria Math"/>
                  </w:rPr>
                  <m:t xml:space="preserve"> ∈ </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d>
                  <m:dPr>
                    <m:ctrlPr>
                      <w:rPr>
                        <w:rFonts w:ascii="Cambria Math" w:hAnsi="Cambria Math"/>
                        <w:i/>
                      </w:rPr>
                    </m:ctrlPr>
                  </m:dPr>
                  <m:e>
                    <m:sSub>
                      <m:sSubPr>
                        <m:ctrlPr>
                          <w:rPr>
                            <w:rFonts w:ascii="Cambria Math" w:hAnsi="Cambria Math"/>
                          </w:rPr>
                        </m:ctrlPr>
                      </m:sSubPr>
                      <m:e>
                        <m:r>
                          <w:rPr>
                            <w:rFonts w:ascii="Cambria Math" w:hAnsi="Cambria Math"/>
                          </w:rPr>
                          <m:t>ΔP</m:t>
                        </m:r>
                      </m:e>
                      <m:sub>
                        <m:r>
                          <w:rPr>
                            <w:rFonts w:ascii="Cambria Math" w:hAnsi="Cambria Math"/>
                          </w:rPr>
                          <m:t>l</m:t>
                        </m:r>
                      </m:sub>
                    </m:sSub>
                  </m:e>
                </m:d>
                <m:r>
                  <w:rPr>
                    <w:rFonts w:ascii="Cambria Math" w:hAnsi="Cambria Math"/>
                  </w:rPr>
                  <m:t>,</m:t>
                </m:r>
              </m:oMath>
            </m:oMathPara>
          </w:p>
          <w:p w14:paraId="19E59A45" w14:textId="77777777" w:rsidR="004C250E"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185C17E5" w14:textId="77777777" w:rsidR="004C250E" w:rsidRDefault="00000000">
            <w:pPr>
              <w:keepLines/>
              <w:spacing w:before="40" w:after="80" w:line="240" w:lineRule="auto"/>
              <w:jc w:val="right"/>
            </w:pPr>
            <w:r>
              <w:rPr>
                <w:sz w:val="18"/>
              </w:rPr>
              <w:t>(5)</w:t>
            </w:r>
          </w:p>
        </w:tc>
      </w:tr>
    </w:tbl>
    <w:p w14:paraId="3C9A6F1A" w14:textId="77777777" w:rsidR="004C250E" w:rsidRDefault="00000000" w:rsidP="00D003EF">
      <w:pPr>
        <w:spacing w:after="100" w:line="259" w:lineRule="auto"/>
        <w:jc w:val="both"/>
      </w:pPr>
      <w:r>
        <w:t xml:space="preserve">For an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D</m:t>
        </m:r>
      </m:oMath>
      <w:r>
        <w:t xml:space="preserve"> patch matrix, </w:t>
      </w:r>
      <m:oMath>
        <m:r>
          <w:rPr>
            <w:rFonts w:ascii="Cambria Math" w:hAnsi="Cambria Math"/>
          </w:rPr>
          <m:t>{rvec}</m:t>
        </m:r>
      </m:oMath>
      <w:r>
        <w:t xml:space="preserve"> uses row-major order.  For DeiT-Tiny, DeiT-Small, and ViT-B/16 AugReg, </w:t>
      </w:r>
      <m:oMath>
        <m:r>
          <w:rPr>
            <w:rFonts w:ascii="Cambria Math" w:hAnsi="Cambria Math"/>
          </w:rPr>
          <m:t>u</m:t>
        </m:r>
      </m:oMath>
      <w:r>
        <w:t xml:space="preserve"> is the normalized CLS readout and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=D</m:t>
        </m:r>
      </m:oMath>
      <w:r>
        <w:t xml:space="preserve">; for DINOv2, </w:t>
      </w:r>
      <m:oMath>
        <m:r>
          <w:rPr>
            <w:rFonts w:ascii="Cambria Math" w:hAnsi="Cambria Math"/>
          </w:rPr>
          <m:t>u</m:t>
        </m:r>
      </m:oMath>
      <w:r>
        <w:t xml:space="preserve"> concatenates normalized CLS and mean normalized patch features, so </w:t>
      </w:r>
      <m:oMath>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=2D</m:t>
        </m:r>
      </m:oMath>
      <w:r>
        <w:t xml:space="preserve">. The Jacobian is defined through the pre-classifier readout, excluding the linear classification head; measured Top-1 and logit damage use the complete downstream model and classifier. The Jacobian is evaluated at the unperturbed activation, so its product is a local first-order readout prediction rather than an exact finite-perturbation identity. Unlike the feature-space margin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maps perturbations across all patch positions to a downstream readout.</w:t>
      </w:r>
    </w:p>
    <w:p w14:paraId="0BA51C54" w14:textId="2C153404" w:rsidR="004C250E" w:rsidRDefault="00000000" w:rsidP="00D003EF">
      <w:pPr>
        <w:spacing w:after="100" w:line="259" w:lineRule="auto"/>
        <w:jc w:val="both"/>
      </w:pPr>
      <w:r>
        <w:rPr>
          <w:b/>
        </w:rPr>
        <w:t>Predictive validation.</w:t>
      </w:r>
      <w:r>
        <w:t xml:space="preserve"> The four-model comparison evaluates 100 designed perturbation vectors per architecture, with 25 vectors from each of four families: end-to-end top modes, middle modes, end-to-end near-null modes, and isotropic Gaussian controls. Each vector is scored on the same fixed 20-image reference batch, and the perturbation vector—not an image or token—is the correlation unit. Here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is the clean-state, single-block attention/Value transmission map from the patch perturbation to the immediate readout, estimated over the reference images. We compare the measured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from the full downstream computation with predictions from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end-to-end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(Figure 7(a,b)). Across models, Pearson correlations are 0.753–0.883 for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and 0.946–0.975 for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Spearman correlations are 0.720–0.829 and 0.934–0.964, respectively (model-specific estimates and stratified-bootstrap intervals are in Supplementary Table S3). The bootstrap resamples perturbation vectors within each family. Within-family correlations can be weak or negative. Moreover, </w:t>
      </w:r>
      <m:oMath>
        <m:sSub>
          <m:sSubPr>
            <m:ctrlPr>
              <w:rPr>
                <w:rFonts w:ascii="Cambria Math" w:hAnsi="Cambria Math"/>
              </w:rPr>
            </m:ctrlPr>
          </m:sSubPr>
          <m:e>
            <m:r>
              <w:rPr>
                <w:rFonts w:ascii="Cambria Math" w:hAnsi="Cambria Math"/>
              </w:rPr>
              <m:t>A</m:t>
            </m:r>
          </m:e>
          <m:sub>
            <m:r>
              <w:rPr>
                <w:rFonts w:ascii="Cambria Math" w:hAnsi="Cambria Math"/>
              </w:rPr>
              <m:t>8</m:t>
            </m:r>
          </m:sub>
        </m:sSub>
      </m:oMath>
      <w:r>
        <w:t xml:space="preserve"> averages over the 20-image reference batch, whereas </w:t>
      </w:r>
      <m:oMath>
        <m:sSub>
          <m:sSubPr>
            <m:ctrlPr>
              <w:rPr>
                <w:rFonts w:ascii="Cambria Math" w:hAnsi="Cambria Math"/>
              </w:rPr>
            </m:ctrlPr>
          </m:sSubPr>
          <m:e>
            <m:r>
              <w:rPr>
                <w:rFonts w:ascii="Cambria Math" w:hAnsi="Cambria Math"/>
              </w:rPr>
              <m:t>J</m:t>
            </m:r>
          </m:e>
          <m:sub>
            <m:r>
              <w:rPr>
                <w:rFonts w:ascii="Cambria Math" w:hAnsi="Cambria Math"/>
              </w:rPr>
              <m:t>8→ L</m:t>
            </m:r>
          </m:sub>
        </m:sSub>
      </m:oMath>
      <w:r>
        <w:t xml:space="preserve"> is linearized at its first image. </w:t>
      </w:r>
      <w:r w:rsidR="0079720F" w:rsidRPr="0079720F">
        <w:t>For this prescribed perturbation mixture, the end-to-end Jacobian provides a stronger aggregate association with measured damage; broader generalization remains to be evaluated.</w:t>
      </w:r>
    </w:p>
    <w:p w14:paraId="583C7ADC" w14:textId="77777777" w:rsidR="004C250E" w:rsidRDefault="00000000" w:rsidP="00D003EF">
      <w:pPr>
        <w:spacing w:after="100" w:line="259" w:lineRule="auto"/>
        <w:jc w:val="both"/>
      </w:pPr>
      <w:r>
        <w:rPr>
          <w:b/>
        </w:rPr>
        <w:t>Directional transmission contrast.</w:t>
      </w:r>
      <w:r>
        <w:t xml:space="preserve"> A separate finite-radius comparison shows greater final-logit </w:t>
      </w:r>
      <m:oMath>
        <m:sSub>
          <m:sSubPr>
            <m:ctrlPr>
              <w:rPr>
                <w:rFonts w:ascii="Cambria Math" w:hAnsi="Cambria Math"/>
              </w:rPr>
            </m:ctrlPr>
          </m:sSubPr>
          <m:e>
            <m:r>
              <w:rPr>
                <w:rFonts w:ascii="Cambria Math" w:hAnsi="Cambria Math"/>
              </w:rPr>
              <m:t>L</m:t>
            </m:r>
          </m:e>
          <m:sub>
            <m:r>
              <w:rPr>
                <w:rFonts w:ascii="Cambria Math" w:hAnsi="Cambria Math"/>
              </w:rPr>
              <m:t>2</m:t>
            </m:r>
          </m:sub>
        </m:sSub>
      </m:oMath>
      <w:r>
        <w:t xml:space="preserve"> damage for the multi-block top mode than for the multi-block near-null mode at </w:t>
      </w:r>
      <m:oMath>
        <m:r>
          <w:rPr>
            <w:rFonts w:ascii="Cambria Math" w:hAnsi="Cambria Math"/>
          </w:rPr>
          <m:t>s=0.4</m:t>
        </m:r>
      </m:oMath>
      <w:r>
        <w:t>: the top-to-near-null damage ratios are 4.62 for DeiT-Tiny, 8.35 for DeiT-Small, 12.55 for ViT-B/16 AugReg, and 10.87 for DINOv2 (Figure 7(c)). These ratios compare two finite-radius outcomes and are distinct from the prediction correlations above. In the original DeiT-Small Block-8 analysis, the mean principal angle from Block 8 to Block 9 was 49.0°.</w:t>
      </w:r>
    </w:p>
    <w:p w14:paraId="23423A8B" w14:textId="77777777" w:rsidR="004C250E" w:rsidRDefault="00000000">
      <w:pPr>
        <w:keepNext/>
        <w:keepLines/>
        <w:spacing w:after="20"/>
        <w:jc w:val="center"/>
      </w:pPr>
      <w:r>
        <w:rPr>
          <w:noProof/>
        </w:rPr>
        <w:drawing>
          <wp:inline distT="0" distB="0" distL="0" distR="0" wp14:anchorId="5F5DFA6C" wp14:editId="335CE7D0">
            <wp:extent cx="6172200" cy="31248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end_to_end_operator.png"/>
                    <pic:cNvPicPr/>
                  </pic:nvPicPr>
                  <pic:blipFill>
                    <a:blip r:embed="rId12"/>
                    <a:stretch>
                      <a:fillRect/>
                    </a:stretch>
                  </pic:blipFill>
                  <pic:spPr>
                    <a:xfrm>
                      <a:off x="0" y="0"/>
                      <a:ext cx="6172200" cy="3124829"/>
                    </a:xfrm>
                    <a:prstGeom prst="rect">
                      <a:avLst/>
                    </a:prstGeom>
                  </pic:spPr>
                </pic:pic>
              </a:graphicData>
            </a:graphic>
          </wp:inline>
        </w:drawing>
      </w:r>
    </w:p>
    <w:p w14:paraId="38709B22" w14:textId="77777777" w:rsidR="004F4849" w:rsidRPr="004F4849" w:rsidRDefault="00000000" w:rsidP="004F4849">
      <w:pPr>
        <w:keepLines/>
        <w:spacing w:after="80"/>
        <w:jc w:val="both"/>
        <w:rPr>
          <w:iCs/>
          <w:color w:val="auto"/>
          <w:sz w:val="18"/>
          <w:szCs w:val="18"/>
        </w:rPr>
      </w:pPr>
      <w:r w:rsidRPr="00D003EF">
        <w:rPr>
          <w:b/>
          <w:bCs/>
          <w:iCs/>
          <w:color w:val="auto"/>
          <w:sz w:val="18"/>
          <w:szCs w:val="18"/>
        </w:rPr>
        <w:t>Figure 7.</w:t>
      </w:r>
      <w:r w:rsidRPr="00D003EF">
        <w:rPr>
          <w:iCs/>
          <w:color w:val="auto"/>
          <w:sz w:val="18"/>
          <w:szCs w:val="18"/>
        </w:rPr>
        <w:t xml:space="preserve"> </w:t>
      </w:r>
      <w:r w:rsidR="004F4849" w:rsidRPr="004F4849">
        <w:rPr>
          <w:iCs/>
          <w:color w:val="auto"/>
          <w:sz w:val="18"/>
          <w:szCs w:val="18"/>
        </w:rPr>
        <w:t>Local versus end-to-end functional transmission. (a,b) Pearson and Spearman correlations between predicted and measured final-logit L₂ damage for the single-block operator A₈ and end-to-end Jacobian J₈→L. Each model uses 100 designed perturbation vectors evaluated on a fixed 20-image reference batch; error bars indicate stratified-bootstrap 95% confidence intervals. (c) Ratio of final-logit damage along the multi-block top versus near-null mode at perturbation scale s = 0.4.</w:t>
      </w:r>
    </w:p>
    <w:p w14:paraId="3ECC9A32" w14:textId="52FC4144" w:rsidR="004C250E" w:rsidRDefault="004C250E" w:rsidP="00D003EF">
      <w:pPr>
        <w:keepLines/>
        <w:spacing w:after="80"/>
        <w:jc w:val="both"/>
        <w:rPr>
          <w:iCs/>
          <w:color w:val="auto"/>
          <w:sz w:val="18"/>
          <w:szCs w:val="18"/>
        </w:rPr>
      </w:pPr>
    </w:p>
    <w:p w14:paraId="0D86FE15" w14:textId="77777777" w:rsidR="00D003EF" w:rsidRPr="00D003EF" w:rsidRDefault="00D003EF" w:rsidP="00D003EF">
      <w:pPr>
        <w:keepLines/>
        <w:spacing w:after="80"/>
        <w:jc w:val="both"/>
        <w:rPr>
          <w:iCs/>
          <w:color w:val="auto"/>
          <w:sz w:val="18"/>
          <w:szCs w:val="18"/>
        </w:rPr>
      </w:pPr>
    </w:p>
    <w:p w14:paraId="4A4456BE" w14:textId="77777777" w:rsidR="004C250E" w:rsidRDefault="00000000" w:rsidP="00D003EF">
      <w:pPr>
        <w:spacing w:after="100" w:line="259" w:lineRule="auto"/>
        <w:jc w:val="both"/>
      </w:pPr>
      <w:r>
        <w:rPr>
          <w:b/>
        </w:rPr>
        <w:t>Mechanistic synthesis.</w:t>
      </w:r>
      <w:r>
        <w:t xml:space="preserve"> The three analyses measure complementary parts of the same pathway: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characterizes local feature-direction sensitivity, token-position coherence shapes attention-mediated accumulation or cancellation, and </w:t>
      </w:r>
      <m:oMath>
        <m:sSub>
          <m:sSubPr>
            <m:ctrlPr>
              <w:rPr>
                <w:rFonts w:ascii="Cambria Math" w:hAnsi="Cambria Math"/>
              </w:rPr>
            </m:ctrlPr>
          </m:sSubPr>
          <m:e>
            <m:r>
              <w:rPr>
                <w:rFonts w:ascii="Cambria Math" w:hAnsi="Cambria Math"/>
              </w:rPr>
              <m:t>J</m:t>
            </m:r>
          </m:e>
          <m:sub>
            <m:r>
              <m:rPr>
                <m:scr m:val="script"/>
              </m:rPr>
              <w:rPr>
                <w:rFonts w:ascii="Cambria Math" w:hAnsi="Cambria Math"/>
              </w:rPr>
              <m:t xml:space="preserve">l→ </m:t>
            </m:r>
            <m:r>
              <w:rPr>
                <w:rFonts w:ascii="Cambria Math" w:hAnsi="Cambria Math"/>
              </w:rPr>
              <m:t>L</m:t>
            </m:r>
          </m:sub>
        </m:sSub>
      </m:oMath>
      <w:r>
        <w:t xml:space="preserve"> captures downstream multi-block transmission to the pre-classifier readout. Together, they show that feature direction, token coherence, and downstream transmission jointly constrain perturbation damage in the tested settings, motivating the operator-aware compression analysis in Section 6.</w:t>
      </w:r>
    </w:p>
    <w:p w14:paraId="3AC0840D" w14:textId="77777777" w:rsidR="004C250E" w:rsidRDefault="00000000">
      <w:pPr>
        <w:pStyle w:val="Heading1"/>
      </w:pPr>
      <w:r>
        <w:rPr>
          <w:rFonts w:ascii="Times New Roman" w:hAnsi="Times New Roman"/>
        </w:rPr>
        <w:lastRenderedPageBreak/>
        <w:t>6. Operator-Aware Token Compression</w:t>
      </w:r>
    </w:p>
    <w:p w14:paraId="0696B613" w14:textId="77777777" w:rsidR="004C250E" w:rsidRDefault="00000000">
      <w:pPr>
        <w:pStyle w:val="Heading2"/>
      </w:pPr>
      <w:r>
        <w:rPr>
          <w:rFonts w:ascii="Times New Roman" w:hAnsi="Times New Roman"/>
        </w:rPr>
        <w:t>6.1 Carrier Grouping and Optimization</w:t>
      </w:r>
    </w:p>
    <w:p w14:paraId="5ED3B817" w14:textId="77777777" w:rsidR="004C250E" w:rsidRDefault="00000000" w:rsidP="00D003E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primary grouping is feature-similarity grouping on unit-normalized patch activations. A deterministic greedy farthest-point procedure starts with patch 0 as its first medoid, repeatedly adds the patch with the greatest cosine distance from its nearest selected medoid, and assigns every patch to its nearest medoid by cosine similarity. This produces S for the image and budget; Group Mean and Operator-Aware carriers use the same S in the controlled carrier comparison. Random and spatial groupings are controlled grouping ablations, not the primary strategy.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649636B" w14:textId="77777777" w:rsidTr="00A3332A">
        <w:trPr>
          <w:cantSplit/>
          <w:jc w:val="center"/>
        </w:trPr>
        <w:tc>
          <w:tcPr>
            <w:tcW w:w="518" w:type="dxa"/>
            <w:tcMar>
              <w:top w:w="0" w:type="dxa"/>
              <w:left w:w="0" w:type="dxa"/>
              <w:bottom w:w="0" w:type="dxa"/>
              <w:right w:w="0" w:type="dxa"/>
            </w:tcMar>
            <w:vAlign w:val="center"/>
          </w:tcPr>
          <w:p w14:paraId="7B4A253D" w14:textId="77777777" w:rsidR="004C250E" w:rsidRDefault="004C250E">
            <w:pPr>
              <w:keepLines/>
              <w:spacing w:before="40" w:after="80" w:line="240" w:lineRule="auto"/>
            </w:pPr>
          </w:p>
        </w:tc>
        <w:tc>
          <w:tcPr>
            <w:tcW w:w="8958" w:type="dxa"/>
            <w:tcMar>
              <w:top w:w="0" w:type="dxa"/>
              <w:left w:w="0" w:type="dxa"/>
              <w:bottom w:w="0" w:type="dxa"/>
              <w:right w:w="0" w:type="dxa"/>
            </w:tcMar>
            <w:vAlign w:val="center"/>
          </w:tcPr>
          <w:p w14:paraId="6683A206" w14:textId="77777777" w:rsidR="005D5368" w:rsidRPr="005D5368" w:rsidRDefault="00000000" w:rsidP="005D5368">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j</m:t>
                        </m:r>
                      </m:sub>
                    </m:sSub>
                  </m:e>
                </m:d>
                <m:r>
                  <w:rPr>
                    <w:rFonts w:ascii="Cambria Math" w:hAnsi="Cambria Math"/>
                  </w:rPr>
                  <m:t>.</m:t>
                </m:r>
              </m:oMath>
            </m:oMathPara>
          </w:p>
        </w:tc>
        <w:tc>
          <w:tcPr>
            <w:tcW w:w="518" w:type="dxa"/>
            <w:tcMar>
              <w:top w:w="0" w:type="dxa"/>
              <w:left w:w="0" w:type="dxa"/>
              <w:bottom w:w="0" w:type="dxa"/>
              <w:right w:w="0" w:type="dxa"/>
            </w:tcMar>
            <w:vAlign w:val="center"/>
          </w:tcPr>
          <w:p w14:paraId="62EBAC99" w14:textId="77777777" w:rsidR="004C250E" w:rsidRDefault="00000000">
            <w:pPr>
              <w:keepLines/>
              <w:spacing w:before="40" w:after="80" w:line="240" w:lineRule="auto"/>
              <w:jc w:val="right"/>
            </w:pPr>
            <w:r>
              <w:rPr>
                <w:sz w:val="18"/>
              </w:rPr>
              <w:t>(6)</w:t>
            </w:r>
          </w:p>
        </w:tc>
      </w:tr>
    </w:tbl>
    <w:p w14:paraId="4877C0AF" w14:textId="77777777" w:rsidR="00A3332A" w:rsidRPr="00A3332A" w:rsidRDefault="00A3332A" w:rsidP="00D003EF">
      <w:pPr>
        <w:spacing w:after="100" w:line="259" w:lineRule="auto"/>
        <w:jc w:val="both"/>
      </w:pPr>
      <w:r w:rsidRPr="00A3332A">
        <w:t xml:space="preserve">We define the reconstruction residual as (E(C)=P-SC), which depends on the carrier matrix (C). For the Group Mean baseline, let </w:t>
      </w:r>
      <w:r>
        <w:t>C</w:t>
      </w:r>
      <w:r w:rsidRPr="00A3332A">
        <w:rPr>
          <w:vertAlign w:val="subscript"/>
        </w:rPr>
        <w:t>mean</w:t>
      </w:r>
      <w:r w:rsidRPr="00A3332A">
        <w:t xml:space="preserve"> contain the group means in (6), giving </w:t>
      </w:r>
      <w:r>
        <w:t>E</w:t>
      </w:r>
      <w:r w:rsidRPr="00A3332A">
        <w:rPr>
          <w:vertAlign w:val="subscript"/>
        </w:rPr>
        <w:t>mean</w:t>
      </w:r>
      <w:r>
        <w:t>=</w:t>
      </w:r>
      <w:r w:rsidRPr="00A3332A">
        <w:t>P</w:t>
      </w:r>
      <w:r w:rsidR="007E599C">
        <w:t xml:space="preserve"> </w:t>
      </w:r>
      <w:r w:rsidRPr="00A3332A">
        <w:t>-</w:t>
      </w:r>
      <w:r w:rsidR="007E599C">
        <w:t xml:space="preserve"> </w:t>
      </w:r>
      <w:r w:rsidRPr="00A3332A">
        <w:t>SC</w:t>
      </w:r>
      <w:r w:rsidRPr="00A3332A">
        <w:rPr>
          <w:vertAlign w:val="subscript"/>
        </w:rPr>
        <w:t>mean</w:t>
      </w:r>
      <w:r>
        <w:t>.</w:t>
      </w:r>
    </w:p>
    <w:p w14:paraId="3527D7FC" w14:textId="77777777" w:rsidR="004C250E" w:rsidRDefault="00000000" w:rsidP="00D003EF">
      <w:pPr>
        <w:spacing w:after="100" w:line="259" w:lineRule="auto"/>
        <w:jc w:val="both"/>
      </w:pPr>
      <w:r>
        <w:rPr>
          <w:b/>
        </w:rPr>
        <w:t>Low-rank operator approximation.</w:t>
      </w:r>
      <w:r>
        <w:t xml:space="preserve"> The full-J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for a rank-r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327ADFBF" w14:textId="77777777">
        <w:trPr>
          <w:cantSplit/>
          <w:jc w:val="center"/>
        </w:trPr>
        <w:tc>
          <w:tcPr>
            <w:tcW w:w="518" w:type="dxa"/>
            <w:tcMar>
              <w:top w:w="0" w:type="dxa"/>
              <w:left w:w="0" w:type="dxa"/>
              <w:bottom w:w="0" w:type="dxa"/>
              <w:right w:w="0" w:type="dxa"/>
            </w:tcMar>
            <w:vAlign w:val="center"/>
          </w:tcPr>
          <w:p w14:paraId="5495B34A"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E0C086F"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d>
                      <m:dPr>
                        <m:ctrlPr>
                          <w:rPr>
                            <w:rFonts w:ascii="Cambria Math" w:hAnsi="Cambria Math"/>
                            <w:i/>
                          </w:rPr>
                        </m:ctrlPr>
                      </m:dPr>
                      <m:e>
                        <m:r>
                          <w:rPr>
                            <w:rFonts w:ascii="Cambria Math" w:hAnsi="Cambria Math"/>
                          </w:rPr>
                          <m:t>P-SC</m:t>
                        </m:r>
                      </m:e>
                    </m:d>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m:t>
                    </m:r>
                  </m:e>
                </m:d>
                <m:r>
                  <w:rPr>
                    <w:rFonts w:ascii="Cambria Math" w:hAnsi="Cambria Math"/>
                  </w:rPr>
                  <m:t>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7EAC4909" w14:textId="77777777" w:rsidR="004C250E" w:rsidRDefault="00000000">
            <w:pPr>
              <w:keepLines/>
              <w:spacing w:before="40" w:after="80" w:line="240" w:lineRule="auto"/>
              <w:jc w:val="right"/>
            </w:pPr>
            <w:r>
              <w:rPr>
                <w:sz w:val="18"/>
              </w:rPr>
              <w:t>(7)</w:t>
            </w:r>
          </w:p>
        </w:tc>
      </w:tr>
    </w:tbl>
    <w:p w14:paraId="2EE6776F" w14:textId="77777777" w:rsidR="004C250E" w:rsidRDefault="00000000" w:rsidP="00D003EF">
      <w:pPr>
        <w:spacing w:after="100" w:line="259" w:lineRule="auto"/>
        <w:jc w:val="both"/>
      </w:pPr>
      <w:r>
        <w:t xml:space="preserve">The first term penalizes the readout change predicted by the selected operator, while the second is a trace-scaled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for the full operator and r for a rank-r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D-column block for patch i. The solver constructs the readout-space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12853870" w14:textId="77777777">
        <w:trPr>
          <w:cantSplit/>
          <w:jc w:val="center"/>
        </w:trPr>
        <w:tc>
          <w:tcPr>
            <w:tcW w:w="518" w:type="dxa"/>
            <w:tcMar>
              <w:top w:w="0" w:type="dxa"/>
              <w:left w:w="0" w:type="dxa"/>
              <w:bottom w:w="0" w:type="dxa"/>
              <w:right w:w="0" w:type="dxa"/>
            </w:tcMar>
            <w:vAlign w:val="center"/>
          </w:tcPr>
          <w:p w14:paraId="5A80970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122E6F6A" w14:textId="77777777" w:rsidR="004C250E"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m:t>
                </m:r>
                <m:f>
                  <m:fPr>
                    <m:ctrlPr>
                      <w:rPr>
                        <w:rFonts w:ascii="Cambria Math" w:hAnsi="Cambria Math"/>
                        <w:i/>
                      </w:rPr>
                    </m:ctrlPr>
                  </m:fPr>
                  <m:num>
                    <m:r>
                      <w:rPr>
                        <w:rFonts w:ascii="Cambria Math" w:hAnsi="Cambria Math"/>
                      </w:rPr>
                      <m:t>tr</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e>
                    </m:d>
                  </m:num>
                  <m:den>
                    <m:sSub>
                      <m:sSubPr>
                        <m:ctrlPr>
                          <w:rPr>
                            <w:rFonts w:ascii="Cambria Math" w:hAnsi="Cambria Math"/>
                          </w:rPr>
                        </m:ctrlPr>
                      </m:sSubPr>
                      <m:e>
                        <m:r>
                          <w:rPr>
                            <w:rFonts w:ascii="Cambria Math" w:hAnsi="Cambria Math"/>
                          </w:rPr>
                          <m:t>d</m:t>
                        </m:r>
                      </m:e>
                      <m:sub>
                        <m:r>
                          <w:rPr>
                            <w:rFonts w:ascii="Cambria Math" w:hAnsi="Cambria Math"/>
                          </w:rPr>
                          <m:t>s</m:t>
                        </m:r>
                      </m:sub>
                    </m:sSub>
                  </m:den>
                </m:f>
                <m:r>
                  <w:rPr>
                    <w:rFonts w:ascii="Cambria Math" w:hAnsi="Cambria Math"/>
                  </w:rPr>
                  <m:t>.</m:t>
                </m:r>
              </m:oMath>
            </m:oMathPara>
          </w:p>
        </w:tc>
        <w:tc>
          <w:tcPr>
            <w:tcW w:w="518" w:type="dxa"/>
            <w:tcMar>
              <w:top w:w="0" w:type="dxa"/>
              <w:left w:w="0" w:type="dxa"/>
              <w:bottom w:w="0" w:type="dxa"/>
              <w:right w:w="0" w:type="dxa"/>
            </w:tcMar>
            <w:vAlign w:val="center"/>
          </w:tcPr>
          <w:p w14:paraId="1A74EBC2" w14:textId="77777777" w:rsidR="004C250E" w:rsidRDefault="00000000">
            <w:pPr>
              <w:keepLines/>
              <w:spacing w:before="40" w:after="80" w:line="240" w:lineRule="auto"/>
              <w:jc w:val="right"/>
            </w:pPr>
            <w:r>
              <w:rPr>
                <w:sz w:val="18"/>
              </w:rPr>
              <w:t>(8)</w:t>
            </w:r>
          </w:p>
        </w:tc>
      </w:tr>
    </w:tbl>
    <w:p w14:paraId="1BD2D4B1" w14:textId="77777777" w:rsidR="004C250E" w:rsidRDefault="00000000" w:rsidP="00D003E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positive-semidefinite Gram matrix of grouped Jacobian blocks in readout space, not a feature-activation covariance. It is distinct from the centered calibration-activation covariance that defines PCA directions. The confirmatory implementation used regularization factor 10. The archived repository does not contain a pilot sweep under this per-image Jacobian objective that supports an optimality claim for this value. The confirmatory protocol prohibited tuning on the evaluation split.</w:t>
      </w:r>
    </w:p>
    <w:p w14:paraId="02364007" w14:textId="77777777" w:rsidR="005B4464" w:rsidRDefault="00000000" w:rsidP="00D003EF">
      <w:pPr>
        <w:spacing w:after="100" w:line="259" w:lineRule="auto"/>
        <w:jc w:val="both"/>
      </w:pPr>
      <w:r>
        <w:t>A separate post-hoc sensitivity analysis on 200 class-randomized calibration images found that factor 10 attained or tied the highest Top-1 in five of eight architecture–budget cells and was within 0.5 percentage points of the maximum in the other three (Supplementary Section S15). The maximizing factor varied across cells, while smaller factors consistently lowered the linearized residual and increased carrier displacement; factor 10 reduced nonlinear logit damage relative to Group Mean in all eight cells. These results support factor 10 as a reasonable empirical tradeoff in this cohort, not as a demonstrated global optimum, and do not verify the historical timing or rationale for its selection. The per-image closed-form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02A67391" w14:textId="77777777">
        <w:trPr>
          <w:cantSplit/>
          <w:jc w:val="center"/>
        </w:trPr>
        <w:tc>
          <w:tcPr>
            <w:tcW w:w="518" w:type="dxa"/>
            <w:tcMar>
              <w:top w:w="0" w:type="dxa"/>
              <w:left w:w="0" w:type="dxa"/>
              <w:bottom w:w="0" w:type="dxa"/>
              <w:right w:w="0" w:type="dxa"/>
            </w:tcMar>
            <w:vAlign w:val="center"/>
          </w:tcPr>
          <w:p w14:paraId="76430915"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04C061D9" w14:textId="77777777" w:rsidR="004C250E" w:rsidRPr="00BA012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63766592" w14:textId="77777777" w:rsidR="00BA0128" w:rsidRDefault="00BA0128">
            <w:pPr>
              <w:keepLines/>
              <w:spacing w:after="0" w:line="240" w:lineRule="auto"/>
              <w:jc w:val="center"/>
            </w:pPr>
          </w:p>
          <w:p w14:paraId="50238487" w14:textId="77777777" w:rsidR="004C250E"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j</m:t>
                            </m:r>
                          </m:sub>
                        </m:sSub>
                      </m:den>
                    </m:f>
                  </m:e>
                </m:d>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e>
                    </m:d>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7DA01DDC" w14:textId="77777777" w:rsidR="004C250E" w:rsidRDefault="00000000">
            <w:pPr>
              <w:keepLines/>
              <w:spacing w:before="40" w:after="80" w:line="240" w:lineRule="auto"/>
              <w:jc w:val="right"/>
            </w:pPr>
            <w:r>
              <w:rPr>
                <w:sz w:val="18"/>
              </w:rPr>
              <w:t>(9)</w:t>
            </w:r>
          </w:p>
        </w:tc>
      </w:tr>
    </w:tbl>
    <w:p w14:paraId="46AC31DB" w14:textId="77777777" w:rsidR="004C250E" w:rsidRDefault="00000000" w:rsidP="00D003E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full-J solution is computed per image and is an offline oracle; low-rank solves are evaluated against the full J on the same confirmatory cohort.</w:t>
      </w:r>
    </w:p>
    <w:p w14:paraId="57017088" w14:textId="77777777" w:rsidR="004C250E" w:rsidRDefault="00000000" w:rsidP="00D003E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4C250E" w14:paraId="4C475C59" w14:textId="77777777">
        <w:trPr>
          <w:cantSplit/>
          <w:jc w:val="center"/>
        </w:trPr>
        <w:tc>
          <w:tcPr>
            <w:tcW w:w="518" w:type="dxa"/>
            <w:tcMar>
              <w:top w:w="0" w:type="dxa"/>
              <w:left w:w="0" w:type="dxa"/>
              <w:bottom w:w="0" w:type="dxa"/>
              <w:right w:w="0" w:type="dxa"/>
            </w:tcMar>
            <w:vAlign w:val="center"/>
          </w:tcPr>
          <w:p w14:paraId="6D46F74E" w14:textId="77777777" w:rsidR="004C250E" w:rsidRDefault="004C250E">
            <w:pPr>
              <w:keepLines/>
              <w:spacing w:before="40" w:after="80" w:line="240" w:lineRule="auto"/>
            </w:pPr>
          </w:p>
        </w:tc>
        <w:tc>
          <w:tcPr>
            <w:tcW w:w="8957" w:type="dxa"/>
            <w:tcMar>
              <w:top w:w="0" w:type="dxa"/>
              <w:left w:w="0" w:type="dxa"/>
              <w:bottom w:w="0" w:type="dxa"/>
              <w:right w:w="0" w:type="dxa"/>
            </w:tcMar>
            <w:vAlign w:val="center"/>
          </w:tcPr>
          <w:p w14:paraId="568A6CBC" w14:textId="77777777" w:rsidR="004C250E"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d>
                  <m:dPr>
                    <m:ctrlPr>
                      <w:rPr>
                        <w:rFonts w:ascii="Cambria Math" w:hAnsi="Cambria Math"/>
                        <w:i/>
                      </w:rPr>
                    </m:ctrlPr>
                  </m:dPr>
                  <m:e>
                    <m:f>
                      <m:fPr>
                        <m:ctrlPr>
                          <w:rPr>
                            <w:rFonts w:ascii="Cambria Math" w:hAnsi="Cambria Math"/>
                            <w:i/>
                          </w:rPr>
                        </m:ctrlPr>
                      </m:fPr>
                      <m:num>
                        <m:sSup>
                          <m:sSupPr>
                            <m:ctrlPr>
                              <w:rPr>
                                <w:rFonts w:ascii="Cambria Math" w:hAnsi="Cambria Math"/>
                              </w:rPr>
                            </m:ctrlPr>
                          </m:sSupPr>
                          <m:e>
                            <m:r>
                              <w:rPr>
                                <w:rFonts w:ascii="Cambria Math" w:hAnsi="Cambria Math"/>
                              </w:rPr>
                              <m:t>Q</m:t>
                            </m:r>
                          </m:e>
                          <m:sup>
                            <m:d>
                              <m:dPr>
                                <m:ctrlPr>
                                  <w:rPr>
                                    <w:rFonts w:ascii="Cambria Math" w:hAnsi="Cambria Math"/>
                                    <w:i/>
                                  </w:rPr>
                                </m:ctrlPr>
                              </m:dPr>
                              <m:e>
                                <m:r>
                                  <w:rPr>
                                    <w:rFonts w:ascii="Cambria Math" w:hAnsi="Cambria Math"/>
                                  </w:rPr>
                                  <m:t>h</m:t>
                                </m:r>
                              </m:e>
                            </m:d>
                          </m:sup>
                        </m:sSup>
                        <m:sSup>
                          <m:sSupPr>
                            <m:ctrlPr>
                              <w:rPr>
                                <w:rFonts w:ascii="Cambria Math" w:hAnsi="Cambria Math"/>
                              </w:rPr>
                            </m:ctrlPr>
                          </m:sSupPr>
                          <m:e>
                            <m:r>
                              <w:rPr>
                                <w:rFonts w:ascii="Cambria Math" w:hAnsi="Cambria Math"/>
                              </w:rPr>
                              <m:t>K</m:t>
                            </m:r>
                          </m:e>
                          <m:sup>
                            <m:d>
                              <m:dPr>
                                <m:ctrlPr>
                                  <w:rPr>
                                    <w:rFonts w:ascii="Cambria Math" w:hAnsi="Cambria Math"/>
                                    <w:i/>
                                  </w:rPr>
                                </m:ctrlPr>
                              </m:dPr>
                              <m:e>
                                <m:r>
                                  <w:rPr>
                                    <w:rFonts w:ascii="Cambria Math" w:hAnsi="Cambria Math"/>
                                  </w:rPr>
                                  <m:t>h</m:t>
                                </m:r>
                              </m:e>
                            </m:d>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r>
                                  <w:rPr>
                                    <w:rFonts w:ascii="Cambria Math" w:hAnsi="Cambria Math"/>
                                  </w:rPr>
                                  <m:t>s</m:t>
                                </m:r>
                              </m:e>
                            </m:func>
                          </m:e>
                        </m:d>
                      </m:e>
                      <m:sup>
                        <m:r>
                          <w:rPr>
                            <w:rFonts w:ascii="Cambria Math" w:hAnsi="Cambria Math"/>
                          </w:rPr>
                          <m:t>T</m:t>
                        </m:r>
                      </m:sup>
                    </m:sSup>
                  </m:e>
                </m:d>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177A5CD0" w14:textId="77777777" w:rsidR="004C250E" w:rsidRDefault="00000000">
            <w:pPr>
              <w:keepLines/>
              <w:spacing w:before="40" w:after="80" w:line="240" w:lineRule="auto"/>
              <w:jc w:val="right"/>
            </w:pPr>
            <w:r>
              <w:rPr>
                <w:sz w:val="18"/>
              </w:rPr>
              <w:t>(10)</w:t>
            </w:r>
          </w:p>
        </w:tc>
      </w:tr>
    </w:tbl>
    <w:p w14:paraId="68AE926E" w14:textId="77777777" w:rsidR="004C250E" w:rsidRDefault="00000000" w:rsidP="00D003EF">
      <w:pPr>
        <w:spacing w:after="100" w:line="259" w:lineRule="auto"/>
        <w:jc w:val="both"/>
      </w:pPr>
      <w:r>
        <w:lastRenderedPageBreak/>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log-size bias over query positions. This proportional-attention correction is used in Token Merging (ToMe) to account for merged-token size [13]. The implementation applies the same key bias in each compressed downstream attention block.</w:t>
      </w:r>
    </w:p>
    <w:p w14:paraId="0C346679" w14:textId="77777777" w:rsidR="004C250E" w:rsidRDefault="00000000">
      <w:pPr>
        <w:pStyle w:val="Heading2"/>
      </w:pPr>
      <w:r>
        <w:rPr>
          <w:rFonts w:ascii="Times New Roman" w:hAnsi="Times New Roman"/>
        </w:rPr>
        <w:t>6.2 Confirmatory Compression Results</w:t>
      </w:r>
    </w:p>
    <w:p w14:paraId="514BE1A2" w14:textId="03B82594" w:rsidR="004C250E" w:rsidRDefault="00000000" w:rsidP="00D003EF">
      <w:pPr>
        <w:spacing w:after="100" w:line="259" w:lineRule="auto"/>
        <w:jc w:val="both"/>
      </w:pPr>
      <w:r>
        <w:t>At each architecture’s most aggressive tested token budget, Table</w:t>
      </w:r>
      <w:r w:rsidR="006F053A">
        <w:t xml:space="preserve"> 4</w:t>
      </w:r>
      <w:r>
        <w:t xml:space="preserve"> compares the strongest of the tested conventional pruning baselines with Group Mean, ToMe, the per-image Full-J oracle, and rank-16 and rank-32 operator-aware variants. Operator-aware variants exceed the strongest pruning result by 4.2–12.0 percentage points in these rows. The margin is smaller against Group Mean and ToMe: Full-J ranges from 0.6 points below Group Mean for DeiT-Small to 1.3 points above it for DINOv2, and is 0.6 points below ToMe for DeiT-Small while exceeding it in the other three rows. The rank-restricted results also vary by architecture. </w:t>
      </w:r>
      <w:r w:rsidR="0079720F" w:rsidRPr="0079720F">
        <w:t>Performance relative to the stronger merging baselines varies by architecture and token budget.</w:t>
      </w:r>
      <w:r>
        <w:t xml:space="preserve"> Full-J requires an image-specific downstream Jacobian and is an offline oracle, not a practical inference method. The budgets differ by architecture (32 retained tokens for DeiT-Tiny, DeiT-Small, and ViT-B/16 AugReg; 42 for DINOv2 ViT-S/14), so rows are within-architecture comparisons rather than a matched token-count experiment. Figure 8 presents the full accuracy-token curves.</w:t>
      </w:r>
    </w:p>
    <w:p w14:paraId="671BEE19" w14:textId="4059A7F4" w:rsidR="004C250E" w:rsidRPr="006F053A" w:rsidRDefault="00000000" w:rsidP="00D003EF">
      <w:pPr>
        <w:spacing w:after="100" w:line="259" w:lineRule="auto"/>
        <w:jc w:val="both"/>
        <w:rPr>
          <w:b/>
          <w:bCs/>
        </w:rPr>
      </w:pPr>
      <w:r w:rsidRPr="006F053A">
        <w:rPr>
          <w:b/>
          <w:bCs/>
        </w:rPr>
        <w:t>T</w:t>
      </w:r>
      <w:r w:rsidR="006F053A" w:rsidRPr="006F053A">
        <w:rPr>
          <w:b/>
          <w:bCs/>
        </w:rPr>
        <w:t>able 4</w:t>
      </w:r>
    </w:p>
    <w:p w14:paraId="0FACDFE8" w14:textId="77777777" w:rsidR="004C250E" w:rsidRPr="00D003EF" w:rsidRDefault="00000000" w:rsidP="00D003EF">
      <w:pPr>
        <w:spacing w:after="100" w:line="259" w:lineRule="auto"/>
        <w:jc w:val="both"/>
        <w:rPr>
          <w:sz w:val="18"/>
          <w:szCs w:val="20"/>
        </w:rPr>
      </w:pPr>
      <w:r w:rsidRPr="00D003EF">
        <w:rPr>
          <w:sz w:val="18"/>
          <w:szCs w:val="20"/>
        </w:rPr>
        <w:t>Top-1 accuracy on N=1,000 held-out images per architecture. The pruning entry is the strongest among Random, Norm, and Attention Pruning at the listed budget; each budget is the lowest evaluated for its architecture.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4C250E" w14:paraId="4CE1C1B9" w14:textId="77777777" w:rsidTr="005D5368">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76167476" w14:textId="77777777" w:rsidR="004C250E" w:rsidRPr="005D5368" w:rsidRDefault="00000000">
            <w:pPr>
              <w:jc w:val="center"/>
              <w:rPr>
                <w:szCs w:val="32"/>
              </w:rPr>
            </w:pPr>
            <w:r w:rsidRPr="005D5368">
              <w:rPr>
                <w:b/>
                <w:color w:val="17232D"/>
                <w:szCs w:val="32"/>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67EC103" w14:textId="77777777" w:rsidR="004C250E" w:rsidRPr="005D5368" w:rsidRDefault="00000000">
            <w:pPr>
              <w:jc w:val="center"/>
              <w:rPr>
                <w:szCs w:val="32"/>
              </w:rPr>
            </w:pPr>
            <w:r w:rsidRPr="005D5368">
              <w:rPr>
                <w:b/>
                <w:color w:val="17232D"/>
                <w:szCs w:val="32"/>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7BF6A87" w14:textId="77777777" w:rsidR="004C250E" w:rsidRPr="005D5368" w:rsidRDefault="00000000">
            <w:pPr>
              <w:jc w:val="center"/>
              <w:rPr>
                <w:szCs w:val="32"/>
              </w:rPr>
            </w:pPr>
            <w:r w:rsidRPr="005D5368">
              <w:rPr>
                <w:b/>
                <w:color w:val="17232D"/>
                <w:szCs w:val="32"/>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6566A019" w14:textId="77777777" w:rsidR="004C250E" w:rsidRPr="005D5368" w:rsidRDefault="00000000">
            <w:pPr>
              <w:jc w:val="center"/>
              <w:rPr>
                <w:szCs w:val="32"/>
              </w:rPr>
            </w:pPr>
            <w:r w:rsidRPr="005D5368">
              <w:rPr>
                <w:b/>
                <w:color w:val="17232D"/>
                <w:szCs w:val="32"/>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D18BDDE" w14:textId="77777777" w:rsidR="004C250E" w:rsidRPr="005D5368" w:rsidRDefault="00000000">
            <w:pPr>
              <w:jc w:val="center"/>
              <w:rPr>
                <w:szCs w:val="32"/>
              </w:rPr>
            </w:pPr>
            <w:r w:rsidRPr="005D5368">
              <w:rPr>
                <w:b/>
                <w:color w:val="17232D"/>
                <w:szCs w:val="32"/>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2938BEDF" w14:textId="77777777" w:rsidR="004C250E" w:rsidRPr="005D5368" w:rsidRDefault="00000000">
            <w:pPr>
              <w:jc w:val="center"/>
              <w:rPr>
                <w:szCs w:val="32"/>
              </w:rPr>
            </w:pPr>
            <w:r w:rsidRPr="005D5368">
              <w:rPr>
                <w:b/>
                <w:color w:val="17232D"/>
                <w:szCs w:val="32"/>
              </w:rPr>
              <w:t>Full-J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00FF46F5" w14:textId="77777777" w:rsidR="004C250E" w:rsidRPr="005D5368" w:rsidRDefault="00000000">
            <w:pPr>
              <w:jc w:val="center"/>
              <w:rPr>
                <w:szCs w:val="32"/>
              </w:rPr>
            </w:pPr>
            <w:r w:rsidRPr="005D5368">
              <w:rPr>
                <w:b/>
                <w:color w:val="17232D"/>
                <w:szCs w:val="32"/>
              </w:rPr>
              <w:t>Rank-16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5C51E597" w14:textId="77777777" w:rsidR="004C250E" w:rsidRPr="005D5368" w:rsidRDefault="00000000">
            <w:pPr>
              <w:jc w:val="center"/>
              <w:rPr>
                <w:szCs w:val="32"/>
              </w:rPr>
            </w:pPr>
            <w:r w:rsidRPr="005D5368">
              <w:rPr>
                <w:b/>
                <w:color w:val="17232D"/>
                <w:szCs w:val="32"/>
              </w:rPr>
              <w:t>Rank-32</w:t>
            </w:r>
          </w:p>
        </w:tc>
      </w:tr>
      <w:tr w:rsidR="004C250E" w14:paraId="3C590594" w14:textId="77777777" w:rsidTr="005D5368">
        <w:tc>
          <w:tcPr>
            <w:tcW w:w="1249" w:type="dxa"/>
            <w:tcBorders>
              <w:top w:val="single" w:sz="4" w:space="0" w:color="auto"/>
            </w:tcBorders>
            <w:tcMar>
              <w:top w:w="55" w:type="dxa"/>
              <w:left w:w="65" w:type="dxa"/>
              <w:bottom w:w="55" w:type="dxa"/>
              <w:right w:w="65" w:type="dxa"/>
            </w:tcMar>
            <w:vAlign w:val="center"/>
          </w:tcPr>
          <w:p w14:paraId="0BD1C2C8" w14:textId="77777777" w:rsidR="004C250E" w:rsidRPr="005D5368" w:rsidRDefault="00000000">
            <w:pPr>
              <w:rPr>
                <w:szCs w:val="32"/>
              </w:rPr>
            </w:pPr>
            <w:r w:rsidRPr="005D5368">
              <w:rPr>
                <w:szCs w:val="32"/>
              </w:rPr>
              <w:t>DeiT-Tiny</w:t>
            </w:r>
          </w:p>
        </w:tc>
        <w:tc>
          <w:tcPr>
            <w:tcW w:w="1249" w:type="dxa"/>
            <w:tcBorders>
              <w:top w:val="single" w:sz="4" w:space="0" w:color="auto"/>
            </w:tcBorders>
            <w:tcMar>
              <w:top w:w="55" w:type="dxa"/>
              <w:left w:w="65" w:type="dxa"/>
              <w:bottom w:w="55" w:type="dxa"/>
              <w:right w:w="65" w:type="dxa"/>
            </w:tcMar>
            <w:vAlign w:val="center"/>
          </w:tcPr>
          <w:p w14:paraId="092A2DB4" w14:textId="77777777" w:rsidR="004C250E" w:rsidRPr="005D5368" w:rsidRDefault="00000000">
            <w:pPr>
              <w:jc w:val="center"/>
              <w:rPr>
                <w:szCs w:val="32"/>
              </w:rPr>
            </w:pPr>
            <w:r w:rsidRPr="005D5368">
              <w:rPr>
                <w:szCs w:val="32"/>
              </w:rPr>
              <w:t>32</w:t>
            </w:r>
          </w:p>
        </w:tc>
        <w:tc>
          <w:tcPr>
            <w:tcW w:w="1249" w:type="dxa"/>
            <w:tcBorders>
              <w:top w:val="single" w:sz="4" w:space="0" w:color="auto"/>
            </w:tcBorders>
            <w:tcMar>
              <w:top w:w="55" w:type="dxa"/>
              <w:left w:w="65" w:type="dxa"/>
              <w:bottom w:w="55" w:type="dxa"/>
              <w:right w:w="65" w:type="dxa"/>
            </w:tcMar>
            <w:vAlign w:val="center"/>
          </w:tcPr>
          <w:p w14:paraId="32280AF6" w14:textId="77777777" w:rsidR="004C250E" w:rsidRPr="005D5368" w:rsidRDefault="00000000">
            <w:pPr>
              <w:jc w:val="center"/>
              <w:rPr>
                <w:szCs w:val="32"/>
              </w:rPr>
            </w:pPr>
            <w:r w:rsidRPr="005D5368">
              <w:rPr>
                <w:szCs w:val="32"/>
              </w:rPr>
              <w:t>Random, 58.6%</w:t>
            </w:r>
          </w:p>
        </w:tc>
        <w:tc>
          <w:tcPr>
            <w:tcW w:w="1249" w:type="dxa"/>
            <w:tcBorders>
              <w:top w:val="single" w:sz="4" w:space="0" w:color="auto"/>
            </w:tcBorders>
            <w:tcMar>
              <w:top w:w="55" w:type="dxa"/>
              <w:left w:w="65" w:type="dxa"/>
              <w:bottom w:w="55" w:type="dxa"/>
              <w:right w:w="65" w:type="dxa"/>
            </w:tcMar>
            <w:vAlign w:val="center"/>
          </w:tcPr>
          <w:p w14:paraId="45395E87" w14:textId="77777777" w:rsidR="004C250E" w:rsidRPr="005D5368" w:rsidRDefault="00000000">
            <w:pPr>
              <w:jc w:val="center"/>
              <w:rPr>
                <w:szCs w:val="32"/>
              </w:rPr>
            </w:pPr>
            <w:r w:rsidRPr="005D5368">
              <w:rPr>
                <w:szCs w:val="32"/>
              </w:rPr>
              <w:t>66.5%</w:t>
            </w:r>
          </w:p>
        </w:tc>
        <w:tc>
          <w:tcPr>
            <w:tcW w:w="1249" w:type="dxa"/>
            <w:tcBorders>
              <w:top w:val="single" w:sz="4" w:space="0" w:color="auto"/>
            </w:tcBorders>
            <w:tcMar>
              <w:top w:w="55" w:type="dxa"/>
              <w:left w:w="65" w:type="dxa"/>
              <w:bottom w:w="55" w:type="dxa"/>
              <w:right w:w="65" w:type="dxa"/>
            </w:tcMar>
            <w:vAlign w:val="center"/>
          </w:tcPr>
          <w:p w14:paraId="44EC2EBE" w14:textId="77777777" w:rsidR="004C250E" w:rsidRPr="005D5368" w:rsidRDefault="00000000">
            <w:pPr>
              <w:jc w:val="center"/>
              <w:rPr>
                <w:szCs w:val="32"/>
              </w:rPr>
            </w:pPr>
            <w:r w:rsidRPr="005D5368">
              <w:rPr>
                <w:szCs w:val="32"/>
              </w:rPr>
              <w:t>65.8%</w:t>
            </w:r>
          </w:p>
        </w:tc>
        <w:tc>
          <w:tcPr>
            <w:tcW w:w="1249" w:type="dxa"/>
            <w:tcBorders>
              <w:top w:val="single" w:sz="4" w:space="0" w:color="auto"/>
            </w:tcBorders>
            <w:tcMar>
              <w:top w:w="55" w:type="dxa"/>
              <w:left w:w="65" w:type="dxa"/>
              <w:bottom w:w="55" w:type="dxa"/>
              <w:right w:w="65" w:type="dxa"/>
            </w:tcMar>
            <w:vAlign w:val="center"/>
          </w:tcPr>
          <w:p w14:paraId="33CA16BA"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6AD6A008" w14:textId="77777777" w:rsidR="004C250E" w:rsidRPr="005D5368" w:rsidRDefault="00000000">
            <w:pPr>
              <w:jc w:val="center"/>
              <w:rPr>
                <w:szCs w:val="32"/>
              </w:rPr>
            </w:pPr>
            <w:r w:rsidRPr="005D5368">
              <w:rPr>
                <w:szCs w:val="32"/>
              </w:rPr>
              <w:t>67.1%</w:t>
            </w:r>
          </w:p>
        </w:tc>
        <w:tc>
          <w:tcPr>
            <w:tcW w:w="1249" w:type="dxa"/>
            <w:tcBorders>
              <w:top w:val="single" w:sz="4" w:space="0" w:color="auto"/>
            </w:tcBorders>
            <w:tcMar>
              <w:top w:w="55" w:type="dxa"/>
              <w:left w:w="65" w:type="dxa"/>
              <w:bottom w:w="55" w:type="dxa"/>
              <w:right w:w="65" w:type="dxa"/>
            </w:tcMar>
            <w:vAlign w:val="center"/>
          </w:tcPr>
          <w:p w14:paraId="46C6312A" w14:textId="77777777" w:rsidR="004C250E" w:rsidRPr="005D5368" w:rsidRDefault="00000000">
            <w:pPr>
              <w:jc w:val="center"/>
              <w:rPr>
                <w:szCs w:val="32"/>
              </w:rPr>
            </w:pPr>
            <w:r w:rsidRPr="005D5368">
              <w:rPr>
                <w:szCs w:val="32"/>
              </w:rPr>
              <w:t>67.9%</w:t>
            </w:r>
          </w:p>
        </w:tc>
      </w:tr>
      <w:tr w:rsidR="004C250E" w14:paraId="59A07861" w14:textId="77777777" w:rsidTr="005D5368">
        <w:tc>
          <w:tcPr>
            <w:tcW w:w="1249" w:type="dxa"/>
            <w:tcMar>
              <w:top w:w="55" w:type="dxa"/>
              <w:left w:w="65" w:type="dxa"/>
              <w:bottom w:w="55" w:type="dxa"/>
              <w:right w:w="65" w:type="dxa"/>
            </w:tcMar>
            <w:vAlign w:val="center"/>
          </w:tcPr>
          <w:p w14:paraId="3E37D921" w14:textId="77777777" w:rsidR="004C250E" w:rsidRPr="005D5368" w:rsidRDefault="00000000">
            <w:pPr>
              <w:rPr>
                <w:szCs w:val="32"/>
              </w:rPr>
            </w:pPr>
            <w:r w:rsidRPr="005D5368">
              <w:rPr>
                <w:szCs w:val="32"/>
              </w:rPr>
              <w:t>DeiT-Small</w:t>
            </w:r>
          </w:p>
        </w:tc>
        <w:tc>
          <w:tcPr>
            <w:tcW w:w="1249" w:type="dxa"/>
            <w:tcMar>
              <w:top w:w="55" w:type="dxa"/>
              <w:left w:w="65" w:type="dxa"/>
              <w:bottom w:w="55" w:type="dxa"/>
              <w:right w:w="65" w:type="dxa"/>
            </w:tcMar>
            <w:vAlign w:val="center"/>
          </w:tcPr>
          <w:p w14:paraId="7F91A312"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1129F2D0" w14:textId="77777777" w:rsidR="004C250E" w:rsidRPr="005D5368" w:rsidRDefault="00000000">
            <w:pPr>
              <w:jc w:val="center"/>
              <w:rPr>
                <w:szCs w:val="32"/>
              </w:rPr>
            </w:pPr>
            <w:r w:rsidRPr="005D5368">
              <w:rPr>
                <w:szCs w:val="32"/>
              </w:rPr>
              <w:t>Attention, 71.6%</w:t>
            </w:r>
          </w:p>
        </w:tc>
        <w:tc>
          <w:tcPr>
            <w:tcW w:w="1249" w:type="dxa"/>
            <w:tcMar>
              <w:top w:w="55" w:type="dxa"/>
              <w:left w:w="65" w:type="dxa"/>
              <w:bottom w:w="55" w:type="dxa"/>
              <w:right w:w="65" w:type="dxa"/>
            </w:tcMar>
            <w:vAlign w:val="center"/>
          </w:tcPr>
          <w:p w14:paraId="1154C00D"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7B5865D2" w14:textId="77777777" w:rsidR="004C250E" w:rsidRPr="005D5368" w:rsidRDefault="00000000">
            <w:pPr>
              <w:jc w:val="center"/>
              <w:rPr>
                <w:szCs w:val="32"/>
              </w:rPr>
            </w:pPr>
            <w:r w:rsidRPr="005D5368">
              <w:rPr>
                <w:szCs w:val="32"/>
              </w:rPr>
              <w:t>76.4%</w:t>
            </w:r>
          </w:p>
        </w:tc>
        <w:tc>
          <w:tcPr>
            <w:tcW w:w="1249" w:type="dxa"/>
            <w:tcMar>
              <w:top w:w="55" w:type="dxa"/>
              <w:left w:w="65" w:type="dxa"/>
              <w:bottom w:w="55" w:type="dxa"/>
              <w:right w:w="65" w:type="dxa"/>
            </w:tcMar>
            <w:vAlign w:val="center"/>
          </w:tcPr>
          <w:p w14:paraId="094724D9" w14:textId="77777777" w:rsidR="004C250E" w:rsidRPr="005D5368" w:rsidRDefault="00000000">
            <w:pPr>
              <w:jc w:val="center"/>
              <w:rPr>
                <w:szCs w:val="32"/>
              </w:rPr>
            </w:pPr>
            <w:r w:rsidRPr="005D5368">
              <w:rPr>
                <w:szCs w:val="32"/>
              </w:rPr>
              <w:t>75.8%</w:t>
            </w:r>
          </w:p>
        </w:tc>
        <w:tc>
          <w:tcPr>
            <w:tcW w:w="1249" w:type="dxa"/>
            <w:tcMar>
              <w:top w:w="55" w:type="dxa"/>
              <w:left w:w="65" w:type="dxa"/>
              <w:bottom w:w="55" w:type="dxa"/>
              <w:right w:w="65" w:type="dxa"/>
            </w:tcMar>
            <w:vAlign w:val="center"/>
          </w:tcPr>
          <w:p w14:paraId="095D608B" w14:textId="77777777" w:rsidR="004C250E" w:rsidRPr="005D5368" w:rsidRDefault="00000000">
            <w:pPr>
              <w:jc w:val="center"/>
              <w:rPr>
                <w:szCs w:val="32"/>
              </w:rPr>
            </w:pPr>
            <w:r w:rsidRPr="005D5368">
              <w:rPr>
                <w:szCs w:val="32"/>
              </w:rPr>
              <w:t>76.5%</w:t>
            </w:r>
          </w:p>
        </w:tc>
        <w:tc>
          <w:tcPr>
            <w:tcW w:w="1249" w:type="dxa"/>
            <w:tcMar>
              <w:top w:w="55" w:type="dxa"/>
              <w:left w:w="65" w:type="dxa"/>
              <w:bottom w:w="55" w:type="dxa"/>
              <w:right w:w="65" w:type="dxa"/>
            </w:tcMar>
            <w:vAlign w:val="center"/>
          </w:tcPr>
          <w:p w14:paraId="5E4D6174" w14:textId="77777777" w:rsidR="004C250E" w:rsidRPr="005D5368" w:rsidRDefault="00000000">
            <w:pPr>
              <w:jc w:val="center"/>
              <w:rPr>
                <w:szCs w:val="32"/>
              </w:rPr>
            </w:pPr>
            <w:r w:rsidRPr="005D5368">
              <w:rPr>
                <w:szCs w:val="32"/>
              </w:rPr>
              <w:t>76.5%</w:t>
            </w:r>
          </w:p>
        </w:tc>
      </w:tr>
      <w:tr w:rsidR="004C250E" w14:paraId="678DCB95" w14:textId="77777777" w:rsidTr="005D5368">
        <w:tc>
          <w:tcPr>
            <w:tcW w:w="1249" w:type="dxa"/>
            <w:tcMar>
              <w:top w:w="55" w:type="dxa"/>
              <w:left w:w="65" w:type="dxa"/>
              <w:bottom w:w="55" w:type="dxa"/>
              <w:right w:w="65" w:type="dxa"/>
            </w:tcMar>
            <w:vAlign w:val="center"/>
          </w:tcPr>
          <w:p w14:paraId="7C3707E3" w14:textId="77777777" w:rsidR="004C250E" w:rsidRPr="005D5368" w:rsidRDefault="00000000">
            <w:pPr>
              <w:rPr>
                <w:szCs w:val="32"/>
              </w:rPr>
            </w:pPr>
            <w:r w:rsidRPr="005D5368">
              <w:rPr>
                <w:szCs w:val="32"/>
              </w:rPr>
              <w:t>ViT-B/16 AugReg</w:t>
            </w:r>
          </w:p>
        </w:tc>
        <w:tc>
          <w:tcPr>
            <w:tcW w:w="1249" w:type="dxa"/>
            <w:tcMar>
              <w:top w:w="55" w:type="dxa"/>
              <w:left w:w="65" w:type="dxa"/>
              <w:bottom w:w="55" w:type="dxa"/>
              <w:right w:w="65" w:type="dxa"/>
            </w:tcMar>
            <w:vAlign w:val="center"/>
          </w:tcPr>
          <w:p w14:paraId="663689D2" w14:textId="77777777" w:rsidR="004C250E" w:rsidRPr="005D5368" w:rsidRDefault="00000000">
            <w:pPr>
              <w:jc w:val="center"/>
              <w:rPr>
                <w:szCs w:val="32"/>
              </w:rPr>
            </w:pPr>
            <w:r w:rsidRPr="005D5368">
              <w:rPr>
                <w:szCs w:val="32"/>
              </w:rPr>
              <w:t>32</w:t>
            </w:r>
          </w:p>
        </w:tc>
        <w:tc>
          <w:tcPr>
            <w:tcW w:w="1249" w:type="dxa"/>
            <w:tcMar>
              <w:top w:w="55" w:type="dxa"/>
              <w:left w:w="65" w:type="dxa"/>
              <w:bottom w:w="55" w:type="dxa"/>
              <w:right w:w="65" w:type="dxa"/>
            </w:tcMar>
            <w:vAlign w:val="center"/>
          </w:tcPr>
          <w:p w14:paraId="55522EF4" w14:textId="77777777" w:rsidR="004C250E" w:rsidRPr="005D5368" w:rsidRDefault="00000000">
            <w:pPr>
              <w:jc w:val="center"/>
              <w:rPr>
                <w:szCs w:val="32"/>
              </w:rPr>
            </w:pPr>
            <w:r w:rsidRPr="005D5368">
              <w:rPr>
                <w:szCs w:val="32"/>
              </w:rPr>
              <w:t>Random, 69.2%</w:t>
            </w:r>
          </w:p>
        </w:tc>
        <w:tc>
          <w:tcPr>
            <w:tcW w:w="1249" w:type="dxa"/>
            <w:tcMar>
              <w:top w:w="55" w:type="dxa"/>
              <w:left w:w="65" w:type="dxa"/>
              <w:bottom w:w="55" w:type="dxa"/>
              <w:right w:w="65" w:type="dxa"/>
            </w:tcMar>
            <w:vAlign w:val="center"/>
          </w:tcPr>
          <w:p w14:paraId="4CE03589" w14:textId="77777777" w:rsidR="004C250E" w:rsidRPr="005D5368" w:rsidRDefault="00000000">
            <w:pPr>
              <w:jc w:val="center"/>
              <w:rPr>
                <w:szCs w:val="32"/>
              </w:rPr>
            </w:pPr>
            <w:r w:rsidRPr="005D5368">
              <w:rPr>
                <w:szCs w:val="32"/>
              </w:rPr>
              <w:t>73.2%</w:t>
            </w:r>
          </w:p>
        </w:tc>
        <w:tc>
          <w:tcPr>
            <w:tcW w:w="1249" w:type="dxa"/>
            <w:tcMar>
              <w:top w:w="55" w:type="dxa"/>
              <w:left w:w="65" w:type="dxa"/>
              <w:bottom w:w="55" w:type="dxa"/>
              <w:right w:w="65" w:type="dxa"/>
            </w:tcMar>
            <w:vAlign w:val="center"/>
          </w:tcPr>
          <w:p w14:paraId="50729C04" w14:textId="77777777" w:rsidR="004C250E" w:rsidRPr="005D5368" w:rsidRDefault="00000000">
            <w:pPr>
              <w:jc w:val="center"/>
              <w:rPr>
                <w:szCs w:val="32"/>
              </w:rPr>
            </w:pPr>
            <w:r w:rsidRPr="005D5368">
              <w:rPr>
                <w:szCs w:val="32"/>
              </w:rPr>
              <w:t>73.0%</w:t>
            </w:r>
          </w:p>
        </w:tc>
        <w:tc>
          <w:tcPr>
            <w:tcW w:w="1249" w:type="dxa"/>
            <w:tcMar>
              <w:top w:w="55" w:type="dxa"/>
              <w:left w:w="65" w:type="dxa"/>
              <w:bottom w:w="55" w:type="dxa"/>
              <w:right w:w="65" w:type="dxa"/>
            </w:tcMar>
            <w:vAlign w:val="center"/>
          </w:tcPr>
          <w:p w14:paraId="57D817B9" w14:textId="77777777" w:rsidR="004C250E" w:rsidRPr="005D5368" w:rsidRDefault="00000000">
            <w:pPr>
              <w:jc w:val="center"/>
              <w:rPr>
                <w:szCs w:val="32"/>
              </w:rPr>
            </w:pPr>
            <w:r w:rsidRPr="005D5368">
              <w:rPr>
                <w:szCs w:val="32"/>
              </w:rPr>
              <w:t>74.4%</w:t>
            </w:r>
          </w:p>
        </w:tc>
        <w:tc>
          <w:tcPr>
            <w:tcW w:w="1249" w:type="dxa"/>
            <w:tcMar>
              <w:top w:w="55" w:type="dxa"/>
              <w:left w:w="65" w:type="dxa"/>
              <w:bottom w:w="55" w:type="dxa"/>
              <w:right w:w="65" w:type="dxa"/>
            </w:tcMar>
            <w:vAlign w:val="center"/>
          </w:tcPr>
          <w:p w14:paraId="1812FEFC" w14:textId="77777777" w:rsidR="004C250E" w:rsidRPr="005D5368" w:rsidRDefault="00000000">
            <w:pPr>
              <w:jc w:val="center"/>
              <w:rPr>
                <w:szCs w:val="32"/>
              </w:rPr>
            </w:pPr>
            <w:r w:rsidRPr="005D5368">
              <w:rPr>
                <w:szCs w:val="32"/>
              </w:rPr>
              <w:t>73.7%</w:t>
            </w:r>
          </w:p>
        </w:tc>
        <w:tc>
          <w:tcPr>
            <w:tcW w:w="1249" w:type="dxa"/>
            <w:tcMar>
              <w:top w:w="55" w:type="dxa"/>
              <w:left w:w="65" w:type="dxa"/>
              <w:bottom w:w="55" w:type="dxa"/>
              <w:right w:w="65" w:type="dxa"/>
            </w:tcMar>
            <w:vAlign w:val="center"/>
          </w:tcPr>
          <w:p w14:paraId="2BCCB6CE" w14:textId="77777777" w:rsidR="004C250E" w:rsidRPr="005D5368" w:rsidRDefault="00000000">
            <w:pPr>
              <w:jc w:val="center"/>
              <w:rPr>
                <w:szCs w:val="32"/>
              </w:rPr>
            </w:pPr>
            <w:r w:rsidRPr="005D5368">
              <w:rPr>
                <w:szCs w:val="32"/>
              </w:rPr>
              <w:t>74.2%</w:t>
            </w:r>
          </w:p>
        </w:tc>
      </w:tr>
      <w:tr w:rsidR="004C250E" w14:paraId="7AF3A8C9" w14:textId="77777777" w:rsidTr="005D5368">
        <w:tc>
          <w:tcPr>
            <w:tcW w:w="1249" w:type="dxa"/>
            <w:tcBorders>
              <w:bottom w:val="single" w:sz="4" w:space="0" w:color="auto"/>
            </w:tcBorders>
            <w:tcMar>
              <w:top w:w="55" w:type="dxa"/>
              <w:left w:w="65" w:type="dxa"/>
              <w:bottom w:w="55" w:type="dxa"/>
              <w:right w:w="65" w:type="dxa"/>
            </w:tcMar>
            <w:vAlign w:val="center"/>
          </w:tcPr>
          <w:p w14:paraId="45C80FA9" w14:textId="77777777" w:rsidR="004C250E" w:rsidRPr="005D5368" w:rsidRDefault="00000000">
            <w:pPr>
              <w:rPr>
                <w:szCs w:val="32"/>
              </w:rPr>
            </w:pPr>
            <w:r w:rsidRPr="005D5368">
              <w:rPr>
                <w:szCs w:val="32"/>
              </w:rPr>
              <w:t>DINOv2 ViT-S/14</w:t>
            </w:r>
          </w:p>
        </w:tc>
        <w:tc>
          <w:tcPr>
            <w:tcW w:w="1249" w:type="dxa"/>
            <w:tcBorders>
              <w:bottom w:val="single" w:sz="4" w:space="0" w:color="auto"/>
            </w:tcBorders>
            <w:tcMar>
              <w:top w:w="55" w:type="dxa"/>
              <w:left w:w="65" w:type="dxa"/>
              <w:bottom w:w="55" w:type="dxa"/>
              <w:right w:w="65" w:type="dxa"/>
            </w:tcMar>
            <w:vAlign w:val="center"/>
          </w:tcPr>
          <w:p w14:paraId="270D9BE4" w14:textId="77777777" w:rsidR="004C250E" w:rsidRPr="005D5368" w:rsidRDefault="00000000">
            <w:pPr>
              <w:jc w:val="center"/>
              <w:rPr>
                <w:szCs w:val="32"/>
              </w:rPr>
            </w:pPr>
            <w:r w:rsidRPr="005D5368">
              <w:rPr>
                <w:szCs w:val="32"/>
              </w:rPr>
              <w:t>42</w:t>
            </w:r>
          </w:p>
        </w:tc>
        <w:tc>
          <w:tcPr>
            <w:tcW w:w="1249" w:type="dxa"/>
            <w:tcBorders>
              <w:bottom w:val="single" w:sz="4" w:space="0" w:color="auto"/>
            </w:tcBorders>
            <w:tcMar>
              <w:top w:w="55" w:type="dxa"/>
              <w:left w:w="65" w:type="dxa"/>
              <w:bottom w:w="55" w:type="dxa"/>
              <w:right w:w="65" w:type="dxa"/>
            </w:tcMar>
            <w:vAlign w:val="center"/>
          </w:tcPr>
          <w:p w14:paraId="502236F8" w14:textId="77777777" w:rsidR="004C250E" w:rsidRPr="005D5368" w:rsidRDefault="00000000">
            <w:pPr>
              <w:jc w:val="center"/>
              <w:rPr>
                <w:szCs w:val="32"/>
              </w:rPr>
            </w:pPr>
            <w:r w:rsidRPr="005D5368">
              <w:rPr>
                <w:szCs w:val="32"/>
              </w:rPr>
              <w:t>Random, 61.5%</w:t>
            </w:r>
          </w:p>
        </w:tc>
        <w:tc>
          <w:tcPr>
            <w:tcW w:w="1249" w:type="dxa"/>
            <w:tcBorders>
              <w:bottom w:val="single" w:sz="4" w:space="0" w:color="auto"/>
            </w:tcBorders>
            <w:tcMar>
              <w:top w:w="55" w:type="dxa"/>
              <w:left w:w="65" w:type="dxa"/>
              <w:bottom w:w="55" w:type="dxa"/>
              <w:right w:w="65" w:type="dxa"/>
            </w:tcMar>
            <w:vAlign w:val="center"/>
          </w:tcPr>
          <w:p w14:paraId="4BA3AA53" w14:textId="77777777" w:rsidR="004C250E" w:rsidRPr="005D5368" w:rsidRDefault="00000000">
            <w:pPr>
              <w:jc w:val="center"/>
              <w:rPr>
                <w:szCs w:val="32"/>
              </w:rPr>
            </w:pPr>
            <w:r w:rsidRPr="005D5368">
              <w:rPr>
                <w:szCs w:val="32"/>
              </w:rPr>
              <w:t>72.2%</w:t>
            </w:r>
          </w:p>
        </w:tc>
        <w:tc>
          <w:tcPr>
            <w:tcW w:w="1249" w:type="dxa"/>
            <w:tcBorders>
              <w:bottom w:val="single" w:sz="4" w:space="0" w:color="auto"/>
            </w:tcBorders>
            <w:tcMar>
              <w:top w:w="55" w:type="dxa"/>
              <w:left w:w="65" w:type="dxa"/>
              <w:bottom w:w="55" w:type="dxa"/>
              <w:right w:w="65" w:type="dxa"/>
            </w:tcMar>
            <w:vAlign w:val="center"/>
          </w:tcPr>
          <w:p w14:paraId="60CA1103" w14:textId="77777777" w:rsidR="004C250E" w:rsidRPr="005D5368" w:rsidRDefault="00000000">
            <w:pPr>
              <w:jc w:val="center"/>
              <w:rPr>
                <w:szCs w:val="32"/>
              </w:rPr>
            </w:pPr>
            <w:r w:rsidRPr="005D5368">
              <w:rPr>
                <w:szCs w:val="32"/>
              </w:rPr>
              <w:t>69.4%</w:t>
            </w:r>
          </w:p>
        </w:tc>
        <w:tc>
          <w:tcPr>
            <w:tcW w:w="1249" w:type="dxa"/>
            <w:tcBorders>
              <w:bottom w:val="single" w:sz="4" w:space="0" w:color="auto"/>
            </w:tcBorders>
            <w:tcMar>
              <w:top w:w="55" w:type="dxa"/>
              <w:left w:w="65" w:type="dxa"/>
              <w:bottom w:w="55" w:type="dxa"/>
              <w:right w:w="65" w:type="dxa"/>
            </w:tcMar>
            <w:vAlign w:val="center"/>
          </w:tcPr>
          <w:p w14:paraId="42FB7848" w14:textId="77777777" w:rsidR="004C250E" w:rsidRPr="005D5368" w:rsidRDefault="00000000">
            <w:pPr>
              <w:jc w:val="center"/>
              <w:rPr>
                <w:szCs w:val="32"/>
              </w:rPr>
            </w:pPr>
            <w:r w:rsidRPr="005D5368">
              <w:rPr>
                <w:szCs w:val="32"/>
              </w:rPr>
              <w:t>73.5%</w:t>
            </w:r>
          </w:p>
        </w:tc>
        <w:tc>
          <w:tcPr>
            <w:tcW w:w="1249" w:type="dxa"/>
            <w:tcBorders>
              <w:bottom w:val="single" w:sz="4" w:space="0" w:color="auto"/>
            </w:tcBorders>
            <w:tcMar>
              <w:top w:w="55" w:type="dxa"/>
              <w:left w:w="65" w:type="dxa"/>
              <w:bottom w:w="55" w:type="dxa"/>
              <w:right w:w="65" w:type="dxa"/>
            </w:tcMar>
            <w:vAlign w:val="center"/>
          </w:tcPr>
          <w:p w14:paraId="444233FA" w14:textId="77777777" w:rsidR="004C250E" w:rsidRPr="005D5368" w:rsidRDefault="00000000">
            <w:pPr>
              <w:jc w:val="center"/>
              <w:rPr>
                <w:szCs w:val="32"/>
              </w:rPr>
            </w:pPr>
            <w:r w:rsidRPr="005D5368">
              <w:rPr>
                <w:szCs w:val="32"/>
              </w:rPr>
              <w:t>73.2%</w:t>
            </w:r>
          </w:p>
        </w:tc>
        <w:tc>
          <w:tcPr>
            <w:tcW w:w="1249" w:type="dxa"/>
            <w:tcBorders>
              <w:bottom w:val="single" w:sz="4" w:space="0" w:color="auto"/>
            </w:tcBorders>
            <w:tcMar>
              <w:top w:w="55" w:type="dxa"/>
              <w:left w:w="65" w:type="dxa"/>
              <w:bottom w:w="55" w:type="dxa"/>
              <w:right w:w="65" w:type="dxa"/>
            </w:tcMar>
            <w:vAlign w:val="center"/>
          </w:tcPr>
          <w:p w14:paraId="3AD0E526" w14:textId="77777777" w:rsidR="004C250E" w:rsidRPr="005D5368" w:rsidRDefault="00000000">
            <w:pPr>
              <w:jc w:val="center"/>
              <w:rPr>
                <w:szCs w:val="32"/>
              </w:rPr>
            </w:pPr>
            <w:r w:rsidRPr="005D5368">
              <w:rPr>
                <w:szCs w:val="32"/>
              </w:rPr>
              <w:t>73.0%</w:t>
            </w:r>
          </w:p>
        </w:tc>
      </w:tr>
    </w:tbl>
    <w:p w14:paraId="709F19E2" w14:textId="77777777" w:rsidR="004C250E" w:rsidRDefault="004C250E">
      <w:pPr>
        <w:spacing w:after="20"/>
      </w:pPr>
    </w:p>
    <w:p w14:paraId="22B0DE7A" w14:textId="59ED5D60" w:rsidR="004C250E" w:rsidRDefault="00000000" w:rsidP="00D003EF">
      <w:pPr>
        <w:spacing w:after="100" w:line="259" w:lineRule="auto"/>
        <w:jc w:val="both"/>
      </w:pPr>
      <w:r>
        <w:t xml:space="preserve">A same-group control compares Group Mean and Operator-Aware carriers on the same image, at the same token budget, with identical assignments S. For primary feature-similarity grouping, the same-image, same-budget difference in linearized operator residual (Group Mean minus Operator-Aware) is positive on all 20,000 image-by-budget rows; averaging equally over five budgets and 1,000 held-out images per architecture gives mean Δ of 1.27 (DeiT-Tiny), 1.48 (DeiT-Small), 2.53 (ViT-B/16 AugReg), and 7.20 (DINOv2 ViT-S/14). </w:t>
      </w:r>
      <w:r w:rsidR="0079720F" w:rsidRPr="0079720F">
        <w:t>These contrasts characterize reductions in the linearized operator residual; corresponding classification and nonlinear distortion outcomes are evaluated separately.</w:t>
      </w:r>
      <w:r>
        <w:t xml:space="preserve"> The accuracy comparisons in Table </w:t>
      </w:r>
      <w:r w:rsidR="006F053A">
        <w:t>4</w:t>
      </w:r>
      <w:r>
        <w:t xml:space="preserve"> remain architecture- and budget-dependent: for example, Group Mean and ToMe tie for DeiT-Small at the most aggressive budget, while their ordering differs elsewhere. Across the evaluated method, budget, and seed conditions, operator residual ‖J E‖ is associated with measured logit-L2 distortion: per-architecture Pearson r ranges from 0.739 to 0.866, and Spearman ρ ranges from 0.792 to 0.916. Because the same held-out cohort is reused across conditions, this is a condition-level association rather than an image-level generalization estimate. Rank-16 and rank-32 outcomes vary by architecture and budget; </w:t>
      </w:r>
      <w:r w:rsidR="0079720F" w:rsidRPr="0079720F">
        <w:t>the retained benefit depends on architecture and token budget</w:t>
      </w:r>
      <w:r>
        <w:t xml:space="preserve">. Figure 8 reports the measured accuracy-token curves, while Table </w:t>
      </w:r>
      <w:r w:rsidR="006F053A">
        <w:t>4</w:t>
      </w:r>
      <w:r>
        <w:t xml:space="preserve"> lists rank-16 and rank-32 Top-1 at each architecture's most aggressive tested budget.</w:t>
      </w:r>
    </w:p>
    <w:p w14:paraId="7653AD08" w14:textId="77777777" w:rsidR="004C250E" w:rsidRDefault="00000000">
      <w:pPr>
        <w:keepNext/>
        <w:keepLines/>
        <w:spacing w:after="20"/>
        <w:jc w:val="center"/>
      </w:pPr>
      <w:r>
        <w:rPr>
          <w:noProof/>
        </w:rPr>
        <w:lastRenderedPageBreak/>
        <w:drawing>
          <wp:inline distT="0" distB="0" distL="0" distR="0" wp14:anchorId="0E35E398" wp14:editId="4468E734">
            <wp:extent cx="6172200" cy="36638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operator_compression.png"/>
                    <pic:cNvPicPr/>
                  </pic:nvPicPr>
                  <pic:blipFill>
                    <a:blip r:embed="rId13"/>
                    <a:stretch>
                      <a:fillRect/>
                    </a:stretch>
                  </pic:blipFill>
                  <pic:spPr>
                    <a:xfrm>
                      <a:off x="0" y="0"/>
                      <a:ext cx="6172200" cy="3663846"/>
                    </a:xfrm>
                    <a:prstGeom prst="rect">
                      <a:avLst/>
                    </a:prstGeom>
                  </pic:spPr>
                </pic:pic>
              </a:graphicData>
            </a:graphic>
          </wp:inline>
        </w:drawing>
      </w:r>
    </w:p>
    <w:p w14:paraId="03220D63" w14:textId="724D9CA7" w:rsidR="004C250E" w:rsidRDefault="00000000" w:rsidP="00D003EF">
      <w:pPr>
        <w:keepLines/>
        <w:spacing w:after="80"/>
        <w:jc w:val="both"/>
        <w:rPr>
          <w:iCs/>
          <w:color w:val="auto"/>
          <w:sz w:val="18"/>
          <w:szCs w:val="18"/>
        </w:rPr>
      </w:pPr>
      <w:r w:rsidRPr="00D003EF">
        <w:rPr>
          <w:b/>
          <w:bCs/>
          <w:iCs/>
          <w:color w:val="auto"/>
          <w:sz w:val="18"/>
          <w:szCs w:val="18"/>
        </w:rPr>
        <w:t>Figure 8.</w:t>
      </w:r>
      <w:r w:rsidRPr="00D003EF">
        <w:rPr>
          <w:iCs/>
          <w:color w:val="auto"/>
          <w:sz w:val="18"/>
          <w:szCs w:val="18"/>
        </w:rPr>
        <w:t xml:space="preserve"> </w:t>
      </w:r>
      <w:r w:rsidR="004F4849" w:rsidRPr="004F4849">
        <w:rPr>
          <w:iCs/>
          <w:color w:val="auto"/>
          <w:sz w:val="18"/>
          <w:szCs w:val="18"/>
        </w:rPr>
        <w:t>Accuracy–token tradeoffs of operator-aware compression. Top-1 accuracy versus retained patch-token fraction across four ViT architectures, comparing conventional pruning, Group Mean, ToMe, Full-J oracle, and rank-32 operator-aware compression. Each architecture is evaluated on 1,000 held-out images. Rank-16 results at the most aggressive budget are reported in Table IV.</w:t>
      </w:r>
    </w:p>
    <w:p w14:paraId="152D193E" w14:textId="77777777" w:rsidR="00D003EF" w:rsidRPr="00D003EF" w:rsidRDefault="00D003EF" w:rsidP="00D003EF">
      <w:pPr>
        <w:keepLines/>
        <w:spacing w:after="80"/>
        <w:jc w:val="both"/>
        <w:rPr>
          <w:iCs/>
          <w:sz w:val="18"/>
          <w:szCs w:val="18"/>
        </w:rPr>
      </w:pPr>
    </w:p>
    <w:p w14:paraId="4C683DA5" w14:textId="3E46BD44" w:rsidR="004C250E" w:rsidRDefault="0079720F" w:rsidP="00D003EF">
      <w:pPr>
        <w:spacing w:after="100" w:line="259" w:lineRule="auto"/>
        <w:jc w:val="both"/>
      </w:pPr>
      <w:r w:rsidRPr="0079720F">
        <w:t>Full-J provides an offline, image-conditioned reference for evaluating operator-aware compression.</w:t>
      </w:r>
      <w:r>
        <w:t xml:space="preserve"> </w:t>
      </w:r>
      <w:r w:rsidR="00000000">
        <w:t>Calibration-frozen carrier approximations and measured accuracy–throughput tradeoffs are evaluated separately in Supplementary Section S13; these experiments do not establish a general deployment advantage.</w:t>
      </w:r>
    </w:p>
    <w:p w14:paraId="5611C300" w14:textId="77777777" w:rsidR="004C250E" w:rsidRDefault="00000000">
      <w:pPr>
        <w:pStyle w:val="Heading1"/>
      </w:pPr>
      <w:r>
        <w:rPr>
          <w:rFonts w:ascii="Times New Roman" w:hAnsi="Times New Roman"/>
        </w:rPr>
        <w:t>7. Limitations</w:t>
      </w:r>
    </w:p>
    <w:p w14:paraId="0272C29A" w14:textId="4BCD8F68" w:rsidR="004C250E" w:rsidRDefault="0079720F" w:rsidP="00D003EF">
      <w:pPr>
        <w:spacing w:after="100" w:line="259" w:lineRule="auto"/>
        <w:jc w:val="both"/>
      </w:pPr>
      <w:r w:rsidRPr="0079720F">
        <w:t>This study focuses on four pretrained ViT families and ImageNet-1k classification, with broader architectures and tasks remaining open for investigation. The joint-stream geometry analysis uses the same 100-image cohorts for direction estimation and response measurement, providing descriptive within-cohort evidence. Margin-gradient and readout-Jacobian analyses characterize local, first-order functional structure, while spectral thresholds define approximate near-null directions. The Full-J compression method requires an image-specific Jacobian and serves as an offline oracle. Practical-carrier evaluations use separate protocols and endpoints, with throughput measurements specific to the tested hardware, batch sizes, and implementations. Developing computationally efficient approximations that translate these functional insights into consistent deployment benefits remains an important direction for future work.</w:t>
      </w:r>
    </w:p>
    <w:p w14:paraId="07A03B21" w14:textId="77777777" w:rsidR="004C250E" w:rsidRDefault="00000000">
      <w:pPr>
        <w:pStyle w:val="Heading1"/>
      </w:pPr>
      <w:r>
        <w:rPr>
          <w:rFonts w:ascii="Times New Roman" w:hAnsi="Times New Roman"/>
        </w:rPr>
        <w:t>8. Conclusion</w:t>
      </w:r>
    </w:p>
    <w:p w14:paraId="03C8CEFD" w14:textId="77777777" w:rsidR="0079720F" w:rsidRPr="0079720F" w:rsidRDefault="00000000" w:rsidP="00D003EF">
      <w:pPr>
        <w:spacing w:after="100" w:line="259" w:lineRule="auto"/>
        <w:jc w:val="both"/>
      </w:pPr>
      <w:r>
        <w:t xml:space="preserve">Across four tested ViT families, late-layer patch content is conditionally replaceable under feature-geometry and token-position-diversity constraints. The mechanistic evidence links this fixed-slot intervention to architecture-dependent functional sensitivity, coherent Value-path accumulation and cancellation, and depth-varying effective rank. End-to-end Jacobian predictions are more strongly associated with measured damage than single-block predictions under the tested mixture of 100 perturbation vectors per model. In the separate confirmatory compression benchmark, operator-aware variants exceed the strongest pruning baselines by 4.2–12.0 percentage points at the most aggressive tested budgets, but ToMe remains competitive, Group Mean is not uniformly worse, and rank-restricted outcomes vary across architectures. </w:t>
      </w:r>
      <w:r w:rsidR="0079720F" w:rsidRPr="0079720F">
        <w:t>These findings connect the observed geometry of patch-content fungibility with an operator-aware compression objective, demonstrating improvements over conventional pruning while revealing architecture-dependent tradeoffs against stronger merging baselines. The offline Full-J formulation provides a reference for future development of computationally efficient compression methods, with practical-carrier evaluations reported in Supplementary Section S13.</w:t>
      </w:r>
    </w:p>
    <w:p w14:paraId="290928C6" w14:textId="49B961B4" w:rsidR="004C250E" w:rsidRDefault="004C250E">
      <w:pPr>
        <w:spacing w:after="100" w:line="259" w:lineRule="auto"/>
      </w:pPr>
    </w:p>
    <w:p w14:paraId="5F6DFED9" w14:textId="77777777" w:rsidR="004C250E" w:rsidRDefault="00000000">
      <w:pPr>
        <w:pStyle w:val="Heading1"/>
      </w:pPr>
      <w:r>
        <w:rPr>
          <w:rFonts w:ascii="Times New Roman" w:hAnsi="Times New Roman"/>
        </w:rPr>
        <w:t>Reproducibility and Evidence</w:t>
      </w:r>
    </w:p>
    <w:p w14:paraId="19D6AE01" w14:textId="77777777" w:rsidR="004C250E" w:rsidRDefault="00000000">
      <w:pPr>
        <w:spacing w:after="100" w:line="259" w:lineRule="auto"/>
      </w:pPr>
      <w:r>
        <w:t>Code and audited data supporting the confirmatory compression and real classifier-carrier benchmarks are available in the [Patch-Content-Fungibility repository](https://github.com/nhatminh-115/Patch-Content-Fungibility).</w:t>
      </w:r>
    </w:p>
    <w:p w14:paraId="5BDE0C04" w14:textId="77777777" w:rsidR="004C250E" w:rsidRDefault="00000000">
      <w:pPr>
        <w:pStyle w:val="Heading1"/>
      </w:pPr>
      <w:r>
        <w:t>References</w:t>
      </w:r>
    </w:p>
    <w:p w14:paraId="707FE35F" w14:textId="77777777" w:rsidR="004C250E"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https://proceedings.neurips.cc/paper_files/paper/2017/hash/3f5ee243547dee91fbd053c1c4a845aa-Abstract.html.</w:t>
      </w:r>
    </w:p>
    <w:p w14:paraId="75429F41" w14:textId="77777777" w:rsidR="004C250E"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17E4889C" w14:textId="77777777" w:rsidR="004C250E" w:rsidRDefault="00000000">
      <w:pPr>
        <w:spacing w:after="80" w:line="240" w:lineRule="auto"/>
        <w:ind w:left="403" w:hanging="403"/>
      </w:pPr>
      <w:r>
        <w:rPr>
          <w:color w:val="26343D"/>
          <w:sz w:val="17"/>
        </w:rPr>
        <w:t>[3] H. Touvron, M. Cord, M. Douze, F. Massa, A. Sablayrolles, H. Jégou, “Training data-efficient image transformers &amp; distillation through attention,” in Proc. 38th Int. Conf. Mach. Learn., vol. 139, pp. 10347–10357, 2021. Available: https://proceedings.mlr.press/v139/touvron21a.html.</w:t>
      </w:r>
    </w:p>
    <w:p w14:paraId="35599639" w14:textId="77777777" w:rsidR="004C250E" w:rsidRDefault="00000000">
      <w:pPr>
        <w:spacing w:after="80" w:line="240" w:lineRule="auto"/>
        <w:ind w:left="403" w:hanging="403"/>
      </w:pPr>
      <w:r>
        <w:rPr>
          <w:color w:val="26343D"/>
          <w:sz w:val="17"/>
        </w:rPr>
        <w:t>[4] M. Caron, H. Touvron, I. Misra, H. Jégou, J. Mairal, P. Bojanowski, et al., “Emerging Properties in Self-Supervised Vision Transformers,” in Proc. IEEE/CVF Int. Conf. Comput. Vis., pp. 9650–9660, 2021. DOI: 10.1109/ICCV48922.2021.00951.</w:t>
      </w:r>
    </w:p>
    <w:p w14:paraId="48E4E279" w14:textId="77777777" w:rsidR="004C250E"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0FD106AA" w14:textId="77777777" w:rsidR="004C250E"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60F95EE7" w14:textId="77777777" w:rsidR="004C250E"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59BAB821" w14:textId="77777777" w:rsidR="004C250E"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6B36BFA0" w14:textId="77777777" w:rsidR="004C250E"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2E623DB5" w14:textId="77777777" w:rsidR="004C250E"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09E627D7" w14:textId="77777777" w:rsidR="004C250E" w:rsidRDefault="00000000">
      <w:pPr>
        <w:spacing w:after="80" w:line="240" w:lineRule="auto"/>
        <w:ind w:left="403" w:hanging="403"/>
      </w:pPr>
      <w:r>
        <w:rPr>
          <w:color w:val="26343D"/>
          <w:sz w:val="17"/>
        </w:rPr>
        <w:t>[11] Y. Rao, W. Zhao, B. Liu, J. Lu, J. Zhou, C.-J. Hsieh, “DynamicViT: Efficient Vision Transformers with Dynamic Token Sparsification,” in Advances in Neural Information Processing Systems, vol. 34, pp. 13937–13949, 2021. Available: https://proceedings.neurips.cc/paper/2021/hash/747d3443e319a22747fbb873e8b2f9f2-Abstract.html.</w:t>
      </w:r>
    </w:p>
    <w:p w14:paraId="5D9329D6" w14:textId="77777777" w:rsidR="004C250E"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71B8E290" w14:textId="77777777" w:rsidR="004C250E" w:rsidRDefault="00000000">
      <w:pPr>
        <w:spacing w:after="80" w:line="240" w:lineRule="auto"/>
        <w:ind w:left="403" w:hanging="403"/>
      </w:pPr>
      <w:r>
        <w:rPr>
          <w:color w:val="26343D"/>
          <w:sz w:val="17"/>
        </w:rPr>
        <w:t>[13] D. Bolya, C.-Y. Fu, X. Dai, P. Zhang, C. Feichtenhofer, J. Hoffman, “Token Merging: Your ViT But Faster,” in Proc. Int. Conf. Learn. Represent., 2023. Available: https://openreview.net/forum?id=JroZRaRw7Eu.</w:t>
      </w:r>
    </w:p>
    <w:p w14:paraId="5CD896C3" w14:textId="77777777" w:rsidR="004C250E" w:rsidRDefault="00000000">
      <w:pPr>
        <w:spacing w:after="80" w:line="240" w:lineRule="auto"/>
        <w:ind w:left="403" w:hanging="403"/>
      </w:pPr>
      <w:r>
        <w:rPr>
          <w:color w:val="26343D"/>
          <w:sz w:val="17"/>
        </w:rPr>
        <w:t>[14] S. Long, Z. Zhao, J. Pi, S. Wang, J. Wang, “Beyond Attentive Tokens: Incorporating Token Importance and Diversity for Efficient Vision Transformers,” in Proc. IEEE/CVF Conf. Comput. Vis. Pattern Recognit. (CVPR), pp. 10334–10343, 2023. Available: https://openaccess.thecvf.com/content/CVPR2023/html/Long_Beyond_Attentive_Tokens_Incorporating_Token_Importance_and_Diversity_for_Efficient_CVPR_2023_paper.html.</w:t>
      </w:r>
    </w:p>
    <w:p w14:paraId="7C1C98C5" w14:textId="77777777" w:rsidR="004C250E" w:rsidRDefault="00000000">
      <w:pPr>
        <w:spacing w:after="80" w:line="240" w:lineRule="auto"/>
        <w:ind w:left="403" w:hanging="403"/>
      </w:pPr>
      <w:r>
        <w:rPr>
          <w:color w:val="26343D"/>
          <w:sz w:val="17"/>
        </w:rPr>
        <w:t>[15] H. Yin, A. Vahdat, J. M. Alvarez, A. Mallya, J. Kautz, P. Molchanov, “A-ViT: Adaptive Tokens for Efficient Vision Transformer,” in Proc. IEEE/CVF Conf. Comput. Vis. Pattern Recognit., pp. 10809–10818, 2022. DOI: 10.1109/CVPR52688.2022.01054.</w:t>
      </w:r>
    </w:p>
    <w:p w14:paraId="701DA6EA" w14:textId="77777777" w:rsidR="004C250E" w:rsidRDefault="00000000">
      <w:pPr>
        <w:spacing w:after="80" w:line="240" w:lineRule="auto"/>
        <w:ind w:left="403" w:hanging="403"/>
      </w:pPr>
      <w:r>
        <w:rPr>
          <w:color w:val="26343D"/>
          <w:sz w:val="17"/>
        </w:rPr>
        <w:t>[16] L. Meng, H. Li, B.-C. Chen, S. Lan, Z. Wu, Y.-G. Jiang, et al., “AdaViT: Adaptive Vision Transformers for Efficient Image Recognition,” in Proc. IEEE/CVF Conf. Comput. Vis. Pattern Recognit., pp. 12309–12318, 2022. DOI: 10.1109/CVPR52688.2022.01199.</w:t>
      </w:r>
    </w:p>
    <w:p w14:paraId="3C9947D5" w14:textId="77777777" w:rsidR="004C250E" w:rsidRDefault="00000000">
      <w:pPr>
        <w:spacing w:after="80" w:line="240" w:lineRule="auto"/>
        <w:ind w:left="403" w:hanging="403"/>
      </w:pPr>
      <w:r>
        <w:rPr>
          <w:color w:val="26343D"/>
          <w:sz w:val="17"/>
        </w:rPr>
        <w:t>[17] M. S. Ryoo, A. J. Piergiovanni, A. Arnab, M. Dehghani, A. Angelova, “TokenLearner: Adaptive Space-Time Tokenization for Videos,” in Advances in Neural Information Processing Systems, vol. 34, pp. 12786–12797, 2021. Available: https://proceedings.neurips.cc/paper/2021/hash/6a30e32e56fce5cf381895dfe6ca7b6f-Abstract.html.</w:t>
      </w:r>
    </w:p>
    <w:p w14:paraId="5F6594B6" w14:textId="77777777" w:rsidR="004C250E" w:rsidRDefault="00000000">
      <w:pPr>
        <w:spacing w:after="80" w:line="240" w:lineRule="auto"/>
        <w:ind w:left="403" w:hanging="403"/>
      </w:pPr>
      <w:r>
        <w:rPr>
          <w:color w:val="26343D"/>
          <w:sz w:val="17"/>
        </w:rPr>
        <w:t>[18] D. Marin, J.-H. R. Chang, A. Ranjan, A. Prabhu, M. Rastegari, O. Tuzel, “Token Pooling in Vision Transformers for Image Classification,” in Proc. IEEE/CVF Winter Conf. Appl. Comput. Vis., pp. 12–21, 2023. DOI: 10.1109/WACV56688.2023.00010.</w:t>
      </w:r>
    </w:p>
    <w:p w14:paraId="5706FE41" w14:textId="77777777" w:rsidR="004C250E" w:rsidRDefault="00000000">
      <w:pPr>
        <w:spacing w:after="80" w:line="240" w:lineRule="auto"/>
        <w:ind w:left="403" w:hanging="403"/>
      </w:pPr>
      <w:r>
        <w:rPr>
          <w:color w:val="26343D"/>
          <w:sz w:val="17"/>
        </w:rPr>
        <w:t>[19] M. Fayyaz, S. A. Koohpayegani, F. R. Jafari, S. Sengupta, H. R. V. Joze, E. Sommerlade, et al., “Adaptive Token Sampling for Efficient Vision Transformers,” in Computer Vision – ECCV 2022, vol. 13671, pp. 396–414, 2022. DOI: 10.1007/978-3-031-20083-0_24.</w:t>
      </w:r>
    </w:p>
    <w:p w14:paraId="4254F248" w14:textId="77777777" w:rsidR="004C250E" w:rsidRDefault="00000000">
      <w:pPr>
        <w:spacing w:after="80" w:line="240" w:lineRule="auto"/>
        <w:ind w:left="403" w:hanging="403"/>
      </w:pPr>
      <w:r>
        <w:rPr>
          <w:color w:val="26343D"/>
          <w:sz w:val="17"/>
        </w:rPr>
        <w:t>[20] B. Pan, R. Panda, Y. Jiang, Z. Wang, R. Feris, A. Oliva, “IA-RED²: Interpretability-Aware Redundancy Reduction for Vision Transformers,” in Advances in Neural Information Processing Systems, vol. 34, 2021. Available: https://proceedings.neurips.cc/paper/2021/hash/d072677d210ac4c03ba046120f0802ec-Abstract.html.</w:t>
      </w:r>
    </w:p>
    <w:p w14:paraId="4FDF98DC" w14:textId="77777777" w:rsidR="004C250E" w:rsidRDefault="00000000">
      <w:pPr>
        <w:spacing w:after="80" w:line="240" w:lineRule="auto"/>
        <w:ind w:left="403" w:hanging="403"/>
      </w:pPr>
      <w:r>
        <w:rPr>
          <w:color w:val="26343D"/>
          <w:sz w:val="17"/>
        </w:rPr>
        <w:t>[21] Y. Liu, C. Matsoukas, F. Strand, H. Azizpour, K. Smith, “PatchDropout: Economizing Vision Transformers Using Patch Dropout,” in Proc. IEEE/CVF Winter Conf. Appl. Comput. Vis., pp. 3953–3962, 2023. DOI: 10.1109/WACV56688.2023.00394.</w:t>
      </w:r>
    </w:p>
    <w:p w14:paraId="4FF80E8E" w14:textId="77777777" w:rsidR="004C250E" w:rsidRDefault="00000000">
      <w:pPr>
        <w:spacing w:after="80" w:line="240" w:lineRule="auto"/>
        <w:ind w:left="403" w:hanging="403"/>
      </w:pPr>
      <w:r>
        <w:rPr>
          <w:color w:val="26343D"/>
          <w:sz w:val="17"/>
        </w:rPr>
        <w:lastRenderedPageBreak/>
        <w:t>[22] L. Yu, W. Xiang, “X-Pruner: eXplainable Pruning for Vision Transformers,” in Proc. IEEE/CVF Conf. Comput. Vis. Pattern Recognit., pp. 24355–24363, 2023. DOI: 10.1109/CVPR52729.2023.02333.</w:t>
      </w:r>
    </w:p>
    <w:p w14:paraId="7A53473B" w14:textId="77777777" w:rsidR="004C250E" w:rsidRDefault="00000000">
      <w:pPr>
        <w:spacing w:after="80" w:line="240" w:lineRule="auto"/>
        <w:ind w:left="403" w:hanging="403"/>
      </w:pPr>
      <w:r>
        <w:rPr>
          <w:color w:val="26343D"/>
          <w:sz w:val="17"/>
        </w:rPr>
        <w:t>[23] H. Yang, H. Yin, M. Shen, P. Molchanov, H. Li, J. Kautz, “Global Vision Transformer Pruning With Hessian-Aware Saliency,” in Proc. IEEE/CVF Conf. Comput. Vis. Pattern Recognit., pp. 18547–18557, 2023. DOI: 10.1109/CVPR52729.2023.01779.</w:t>
      </w:r>
    </w:p>
    <w:p w14:paraId="67E0A6FB" w14:textId="77777777" w:rsidR="004C250E" w:rsidRDefault="00000000">
      <w:pPr>
        <w:spacing w:after="80" w:line="240" w:lineRule="auto"/>
        <w:ind w:left="403" w:hanging="403"/>
      </w:pPr>
      <w:r>
        <w:rPr>
          <w:color w:val="26343D"/>
          <w:sz w:val="17"/>
        </w:rPr>
        <w:t>[24] S. Wei, T. Ye, S. Zhang, Y. Tang, J. Liang, “Joint Token Pruning and Squeezing Towards More Aggressive Compression of Vision Transformers,” in Proc. IEEE/CVF Conf. Comput. Vis. Pattern Recognit., pp. 2092–2101, 2023. DOI: 10.1109/CVPR52729.2023.00208.</w:t>
      </w:r>
    </w:p>
    <w:p w14:paraId="3072D176" w14:textId="77777777" w:rsidR="004C250E" w:rsidRDefault="00000000">
      <w:pPr>
        <w:spacing w:after="80" w:line="240" w:lineRule="auto"/>
        <w:ind w:left="403" w:hanging="403"/>
      </w:pPr>
      <w:r>
        <w:rPr>
          <w:color w:val="26343D"/>
          <w:sz w:val="17"/>
        </w:rPr>
        <w:t>[25] Q. Tang, B. Zhang, J. Liu, F. Liu, Y. Liu, “Dynamic Token Pruning in Plain Vision Transformers for Semantic Segmentation,” in Proc. IEEE/CVF Int. Conf. Comput. Vis., pp. 777–786, 2023. DOI: 10.1109/ICCV51070.2023.00078.</w:t>
      </w:r>
    </w:p>
    <w:p w14:paraId="3FDA7362" w14:textId="77777777" w:rsidR="004C250E" w:rsidRDefault="00000000">
      <w:pPr>
        <w:spacing w:after="80" w:line="240" w:lineRule="auto"/>
        <w:ind w:left="403" w:hanging="403"/>
      </w:pPr>
      <w:r>
        <w:rPr>
          <w:color w:val="26343D"/>
          <w:sz w:val="17"/>
        </w:rPr>
        <w:t>[26] Y. Xu, Z. Zhang, M. Zhang, K. Sheng, K. Li, W. Dong, et al., “Evo-ViT: Slow-Fast Token Evolution for Dynamic Vision Transformer,” in Proc. AAAI Conf. Artif. Intell., vol. 36, no. 3, pp. 2964–2972, 2022. DOI: 10.1609/aaai.v36i3.20202.</w:t>
      </w:r>
    </w:p>
    <w:p w14:paraId="3A89566F" w14:textId="77777777" w:rsidR="004C250E" w:rsidRDefault="00000000">
      <w:pPr>
        <w:spacing w:after="80" w:line="240" w:lineRule="auto"/>
        <w:ind w:left="403" w:hanging="403"/>
      </w:pPr>
      <w:r>
        <w:rPr>
          <w:color w:val="26343D"/>
          <w:sz w:val="17"/>
        </w:rPr>
        <w:t>[27] L. Song, S. Zhang, S. Liu, Z. Li, X. He, H. Sun, et al., “Dynamic Grained Encoder for Vision Transformers,” in Advances in Neural Information Processing Systems, vol. 34, 2021. Available: https://proceedings.neurips.cc/paper/2021/hash/2d969e2cee8cfa07ce7ca0bb13c7a36d-Abstract.html.</w:t>
      </w:r>
    </w:p>
    <w:p w14:paraId="41C5C660" w14:textId="77777777" w:rsidR="004C250E" w:rsidRDefault="00000000">
      <w:pPr>
        <w:spacing w:after="80" w:line="240" w:lineRule="auto"/>
        <w:ind w:left="403" w:hanging="403"/>
      </w:pPr>
      <w:r>
        <w:rPr>
          <w:color w:val="26343D"/>
          <w:sz w:val="17"/>
        </w:rPr>
        <w:t>[28] Z. Kong, P. Dong, X. Ma, X. Meng, W. Niu, M. Sun, et al., “SPViT: Enabling Faster Vision Transformers via Latency-Aware Soft Token Pruning,” in Computer Vision – ECCV 2022, vol. 13671, pp. 620–640, 2022. DOI: 10.1007/978-3-031-20083-0_37.</w:t>
      </w:r>
    </w:p>
    <w:p w14:paraId="5B5839D9" w14:textId="77777777" w:rsidR="004C250E" w:rsidRDefault="00000000">
      <w:pPr>
        <w:spacing w:after="80" w:line="240" w:lineRule="auto"/>
        <w:ind w:left="403" w:hanging="403"/>
      </w:pPr>
      <w:r>
        <w:rPr>
          <w:color w:val="26343D"/>
          <w:sz w:val="17"/>
        </w:rPr>
        <w:t>[29] Y. Tang, K. Han, Y. Wang, C. Xu, J. Guo, C. Xu, et al., “Patch Slimming for Efficient Vision Transformers,” in Proc. IEEE/CVF Conf. Comput. Vis. Pattern Recognit., pp. 12165–12174, 2022. DOI: 10.1109/CVPR52688.2022.01185.</w:t>
      </w:r>
    </w:p>
    <w:p w14:paraId="62B02607" w14:textId="77777777" w:rsidR="004C250E" w:rsidRDefault="00000000">
      <w:pPr>
        <w:spacing w:after="80" w:line="240" w:lineRule="auto"/>
        <w:ind w:left="403" w:hanging="403"/>
      </w:pPr>
      <w:r>
        <w:rPr>
          <w:color w:val="26343D"/>
          <w:sz w:val="17"/>
        </w:rPr>
        <w:t>[30] Y. Wang, R. Huang, S. Song, Z. Huang, G. Huang, “Not All Images Are Worth 16x16 Words: Dynamic Transformers for Efficient Image Recognition,” in Advances in Neural Information Processing Systems, vol. 34, 2021. Available: https://proceedings.neurips.cc/paper/2021/hash/64517d8435994992e682b3e4aa0a0661-Abstract.html.</w:t>
      </w:r>
    </w:p>
    <w:p w14:paraId="1AAFBF79" w14:textId="77777777" w:rsidR="004C250E" w:rsidRDefault="00000000">
      <w:pPr>
        <w:spacing w:after="80" w:line="240" w:lineRule="auto"/>
        <w:ind w:left="403" w:hanging="403"/>
      </w:pPr>
      <w:r>
        <w:rPr>
          <w:color w:val="26343D"/>
          <w:sz w:val="17"/>
        </w:rPr>
        <w:t>[31] T. Chen, Y. Cheng, Z. Gan, L. Yuan, L. Zhang, Z. Wang, “Chasing Sparsity in Vision Transformers: An End-to-End Exploration,” in Advances in Neural Information Processing Systems, vol. 34, 2021. Available: https://proceedings.neurips.cc/paper/2021/file/a61f27ab2165df0e18cc9433bd7f27c5-Abstract.html.</w:t>
      </w:r>
    </w:p>
    <w:p w14:paraId="63515222" w14:textId="77777777" w:rsidR="004C250E" w:rsidRDefault="00000000">
      <w:pPr>
        <w:spacing w:after="80" w:line="240" w:lineRule="auto"/>
        <w:ind w:left="403" w:hanging="403"/>
      </w:pPr>
      <w:r>
        <w:rPr>
          <w:color w:val="26343D"/>
          <w:sz w:val="17"/>
        </w:rPr>
        <w:t>[32] X. Chen, Z. Liu, H. Tang, L. Yi, H. Zhao, S. Han, “SparseViT: Revisiting Activation Sparsity for Efficient High-Resolution Vision Transformer,” in Proc. IEEE/CVF Conf. Comput. Vis. Pattern Recognit., pp. 2061–2070, 2023. DOI: 10.1109/CVPR52729.2023.00205.</w:t>
      </w:r>
    </w:p>
    <w:p w14:paraId="41C8BFA3" w14:textId="77777777" w:rsidR="004C250E" w:rsidRDefault="00000000">
      <w:pPr>
        <w:spacing w:after="80" w:line="240" w:lineRule="auto"/>
        <w:ind w:left="403" w:hanging="403"/>
      </w:pPr>
      <w:r>
        <w:rPr>
          <w:color w:val="26343D"/>
          <w:sz w:val="17"/>
        </w:rPr>
        <w:t>[33] C. Zheng, Z. Li, K. Zhang, Z. Yang, W. Tan, J. Xiao, et al., “SAViT: Structure-Aware Vision Transformer Pruning via Collaborative Optimization,” in Advances in Neural Information Processing Systems, vol. 35, pp. 9010–9023, 2022. DOI: 10.52202/068431-0655.</w:t>
      </w:r>
    </w:p>
    <w:p w14:paraId="4D6CAF86" w14:textId="77777777" w:rsidR="004C250E" w:rsidRDefault="00000000">
      <w:pPr>
        <w:spacing w:after="80" w:line="240" w:lineRule="auto"/>
        <w:ind w:left="403" w:hanging="403"/>
      </w:pPr>
      <w:r>
        <w:rPr>
          <w:color w:val="26343D"/>
          <w:sz w:val="17"/>
        </w:rPr>
        <w:t>[34] S. Han, J. Pool, J. Tran, W. J. Dally, “Learning Both Weights and Connections for Efficient Neural Networks,” in Advances in Neural Information Processing Systems, vol. 28, 2015. Available: https://proceedings.neurips.cc/paper/2015/hash/ae0eb3eed39d2bcef4622b2499a05fe6-Abstract.html.</w:t>
      </w:r>
    </w:p>
    <w:p w14:paraId="5D968351" w14:textId="77777777" w:rsidR="004C250E" w:rsidRDefault="00000000">
      <w:pPr>
        <w:spacing w:after="80" w:line="240" w:lineRule="auto"/>
        <w:ind w:left="403" w:hanging="403"/>
      </w:pPr>
      <w:r>
        <w:rPr>
          <w:color w:val="26343D"/>
          <w:sz w:val="17"/>
        </w:rPr>
        <w:t>[35] P. Molchanov, S. Tyree, T. Karras, T. Aila, J. Kautz, “Pruning Convolutional Neural Networks for Resource Efficient Inference,” in Proc. Int. Conf. Learn. Represent., 2017. Available: https://openreview.net/forum?id=SJGCiw5gl.</w:t>
      </w:r>
    </w:p>
    <w:p w14:paraId="723899E2" w14:textId="77777777" w:rsidR="004C250E" w:rsidRDefault="00000000">
      <w:pPr>
        <w:spacing w:after="80" w:line="240" w:lineRule="auto"/>
        <w:ind w:left="403" w:hanging="403"/>
      </w:pPr>
      <w:r>
        <w:rPr>
          <w:color w:val="26343D"/>
          <w:sz w:val="17"/>
        </w:rPr>
        <w:t>[36] J. Frankle, M. Carbin, “The Lottery Ticket Hypothesis: Finding Sparse, Trainable Neural Networks,” in Proc. Int. Conf. Learn. Represent., 2019. Available: https://openreview.net/forum?id=rJl-b3RcF7.</w:t>
      </w:r>
    </w:p>
    <w:p w14:paraId="00745CAE" w14:textId="77777777" w:rsidR="004C250E" w:rsidRDefault="00000000">
      <w:pPr>
        <w:spacing w:after="80" w:line="240" w:lineRule="auto"/>
        <w:ind w:left="403" w:hanging="403"/>
      </w:pPr>
      <w:r>
        <w:rPr>
          <w:color w:val="26343D"/>
          <w:sz w:val="17"/>
        </w:rPr>
        <w:t>[37] V. Sanh, T. Wolf, A. M. Rush, “Movement Pruning: Adaptive Sparsity by Fine-Tuning,” in Advances in Neural Information Processing Systems, vol. 33, pp. 20378–20389, 2020. Available: https://proceedings.neurips.cc/paper/2020/hash/eae15aabaa768ae4a5993a8a4f4fa6e4-Abstract.html.</w:t>
      </w:r>
    </w:p>
    <w:p w14:paraId="0B143025" w14:textId="77777777" w:rsidR="004C250E" w:rsidRDefault="00000000">
      <w:pPr>
        <w:spacing w:after="80" w:line="240" w:lineRule="auto"/>
        <w:ind w:left="403" w:hanging="403"/>
      </w:pPr>
      <w:r>
        <w:rPr>
          <w:color w:val="26343D"/>
          <w:sz w:val="17"/>
        </w:rPr>
        <w:t>[38] E. Frantar, D. Alistarh, “SparseGPT: Massive Language Models Can Be Accurately Pruned in One-Shot,” in Proc. 40th Int. Conf. Mach. Learn., vol. 202, pp. 10323–10337, 2023. Available: https://proceedings.mlr.press/v202/frantar23a.html.</w:t>
      </w:r>
    </w:p>
    <w:p w14:paraId="2087A003" w14:textId="77777777" w:rsidR="004C250E" w:rsidRDefault="00000000">
      <w:pPr>
        <w:spacing w:after="80" w:line="240" w:lineRule="auto"/>
        <w:ind w:left="403" w:hanging="403"/>
      </w:pPr>
      <w:r>
        <w:rPr>
          <w:color w:val="26343D"/>
          <w:sz w:val="17"/>
        </w:rPr>
        <w:t>[39] M. Sun, Z. Liu, A. Bair, J. Z. Kolter, “A Simple and Effective Pruning Approach for Large Language Models,” in Proc. Int. Conf. Learn. Represent., 2024. Available: https://openreview.net/forum?id=PxoFut3dWW.</w:t>
      </w:r>
    </w:p>
    <w:p w14:paraId="0E124449" w14:textId="77777777" w:rsidR="004C250E" w:rsidRDefault="00000000">
      <w:pPr>
        <w:spacing w:after="80" w:line="240" w:lineRule="auto"/>
        <w:ind w:left="403" w:hanging="403"/>
      </w:pPr>
      <w:r>
        <w:rPr>
          <w:color w:val="26343D"/>
          <w:sz w:val="17"/>
        </w:rPr>
        <w:t>[40] S. Ashkboos, M. L. Croci, M. Gennari do Nascimento, T. Hoefler, J. Hensman, “SliceGPT: Compress Large Language Models by Deleting Rows and Columns,” in Proc. Int. Conf. Learn. Represent., 2024. Available: https://openreview.net/forum?id=vXxardq6db.</w:t>
      </w:r>
    </w:p>
    <w:p w14:paraId="6DD24E4A" w14:textId="77777777" w:rsidR="004C250E" w:rsidRDefault="00000000">
      <w:pPr>
        <w:spacing w:after="80" w:line="240" w:lineRule="auto"/>
        <w:ind w:left="403" w:hanging="403"/>
      </w:pPr>
      <w:r>
        <w:rPr>
          <w:color w:val="26343D"/>
          <w:sz w:val="17"/>
        </w:rPr>
        <w:t>[41] X. Wang, Y. Zheng, Z. Wan, M. Zhang, “SVD-LLM: Truncation-aware Singular Value Decomposition for Large Language Model Compression,” in Proc. Int. Conf. Learn. Represent., 2025. Available: https://proceedings.iclr.cc/paper_files/paper/2025/hash/3104e1ab39875cf54fe1eb4473e7c5a1-Abstract-Conference.html.</w:t>
      </w:r>
    </w:p>
    <w:p w14:paraId="3812640F" w14:textId="77777777" w:rsidR="004368BE" w:rsidRDefault="00000000">
      <w:pPr>
        <w:spacing w:after="80" w:line="240" w:lineRule="auto"/>
        <w:ind w:left="403" w:hanging="403"/>
      </w:pPr>
      <w:r>
        <w:rPr>
          <w:color w:val="26343D"/>
          <w:sz w:val="17"/>
        </w:rPr>
        <w:t>[42] A. Bond, E. E. Özlü, T. Çimen, I. U. Melanlioglu, T. Birdal, E. Erdem, et al., “Task-Induced Riemannian Metrics for Vision Transformer Feature Spaces,” arXiv preprint arXiv:2609.27988 [cs.CV], 2026. Available: https://arxiv.org/abs/2609.27988.</w:t>
      </w:r>
    </w:p>
    <w:p w14:paraId="3495565C" w14:textId="77777777" w:rsidR="004368BE" w:rsidRDefault="00000000">
      <w:pPr>
        <w:spacing w:after="80" w:line="240" w:lineRule="auto"/>
        <w:ind w:left="403" w:hanging="403"/>
      </w:pPr>
      <w:r>
        <w:rPr>
          <w:color w:val="26343D"/>
          <w:sz w:val="17"/>
        </w:rPr>
        <w:t>[43] H. Liu, A. Singh, Y. Li, H. Wang, “Approximate Nullspace Augmented Finetuning for Robust Vision Transformers,” in Conference on Parsimony and Learning, vol. 280, pp. 1–23, 2025. Available: https://proceedings.mlr.press/v280/liu25a.html.</w:t>
      </w:r>
    </w:p>
    <w:p w14:paraId="601EE920" w14:textId="77777777" w:rsidR="004C250E" w:rsidRDefault="00000000">
      <w:pPr>
        <w:spacing w:after="80" w:line="240" w:lineRule="auto"/>
        <w:ind w:left="403" w:hanging="403"/>
      </w:pPr>
      <w:r>
        <w:rPr>
          <w:color w:val="26343D"/>
          <w:sz w:val="17"/>
        </w:rPr>
        <w:t>[44] F. Parodi, J. K. Matelsky, M. Segado, “Zero-Ablation Overstates Register Content Dependence in DINO Vision Transformers,” in Proc. IEEE/CVF Conf. Comput. Vis. Pattern Recognit. (CVPR) Workshops, pp. 4164–4170, 2026. Available: https://openaccess.thecvf.com/content/CVPR2026W/HOW/html/Parodi_Zero-Ablation_Overstates_Register_Content_Dependence_in_DINO_Vision_Transformers_CVPRW_2026_paper.html.</w:t>
      </w:r>
    </w:p>
    <w:p w14:paraId="1CE26B6F" w14:textId="77777777" w:rsidR="004C250E" w:rsidRDefault="00000000">
      <w:pPr>
        <w:spacing w:after="80" w:line="240" w:lineRule="auto"/>
        <w:ind w:left="403" w:hanging="403"/>
      </w:pPr>
      <w:r>
        <w:rPr>
          <w:color w:val="26343D"/>
          <w:sz w:val="17"/>
        </w:rPr>
        <w:t>[45] Y. LeCun, J. S. Denker, S. A. Solla, “Optimal Brain Damage,” in Advances in Neural Information Processing Systems, vol. 2, pp. 598–605, 1989. Available: https://proceedings.neurips.cc/paper/1989/hash/6c9882bbac1c7093bd25041881277658-Abstract.html.</w:t>
      </w:r>
    </w:p>
    <w:p w14:paraId="35405000" w14:textId="77777777" w:rsidR="004C250E" w:rsidRDefault="00000000">
      <w:pPr>
        <w:spacing w:after="80" w:line="240" w:lineRule="auto"/>
        <w:ind w:left="403" w:hanging="403"/>
      </w:pPr>
      <w:r>
        <w:rPr>
          <w:color w:val="26343D"/>
          <w:sz w:val="17"/>
        </w:rPr>
        <w:t>[46] B. Hassibi, D. G. Stork, “Optimal Brain Surgeon and general network pruning,” in Proceedings of the IEEE Proc. IEEE Int. Conf. Neural Netw., vol. 1, pp. 293–299, 1993. DOI: 10.1109/ICNN.1993.298572.</w:t>
      </w:r>
    </w:p>
    <w:p w14:paraId="7F49DF32" w14:textId="77777777" w:rsidR="004C250E" w:rsidRDefault="00000000">
      <w:pPr>
        <w:spacing w:after="80" w:line="240" w:lineRule="auto"/>
        <w:ind w:left="403" w:hanging="403"/>
      </w:pPr>
      <w:r>
        <w:rPr>
          <w:color w:val="26343D"/>
          <w:sz w:val="17"/>
        </w:rPr>
        <w:t>[47] C. Thrash, K. Chen, S. Kolouri, “Output-aware Residual Stream Pruning for Large Language Models,” in arXiv preprint arXiv:2609.35579, 2026. DOI: 10.48550/arXiv.2609.35579.</w:t>
      </w:r>
    </w:p>
    <w:p w14:paraId="50048124" w14:textId="77777777" w:rsidR="004C250E" w:rsidRDefault="00000000">
      <w:pPr>
        <w:spacing w:after="80" w:line="240" w:lineRule="auto"/>
        <w:ind w:left="403" w:hanging="403"/>
      </w:pPr>
      <w:r>
        <w:rPr>
          <w:color w:val="26343D"/>
          <w:sz w:val="17"/>
        </w:rPr>
        <w:lastRenderedPageBreak/>
        <w:t>[48] S. Jain, B. C. Wallace, “Attention Is Not Explanation,” in Proceedings of the 2019 Conference of the North American Chapter of the Association for Computational Linguistics: Human Language Technologies, pp. 3543–3556, 2019. DOI: 10.18653/v1/N19-1357.</w:t>
      </w:r>
    </w:p>
    <w:p w14:paraId="57DB2535" w14:textId="77777777" w:rsidR="004C250E" w:rsidRDefault="00000000">
      <w:pPr>
        <w:spacing w:after="80" w:line="240" w:lineRule="auto"/>
        <w:ind w:left="403" w:hanging="403"/>
      </w:pPr>
      <w:r>
        <w:rPr>
          <w:color w:val="26343D"/>
          <w:sz w:val="17"/>
        </w:rPr>
        <w:t>[49] S. Serrano, N. A. Smith, “Is Attention Interpretable?,” in Proceedings of the 57th Annual Meeting of the Association for Computational Linguistics, pp. 2931–2951, 2019. DOI: 10.18653/v1/P19-1282.</w:t>
      </w:r>
    </w:p>
    <w:p w14:paraId="0D2F4803" w14:textId="77777777" w:rsidR="004C250E" w:rsidRDefault="00000000">
      <w:pPr>
        <w:spacing w:after="80" w:line="240" w:lineRule="auto"/>
        <w:ind w:left="403" w:hanging="403"/>
      </w:pPr>
      <w:r>
        <w:rPr>
          <w:color w:val="26343D"/>
          <w:sz w:val="17"/>
        </w:rPr>
        <w:t>[50] S. Wiegreffe, Y. Pinter, “Attention Is Not Not Explanation,” in Proceedings of the 2019 Conference on Empirical Methods in Natural Language Processing and the 9th International Joint Conference on Natural Language Processing, pp. 11–20, 2019. DOI: 10.18653/v1/D19-1002.</w:t>
      </w:r>
    </w:p>
    <w:p w14:paraId="69EA41D3" w14:textId="77777777" w:rsidR="004C250E" w:rsidRDefault="00000000">
      <w:pPr>
        <w:spacing w:after="80" w:line="240" w:lineRule="auto"/>
        <w:ind w:left="403" w:hanging="403"/>
      </w:pPr>
      <w:r>
        <w:rPr>
          <w:color w:val="26343D"/>
          <w:sz w:val="17"/>
        </w:rPr>
        <w:t>[51] S. Abnar, W. Zuidema, “Quantifying Attention Flow in Transformers,” in Proceedings of the 58th Annual Meeting of the Association for Computational Linguistics, pp. 4190–4197, 2020. DOI: 10.18653/v1/2020.acl-main.385.</w:t>
      </w:r>
    </w:p>
    <w:p w14:paraId="5AEC3855" w14:textId="77777777" w:rsidR="004C250E" w:rsidRDefault="00000000">
      <w:pPr>
        <w:spacing w:after="80" w:line="240" w:lineRule="auto"/>
        <w:ind w:left="403" w:hanging="403"/>
      </w:pPr>
      <w:r>
        <w:rPr>
          <w:color w:val="26343D"/>
          <w:sz w:val="17"/>
        </w:rPr>
        <w:t>[52] M. Sundararajan, A. Taly, Q. Yan, “Axiomatic Attribution for Deep Networks,” in Proc. 34th Int. Conf. Mach. Learn., vol. 70, pp. 3319–3328, 2017. Available: https://proceedings.mlr.press/v70/sundararajan17a.html.</w:t>
      </w:r>
    </w:p>
    <w:p w14:paraId="3339F84F" w14:textId="77777777" w:rsidR="004C250E" w:rsidRDefault="00000000">
      <w:pPr>
        <w:spacing w:after="80" w:line="240" w:lineRule="auto"/>
        <w:ind w:left="403" w:hanging="403"/>
      </w:pPr>
      <w:r>
        <w:rPr>
          <w:color w:val="26343D"/>
          <w:sz w:val="17"/>
        </w:rPr>
        <w:t>[53] J. Adebayo, J. Gilmer, M. Muelly, I. Goodfellow, M. Hardt, B. Kim, “Sanity Checks for Saliency Maps,” in Advances in Neural Information Processing Systems, vol. 31, pp. 9505–9515, 2018. Available: https://proceedings.neurips.cc/paper/2018/hash/294a8ed24b1ad22ec2e7efea049b8737-Abstract.html.</w:t>
      </w:r>
    </w:p>
    <w:p w14:paraId="51F7C9F6" w14:textId="77777777" w:rsidR="004C250E" w:rsidRDefault="00000000">
      <w:pPr>
        <w:spacing w:after="80" w:line="240" w:lineRule="auto"/>
        <w:ind w:left="403" w:hanging="403"/>
      </w:pPr>
      <w:r>
        <w:rPr>
          <w:color w:val="26343D"/>
          <w:sz w:val="17"/>
        </w:rPr>
        <w:t>[54] H. Chefer, S. Gur, L. Wolf, “Transformer Interpretability Beyond Attention Visualization,” in Proc. IEEE/CVF Conf. Comput. Vis. Pattern Recognit., pp. 782–791, 2021. DOI: 10.1109/CVPR46437.2021.00084.</w:t>
      </w:r>
    </w:p>
    <w:p w14:paraId="2A0BC559" w14:textId="77777777" w:rsidR="004C250E" w:rsidRDefault="00000000">
      <w:pPr>
        <w:spacing w:after="80" w:line="240" w:lineRule="auto"/>
        <w:ind w:left="403" w:hanging="403"/>
      </w:pPr>
      <w:r>
        <w:rPr>
          <w:color w:val="26343D"/>
          <w:sz w:val="17"/>
        </w:rPr>
        <w:t>[55] A. Geiger, Z. Wu, C. Potts, T. Icard, N. Goodman, “Inducing Causal Structure for Interpretable Neural Networks,” in Proc. 39th Int. Conf. Mach. Learn., vol. 162, pp. 7324–7338, 2022. Available: https://proceedings.mlr.press/v162/geiger22a.html.</w:t>
      </w:r>
    </w:p>
    <w:sectPr w:rsidR="004C250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6135557">
    <w:abstractNumId w:val="8"/>
  </w:num>
  <w:num w:numId="2" w16cid:durableId="747194711">
    <w:abstractNumId w:val="6"/>
  </w:num>
  <w:num w:numId="3" w16cid:durableId="588924605">
    <w:abstractNumId w:val="5"/>
  </w:num>
  <w:num w:numId="4" w16cid:durableId="771556560">
    <w:abstractNumId w:val="4"/>
  </w:num>
  <w:num w:numId="5" w16cid:durableId="35275456">
    <w:abstractNumId w:val="7"/>
  </w:num>
  <w:num w:numId="6" w16cid:durableId="874850476">
    <w:abstractNumId w:val="3"/>
  </w:num>
  <w:num w:numId="7" w16cid:durableId="3286165">
    <w:abstractNumId w:val="2"/>
  </w:num>
  <w:num w:numId="8" w16cid:durableId="894046361">
    <w:abstractNumId w:val="1"/>
  </w:num>
  <w:num w:numId="9" w16cid:durableId="66054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36B"/>
    <w:rsid w:val="00094CD6"/>
    <w:rsid w:val="0015074B"/>
    <w:rsid w:val="0029639D"/>
    <w:rsid w:val="00326F90"/>
    <w:rsid w:val="00341F03"/>
    <w:rsid w:val="003E1B6A"/>
    <w:rsid w:val="004368BE"/>
    <w:rsid w:val="004C250E"/>
    <w:rsid w:val="004D5588"/>
    <w:rsid w:val="004E1E68"/>
    <w:rsid w:val="004F4849"/>
    <w:rsid w:val="005B4464"/>
    <w:rsid w:val="005D5368"/>
    <w:rsid w:val="006452CF"/>
    <w:rsid w:val="006F053A"/>
    <w:rsid w:val="0071308D"/>
    <w:rsid w:val="00713869"/>
    <w:rsid w:val="007336CA"/>
    <w:rsid w:val="0079720F"/>
    <w:rsid w:val="007E599C"/>
    <w:rsid w:val="00854860"/>
    <w:rsid w:val="008900CC"/>
    <w:rsid w:val="009116F8"/>
    <w:rsid w:val="00967CE5"/>
    <w:rsid w:val="009B6305"/>
    <w:rsid w:val="00A3332A"/>
    <w:rsid w:val="00A439D2"/>
    <w:rsid w:val="00A55DA2"/>
    <w:rsid w:val="00AA1D8D"/>
    <w:rsid w:val="00B47730"/>
    <w:rsid w:val="00B63702"/>
    <w:rsid w:val="00BA0128"/>
    <w:rsid w:val="00CA0CE6"/>
    <w:rsid w:val="00CB0664"/>
    <w:rsid w:val="00D003EF"/>
    <w:rsid w:val="00D412D2"/>
    <w:rsid w:val="00DC16A4"/>
    <w:rsid w:val="00E32168"/>
    <w:rsid w:val="00ED7B1F"/>
    <w:rsid w:val="00F845DC"/>
    <w:rsid w:val="00FC1638"/>
    <w:rsid w:val="00FC693F"/>
    <w:rsid w:val="00FE65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017CD"/>
  <w14:defaultImageDpi w14:val="300"/>
  <w15:docId w15:val="{1E468958-C57C-41E0-B024-3DDAF8837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67CE5"/>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17</Pages>
  <Words>9105</Words>
  <Characters>51904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22</cp:revision>
  <dcterms:created xsi:type="dcterms:W3CDTF">2013-12-23T23:15:00Z</dcterms:created>
  <dcterms:modified xsi:type="dcterms:W3CDTF">2026-10-11T04:14:00Z</dcterms:modified>
  <cp:category/>
</cp:coreProperties>
</file>