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3CDD2" w14:textId="77777777" w:rsidR="00B86945" w:rsidRDefault="00000000">
      <w:pPr>
        <w:pStyle w:val="Title"/>
        <w:spacing w:after="160"/>
      </w:pPr>
      <w:r>
        <w:rPr>
          <w:rFonts w:ascii="Times New Roman" w:hAnsi="Times New Roman"/>
          <w:b/>
        </w:rPr>
        <w:t>Supplementary Material</w:t>
      </w:r>
    </w:p>
    <w:p w14:paraId="285BF397" w14:textId="77777777" w:rsidR="00B86945" w:rsidRDefault="00000000">
      <w:pPr>
        <w:pStyle w:val="Heading1"/>
      </w:pPr>
      <w:r>
        <w:rPr>
          <w:rFonts w:ascii="Times New Roman" w:hAnsi="Times New Roman"/>
        </w:rPr>
        <w:t>Patch-Content Fungibility: Geometry, Functional Transmission, and Operator-Aware Token Compression</w:t>
      </w:r>
    </w:p>
    <w:p w14:paraId="6A9CBCE6" w14:textId="77777777" w:rsidR="00B86945" w:rsidRDefault="00000000">
      <w:pPr>
        <w:spacing w:after="100" w:line="259" w:lineRule="auto"/>
      </w:pPr>
      <w:r>
        <w:t>This Supplement provides study-family descriptions, additional results, and reproducibility details that complement the main text.</w:t>
      </w:r>
    </w:p>
    <w:p w14:paraId="1A07A39E" w14:textId="77777777" w:rsidR="00B86945" w:rsidRDefault="00000000">
      <w:pPr>
        <w:pStyle w:val="Heading1"/>
      </w:pPr>
      <w:r>
        <w:rPr>
          <w:rFonts w:ascii="Times New Roman" w:hAnsi="Times New Roman"/>
        </w:rPr>
        <w:t>S1. Evidence map and study design</w:t>
      </w:r>
    </w:p>
    <w:p w14:paraId="321C92A1" w14:textId="77777777" w:rsidR="00B86945" w:rsidRDefault="00000000">
      <w:pPr>
        <w:spacing w:after="100" w:line="259" w:lineRule="auto"/>
      </w:pPr>
      <w:r>
        <w:t>The analyses are grouped by the scientific question they address. Table I in the main text identifies each evidence family’s sample unit; cohorts and endpoints are not pooled across studies.</w:t>
      </w:r>
    </w:p>
    <w:p w14:paraId="0D32071A" w14:textId="77777777" w:rsidR="00B86945" w:rsidRDefault="00000000">
      <w:pPr>
        <w:spacing w:after="100" w:line="259" w:lineRule="auto"/>
      </w:pPr>
      <w:r>
        <w:rPr>
          <w:b/>
        </w:rPr>
        <w:t>Supplementary evidence map.</w:t>
      </w:r>
      <w:r>
        <w:t xml:space="preserve"> Summary of evidence families, scientific questions, model coverage, core conditions, and contributions covered by the supplementary analyses.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9"/>
        <w:gridCol w:w="1999"/>
        <w:gridCol w:w="1999"/>
        <w:gridCol w:w="1999"/>
        <w:gridCol w:w="1999"/>
      </w:tblGrid>
      <w:tr w:rsidR="00B86945" w:rsidRPr="0026008E" w14:paraId="0123E40F" w14:textId="77777777" w:rsidTr="0026008E">
        <w:trPr>
          <w:tblHeader/>
        </w:trPr>
        <w:tc>
          <w:tcPr>
            <w:tcW w:w="1999" w:type="dxa"/>
            <w:tcBorders>
              <w:top w:val="single" w:sz="4" w:space="0" w:color="auto"/>
              <w:bottom w:val="single" w:sz="4" w:space="0" w:color="auto"/>
            </w:tcBorders>
            <w:tcMar>
              <w:top w:w="55" w:type="dxa"/>
              <w:left w:w="65" w:type="dxa"/>
              <w:bottom w:w="55" w:type="dxa"/>
              <w:right w:w="65" w:type="dxa"/>
            </w:tcMar>
            <w:vAlign w:val="center"/>
          </w:tcPr>
          <w:p w14:paraId="53473767" w14:textId="77777777" w:rsidR="00B86945" w:rsidRPr="0026008E" w:rsidRDefault="00000000">
            <w:pPr>
              <w:jc w:val="center"/>
              <w:rPr>
                <w:szCs w:val="20"/>
              </w:rPr>
            </w:pPr>
            <w:r w:rsidRPr="0026008E">
              <w:rPr>
                <w:b/>
                <w:color w:val="17232D"/>
                <w:szCs w:val="20"/>
              </w:rPr>
              <w:t>Evidence family</w:t>
            </w:r>
          </w:p>
        </w:tc>
        <w:tc>
          <w:tcPr>
            <w:tcW w:w="1999" w:type="dxa"/>
            <w:tcBorders>
              <w:top w:val="single" w:sz="4" w:space="0" w:color="auto"/>
              <w:bottom w:val="single" w:sz="4" w:space="0" w:color="auto"/>
            </w:tcBorders>
            <w:tcMar>
              <w:top w:w="55" w:type="dxa"/>
              <w:left w:w="65" w:type="dxa"/>
              <w:bottom w:w="55" w:type="dxa"/>
              <w:right w:w="65" w:type="dxa"/>
            </w:tcMar>
            <w:vAlign w:val="center"/>
          </w:tcPr>
          <w:p w14:paraId="6E2544C7" w14:textId="77777777" w:rsidR="00B86945" w:rsidRPr="0026008E" w:rsidRDefault="00000000">
            <w:pPr>
              <w:jc w:val="center"/>
              <w:rPr>
                <w:szCs w:val="20"/>
              </w:rPr>
            </w:pPr>
            <w:r w:rsidRPr="0026008E">
              <w:rPr>
                <w:b/>
                <w:color w:val="17232D"/>
                <w:szCs w:val="20"/>
              </w:rPr>
              <w:t>Scientific question</w:t>
            </w:r>
          </w:p>
        </w:tc>
        <w:tc>
          <w:tcPr>
            <w:tcW w:w="1999" w:type="dxa"/>
            <w:tcBorders>
              <w:top w:val="single" w:sz="4" w:space="0" w:color="auto"/>
              <w:bottom w:val="single" w:sz="4" w:space="0" w:color="auto"/>
            </w:tcBorders>
            <w:tcMar>
              <w:top w:w="55" w:type="dxa"/>
              <w:left w:w="65" w:type="dxa"/>
              <w:bottom w:w="55" w:type="dxa"/>
              <w:right w:w="65" w:type="dxa"/>
            </w:tcMar>
            <w:vAlign w:val="center"/>
          </w:tcPr>
          <w:p w14:paraId="26CC88BF" w14:textId="77777777" w:rsidR="00B86945" w:rsidRPr="0026008E" w:rsidRDefault="00000000">
            <w:pPr>
              <w:jc w:val="center"/>
              <w:rPr>
                <w:szCs w:val="20"/>
              </w:rPr>
            </w:pPr>
            <w:r w:rsidRPr="0026008E">
              <w:rPr>
                <w:b/>
                <w:color w:val="17232D"/>
                <w:szCs w:val="20"/>
              </w:rPr>
              <w:t>Models</w:t>
            </w:r>
          </w:p>
        </w:tc>
        <w:tc>
          <w:tcPr>
            <w:tcW w:w="1999" w:type="dxa"/>
            <w:tcBorders>
              <w:top w:val="single" w:sz="4" w:space="0" w:color="auto"/>
              <w:bottom w:val="single" w:sz="4" w:space="0" w:color="auto"/>
            </w:tcBorders>
            <w:tcMar>
              <w:top w:w="55" w:type="dxa"/>
              <w:left w:w="65" w:type="dxa"/>
              <w:bottom w:w="55" w:type="dxa"/>
              <w:right w:w="65" w:type="dxa"/>
            </w:tcMar>
            <w:vAlign w:val="center"/>
          </w:tcPr>
          <w:p w14:paraId="0FA6C402" w14:textId="77777777" w:rsidR="00B86945" w:rsidRPr="0026008E" w:rsidRDefault="00000000">
            <w:pPr>
              <w:jc w:val="center"/>
              <w:rPr>
                <w:szCs w:val="20"/>
              </w:rPr>
            </w:pPr>
            <w:r w:rsidRPr="0026008E">
              <w:rPr>
                <w:b/>
                <w:color w:val="17232D"/>
                <w:szCs w:val="20"/>
              </w:rPr>
              <w:t>Core conditions</w:t>
            </w:r>
          </w:p>
        </w:tc>
        <w:tc>
          <w:tcPr>
            <w:tcW w:w="1999" w:type="dxa"/>
            <w:tcBorders>
              <w:top w:val="single" w:sz="4" w:space="0" w:color="auto"/>
              <w:bottom w:val="single" w:sz="4" w:space="0" w:color="auto"/>
            </w:tcBorders>
            <w:tcMar>
              <w:top w:w="55" w:type="dxa"/>
              <w:left w:w="65" w:type="dxa"/>
              <w:bottom w:w="55" w:type="dxa"/>
              <w:right w:w="65" w:type="dxa"/>
            </w:tcMar>
            <w:vAlign w:val="center"/>
          </w:tcPr>
          <w:p w14:paraId="0BBA322F" w14:textId="77777777" w:rsidR="00B86945" w:rsidRPr="0026008E" w:rsidRDefault="00000000">
            <w:pPr>
              <w:jc w:val="center"/>
              <w:rPr>
                <w:szCs w:val="20"/>
              </w:rPr>
            </w:pPr>
            <w:r w:rsidRPr="0026008E">
              <w:rPr>
                <w:b/>
                <w:color w:val="17232D"/>
                <w:szCs w:val="20"/>
              </w:rPr>
              <w:t>Contribution</w:t>
            </w:r>
          </w:p>
        </w:tc>
      </w:tr>
      <w:tr w:rsidR="00B86945" w:rsidRPr="0026008E" w14:paraId="424733C5" w14:textId="77777777" w:rsidTr="0026008E">
        <w:tc>
          <w:tcPr>
            <w:tcW w:w="1999" w:type="dxa"/>
            <w:tcBorders>
              <w:top w:val="single" w:sz="4" w:space="0" w:color="auto"/>
            </w:tcBorders>
            <w:tcMar>
              <w:top w:w="55" w:type="dxa"/>
              <w:left w:w="65" w:type="dxa"/>
              <w:bottom w:w="55" w:type="dxa"/>
              <w:right w:w="65" w:type="dxa"/>
            </w:tcMar>
            <w:vAlign w:val="center"/>
          </w:tcPr>
          <w:p w14:paraId="58F0C2A7" w14:textId="77777777" w:rsidR="00B86945" w:rsidRPr="0026008E" w:rsidRDefault="00000000">
            <w:pPr>
              <w:rPr>
                <w:szCs w:val="20"/>
              </w:rPr>
            </w:pPr>
            <w:r w:rsidRPr="0026008E">
              <w:rPr>
                <w:szCs w:val="20"/>
              </w:rPr>
              <w:t>Depth-dependent replacement</w:t>
            </w:r>
          </w:p>
        </w:tc>
        <w:tc>
          <w:tcPr>
            <w:tcW w:w="1999" w:type="dxa"/>
            <w:tcBorders>
              <w:top w:val="single" w:sz="4" w:space="0" w:color="auto"/>
            </w:tcBorders>
            <w:tcMar>
              <w:top w:w="55" w:type="dxa"/>
              <w:left w:w="65" w:type="dxa"/>
              <w:bottom w:w="55" w:type="dxa"/>
              <w:right w:w="65" w:type="dxa"/>
            </w:tcMar>
            <w:vAlign w:val="center"/>
          </w:tcPr>
          <w:p w14:paraId="27686B25" w14:textId="77777777" w:rsidR="00B86945" w:rsidRPr="0026008E" w:rsidRDefault="00000000">
            <w:pPr>
              <w:jc w:val="center"/>
              <w:rPr>
                <w:szCs w:val="20"/>
              </w:rPr>
            </w:pPr>
            <w:r w:rsidRPr="0026008E">
              <w:rPr>
                <w:szCs w:val="20"/>
              </w:rPr>
              <w:t>How does replacement tolerance vary with depth, and how does it differ from zero ablation?</w:t>
            </w:r>
          </w:p>
        </w:tc>
        <w:tc>
          <w:tcPr>
            <w:tcW w:w="1999" w:type="dxa"/>
            <w:tcBorders>
              <w:top w:val="single" w:sz="4" w:space="0" w:color="auto"/>
            </w:tcBorders>
            <w:tcMar>
              <w:top w:w="55" w:type="dxa"/>
              <w:left w:w="65" w:type="dxa"/>
              <w:bottom w:w="55" w:type="dxa"/>
              <w:right w:w="65" w:type="dxa"/>
            </w:tcMar>
            <w:vAlign w:val="center"/>
          </w:tcPr>
          <w:p w14:paraId="6BE32DA6" w14:textId="77777777" w:rsidR="00B86945" w:rsidRPr="0026008E" w:rsidRDefault="00000000">
            <w:pPr>
              <w:jc w:val="center"/>
              <w:rPr>
                <w:szCs w:val="20"/>
              </w:rPr>
            </w:pPr>
            <w:r w:rsidRPr="0026008E">
              <w:rPr>
                <w:szCs w:val="20"/>
              </w:rPr>
              <w:t>All four architectures</w:t>
            </w:r>
          </w:p>
        </w:tc>
        <w:tc>
          <w:tcPr>
            <w:tcW w:w="1999" w:type="dxa"/>
            <w:tcBorders>
              <w:top w:val="single" w:sz="4" w:space="0" w:color="auto"/>
            </w:tcBorders>
            <w:tcMar>
              <w:top w:w="55" w:type="dxa"/>
              <w:left w:w="65" w:type="dxa"/>
              <w:bottom w:w="55" w:type="dxa"/>
              <w:right w:w="65" w:type="dxa"/>
            </w:tcMar>
            <w:vAlign w:val="center"/>
          </w:tcPr>
          <w:p w14:paraId="055B36E3" w14:textId="77777777" w:rsidR="00B86945" w:rsidRPr="0026008E" w:rsidRDefault="00000000">
            <w:pPr>
              <w:jc w:val="center"/>
              <w:rPr>
                <w:szCs w:val="20"/>
              </w:rPr>
            </w:pPr>
            <w:r w:rsidRPr="0026008E">
              <w:rPr>
                <w:szCs w:val="20"/>
              </w:rPr>
              <w:t>Zero, calibration centroid, and Gaussian surrogates at 25% replacement across depths 5–10; depth-6 follow-up for ViT-B and DINOv2</w:t>
            </w:r>
          </w:p>
        </w:tc>
        <w:tc>
          <w:tcPr>
            <w:tcW w:w="1999" w:type="dxa"/>
            <w:tcBorders>
              <w:top w:val="single" w:sz="4" w:space="0" w:color="auto"/>
            </w:tcBorders>
            <w:tcMar>
              <w:top w:w="55" w:type="dxa"/>
              <w:left w:w="65" w:type="dxa"/>
              <w:bottom w:w="55" w:type="dxa"/>
              <w:right w:w="65" w:type="dxa"/>
            </w:tcMar>
            <w:vAlign w:val="center"/>
          </w:tcPr>
          <w:p w14:paraId="1755666D" w14:textId="77777777" w:rsidR="00B86945" w:rsidRPr="0026008E" w:rsidRDefault="00000000">
            <w:pPr>
              <w:jc w:val="center"/>
              <w:rPr>
                <w:szCs w:val="20"/>
              </w:rPr>
            </w:pPr>
            <w:r w:rsidRPr="0026008E">
              <w:rPr>
                <w:szCs w:val="20"/>
              </w:rPr>
              <w:t>Establishes architecture-dependent depth profiles and the distinction between content replacement and removal.</w:t>
            </w:r>
          </w:p>
        </w:tc>
      </w:tr>
      <w:tr w:rsidR="00B86945" w:rsidRPr="0026008E" w14:paraId="1AB49E4D" w14:textId="77777777" w:rsidTr="0026008E">
        <w:tc>
          <w:tcPr>
            <w:tcW w:w="1999" w:type="dxa"/>
            <w:tcMar>
              <w:top w:w="55" w:type="dxa"/>
              <w:left w:w="65" w:type="dxa"/>
              <w:bottom w:w="55" w:type="dxa"/>
              <w:right w:w="65" w:type="dxa"/>
            </w:tcMar>
            <w:vAlign w:val="center"/>
          </w:tcPr>
          <w:p w14:paraId="4099F40B" w14:textId="77777777" w:rsidR="00B86945" w:rsidRPr="0026008E" w:rsidRDefault="00000000">
            <w:pPr>
              <w:rPr>
                <w:szCs w:val="20"/>
              </w:rPr>
            </w:pPr>
            <w:r w:rsidRPr="0026008E">
              <w:rPr>
                <w:szCs w:val="20"/>
              </w:rPr>
              <w:t>Geometric compatibility</w:t>
            </w:r>
          </w:p>
        </w:tc>
        <w:tc>
          <w:tcPr>
            <w:tcW w:w="1999" w:type="dxa"/>
            <w:tcMar>
              <w:top w:w="55" w:type="dxa"/>
              <w:left w:w="65" w:type="dxa"/>
              <w:bottom w:w="55" w:type="dxa"/>
              <w:right w:w="65" w:type="dxa"/>
            </w:tcMar>
            <w:vAlign w:val="center"/>
          </w:tcPr>
          <w:p w14:paraId="6D341DEA" w14:textId="77777777" w:rsidR="00B86945" w:rsidRPr="0026008E" w:rsidRDefault="00000000">
            <w:pPr>
              <w:jc w:val="center"/>
              <w:rPr>
                <w:szCs w:val="20"/>
              </w:rPr>
            </w:pPr>
            <w:r w:rsidRPr="0026008E">
              <w:rPr>
                <w:szCs w:val="20"/>
              </w:rPr>
              <w:t>Which properties of static surrogate vectors constrain replacement?</w:t>
            </w:r>
          </w:p>
        </w:tc>
        <w:tc>
          <w:tcPr>
            <w:tcW w:w="1999" w:type="dxa"/>
            <w:tcMar>
              <w:top w:w="55" w:type="dxa"/>
              <w:left w:w="65" w:type="dxa"/>
              <w:bottom w:w="55" w:type="dxa"/>
              <w:right w:w="65" w:type="dxa"/>
            </w:tcMar>
            <w:vAlign w:val="center"/>
          </w:tcPr>
          <w:p w14:paraId="036C84A3" w14:textId="77777777" w:rsidR="00B86945" w:rsidRPr="0026008E" w:rsidRDefault="00000000">
            <w:pPr>
              <w:jc w:val="center"/>
              <w:rPr>
                <w:szCs w:val="20"/>
              </w:rPr>
            </w:pPr>
            <w:r w:rsidRPr="0026008E">
              <w:rPr>
                <w:szCs w:val="20"/>
              </w:rPr>
              <w:t>All four architectures</w:t>
            </w:r>
          </w:p>
        </w:tc>
        <w:tc>
          <w:tcPr>
            <w:tcW w:w="1999" w:type="dxa"/>
            <w:tcMar>
              <w:top w:w="55" w:type="dxa"/>
              <w:left w:w="65" w:type="dxa"/>
              <w:bottom w:w="55" w:type="dxa"/>
              <w:right w:w="65" w:type="dxa"/>
            </w:tcMar>
            <w:vAlign w:val="center"/>
          </w:tcPr>
          <w:p w14:paraId="7529009B" w14:textId="77777777" w:rsidR="00B86945" w:rsidRPr="0026008E" w:rsidRDefault="00000000">
            <w:pPr>
              <w:jc w:val="center"/>
              <w:rPr>
                <w:szCs w:val="20"/>
              </w:rPr>
            </w:pPr>
            <w:r w:rsidRPr="0026008E">
              <w:rPr>
                <w:szCs w:val="20"/>
              </w:rPr>
              <w:t>Centroid, coordinate permutation, sign inversion, scale, and alignment controls</w:t>
            </w:r>
          </w:p>
        </w:tc>
        <w:tc>
          <w:tcPr>
            <w:tcW w:w="1999" w:type="dxa"/>
            <w:tcMar>
              <w:top w:w="55" w:type="dxa"/>
              <w:left w:w="65" w:type="dxa"/>
              <w:bottom w:w="55" w:type="dxa"/>
              <w:right w:w="65" w:type="dxa"/>
            </w:tcMar>
            <w:vAlign w:val="center"/>
          </w:tcPr>
          <w:p w14:paraId="41093EA2" w14:textId="77777777" w:rsidR="00B86945" w:rsidRPr="0026008E" w:rsidRDefault="00000000">
            <w:pPr>
              <w:jc w:val="center"/>
              <w:rPr>
                <w:szCs w:val="20"/>
              </w:rPr>
            </w:pPr>
            <w:r w:rsidRPr="0026008E">
              <w:rPr>
                <w:szCs w:val="20"/>
              </w:rPr>
              <w:t>Shows that coordinate assignment and direction matter in tested settings.</w:t>
            </w:r>
          </w:p>
        </w:tc>
      </w:tr>
      <w:tr w:rsidR="00B86945" w:rsidRPr="0026008E" w14:paraId="5BC80E61" w14:textId="77777777" w:rsidTr="0026008E">
        <w:tc>
          <w:tcPr>
            <w:tcW w:w="1999" w:type="dxa"/>
            <w:tcMar>
              <w:top w:w="55" w:type="dxa"/>
              <w:left w:w="65" w:type="dxa"/>
              <w:bottom w:w="55" w:type="dxa"/>
              <w:right w:w="65" w:type="dxa"/>
            </w:tcMar>
            <w:vAlign w:val="center"/>
          </w:tcPr>
          <w:p w14:paraId="1E29B476" w14:textId="77777777" w:rsidR="00B86945" w:rsidRPr="0026008E" w:rsidRDefault="00000000">
            <w:pPr>
              <w:rPr>
                <w:szCs w:val="20"/>
              </w:rPr>
            </w:pPr>
            <w:r w:rsidRPr="0026008E">
              <w:rPr>
                <w:szCs w:val="20"/>
              </w:rPr>
              <w:t>Token-position diversity</w:t>
            </w:r>
          </w:p>
        </w:tc>
        <w:tc>
          <w:tcPr>
            <w:tcW w:w="1999" w:type="dxa"/>
            <w:tcMar>
              <w:top w:w="55" w:type="dxa"/>
              <w:left w:w="65" w:type="dxa"/>
              <w:bottom w:w="55" w:type="dxa"/>
              <w:right w:w="65" w:type="dxa"/>
            </w:tcMar>
            <w:vAlign w:val="center"/>
          </w:tcPr>
          <w:p w14:paraId="40FCC718" w14:textId="77777777" w:rsidR="00B86945" w:rsidRPr="0026008E" w:rsidRDefault="00000000">
            <w:pPr>
              <w:jc w:val="center"/>
              <w:rPr>
                <w:szCs w:val="20"/>
              </w:rPr>
            </w:pPr>
            <w:r w:rsidRPr="0026008E">
              <w:rPr>
                <w:szCs w:val="20"/>
              </w:rPr>
              <w:t>How does variation across patch positions affect complete replacement?</w:t>
            </w:r>
          </w:p>
        </w:tc>
        <w:tc>
          <w:tcPr>
            <w:tcW w:w="1999" w:type="dxa"/>
            <w:tcMar>
              <w:top w:w="55" w:type="dxa"/>
              <w:left w:w="65" w:type="dxa"/>
              <w:bottom w:w="55" w:type="dxa"/>
              <w:right w:w="65" w:type="dxa"/>
            </w:tcMar>
            <w:vAlign w:val="center"/>
          </w:tcPr>
          <w:p w14:paraId="3C6EAE59" w14:textId="77777777" w:rsidR="00B86945" w:rsidRPr="0026008E" w:rsidRDefault="00000000">
            <w:pPr>
              <w:jc w:val="center"/>
              <w:rPr>
                <w:szCs w:val="20"/>
              </w:rPr>
            </w:pPr>
            <w:r w:rsidRPr="0026008E">
              <w:rPr>
                <w:szCs w:val="20"/>
              </w:rPr>
              <w:t>All four architectures</w:t>
            </w:r>
          </w:p>
        </w:tc>
        <w:tc>
          <w:tcPr>
            <w:tcW w:w="1999" w:type="dxa"/>
            <w:tcMar>
              <w:top w:w="55" w:type="dxa"/>
              <w:left w:w="65" w:type="dxa"/>
              <w:bottom w:w="55" w:type="dxa"/>
              <w:right w:w="65" w:type="dxa"/>
            </w:tcMar>
            <w:vAlign w:val="center"/>
          </w:tcPr>
          <w:p w14:paraId="7D2362DF" w14:textId="77777777" w:rsidR="00B86945" w:rsidRPr="0026008E" w:rsidRDefault="00000000">
            <w:pPr>
              <w:jc w:val="center"/>
              <w:rPr>
                <w:szCs w:val="20"/>
              </w:rPr>
            </w:pPr>
            <w:r w:rsidRPr="0026008E">
              <w:rPr>
                <w:szCs w:val="20"/>
              </w:rPr>
              <w:t>Shared, grouped, and independent Gaussian surrogates at Block 8</w:t>
            </w:r>
          </w:p>
        </w:tc>
        <w:tc>
          <w:tcPr>
            <w:tcW w:w="1999" w:type="dxa"/>
            <w:tcMar>
              <w:top w:w="55" w:type="dxa"/>
              <w:left w:w="65" w:type="dxa"/>
              <w:bottom w:w="55" w:type="dxa"/>
              <w:right w:w="65" w:type="dxa"/>
            </w:tcMar>
            <w:vAlign w:val="center"/>
          </w:tcPr>
          <w:p w14:paraId="5194FD59" w14:textId="77777777" w:rsidR="00B86945" w:rsidRPr="0026008E" w:rsidRDefault="00000000">
            <w:pPr>
              <w:jc w:val="center"/>
              <w:rPr>
                <w:szCs w:val="20"/>
              </w:rPr>
            </w:pPr>
            <w:r w:rsidRPr="0026008E">
              <w:rPr>
                <w:szCs w:val="20"/>
              </w:rPr>
              <w:t>Resolves an architecture-dependent diversity response; DINOv2 accuracy and margin are reported separately.</w:t>
            </w:r>
          </w:p>
        </w:tc>
      </w:tr>
      <w:tr w:rsidR="00B86945" w:rsidRPr="0026008E" w14:paraId="1F01274E" w14:textId="77777777" w:rsidTr="0026008E">
        <w:tc>
          <w:tcPr>
            <w:tcW w:w="1999" w:type="dxa"/>
            <w:tcMar>
              <w:top w:w="55" w:type="dxa"/>
              <w:left w:w="65" w:type="dxa"/>
              <w:bottom w:w="55" w:type="dxa"/>
              <w:right w:w="65" w:type="dxa"/>
            </w:tcMar>
            <w:vAlign w:val="center"/>
          </w:tcPr>
          <w:p w14:paraId="24DC9148" w14:textId="77777777" w:rsidR="00B86945" w:rsidRPr="0026008E" w:rsidRDefault="00000000">
            <w:pPr>
              <w:rPr>
                <w:szCs w:val="20"/>
              </w:rPr>
            </w:pPr>
            <w:r w:rsidRPr="0026008E">
              <w:rPr>
                <w:szCs w:val="20"/>
              </w:rPr>
              <w:t>Calibration-derived feature directions</w:t>
            </w:r>
          </w:p>
        </w:tc>
        <w:tc>
          <w:tcPr>
            <w:tcW w:w="1999" w:type="dxa"/>
            <w:tcMar>
              <w:top w:w="55" w:type="dxa"/>
              <w:left w:w="65" w:type="dxa"/>
              <w:bottom w:w="55" w:type="dxa"/>
              <w:right w:w="65" w:type="dxa"/>
            </w:tcMar>
            <w:vAlign w:val="center"/>
          </w:tcPr>
          <w:p w14:paraId="3CBE3C2A" w14:textId="77777777" w:rsidR="00B86945" w:rsidRPr="0026008E" w:rsidRDefault="00000000">
            <w:pPr>
              <w:jc w:val="center"/>
              <w:rPr>
                <w:szCs w:val="20"/>
              </w:rPr>
            </w:pPr>
            <w:r w:rsidRPr="0026008E">
              <w:rPr>
                <w:szCs w:val="20"/>
              </w:rPr>
              <w:t>Can a calibrated low-dimensional direction outperform an energy-matched random direction?</w:t>
            </w:r>
          </w:p>
        </w:tc>
        <w:tc>
          <w:tcPr>
            <w:tcW w:w="1999" w:type="dxa"/>
            <w:tcMar>
              <w:top w:w="55" w:type="dxa"/>
              <w:left w:w="65" w:type="dxa"/>
              <w:bottom w:w="55" w:type="dxa"/>
              <w:right w:w="65" w:type="dxa"/>
            </w:tcMar>
            <w:vAlign w:val="center"/>
          </w:tcPr>
          <w:p w14:paraId="6916FC42" w14:textId="77777777" w:rsidR="00B86945" w:rsidRPr="0026008E" w:rsidRDefault="00000000">
            <w:pPr>
              <w:jc w:val="center"/>
              <w:rPr>
                <w:szCs w:val="20"/>
              </w:rPr>
            </w:pPr>
            <w:r w:rsidRPr="0026008E">
              <w:rPr>
                <w:szCs w:val="20"/>
              </w:rPr>
              <w:t>All four architectures</w:t>
            </w:r>
          </w:p>
        </w:tc>
        <w:tc>
          <w:tcPr>
            <w:tcW w:w="1999" w:type="dxa"/>
            <w:tcMar>
              <w:top w:w="55" w:type="dxa"/>
              <w:left w:w="65" w:type="dxa"/>
              <w:bottom w:w="55" w:type="dxa"/>
              <w:right w:w="65" w:type="dxa"/>
            </w:tcMar>
            <w:vAlign w:val="center"/>
          </w:tcPr>
          <w:p w14:paraId="31D86A7C" w14:textId="77777777" w:rsidR="00B86945" w:rsidRPr="0026008E" w:rsidRDefault="00000000">
            <w:pPr>
              <w:jc w:val="center"/>
              <w:rPr>
                <w:szCs w:val="20"/>
              </w:rPr>
            </w:pPr>
            <w:r w:rsidRPr="0026008E">
              <w:rPr>
                <w:szCs w:val="20"/>
              </w:rPr>
              <w:t>PCA-aligned and random one-dimensional variation, amplitude controls, and rank analyses</w:t>
            </w:r>
          </w:p>
        </w:tc>
        <w:tc>
          <w:tcPr>
            <w:tcW w:w="1999" w:type="dxa"/>
            <w:tcMar>
              <w:top w:w="55" w:type="dxa"/>
              <w:left w:w="65" w:type="dxa"/>
              <w:bottom w:w="55" w:type="dxa"/>
              <w:right w:w="65" w:type="dxa"/>
            </w:tcMar>
            <w:vAlign w:val="center"/>
          </w:tcPr>
          <w:p w14:paraId="5679F036" w14:textId="77777777" w:rsidR="00B86945" w:rsidRPr="0026008E" w:rsidRDefault="00000000">
            <w:pPr>
              <w:jc w:val="center"/>
              <w:rPr>
                <w:szCs w:val="20"/>
              </w:rPr>
            </w:pPr>
            <w:r w:rsidRPr="0026008E">
              <w:rPr>
                <w:szCs w:val="20"/>
              </w:rPr>
              <w:t>Supports learned-direction compatibility without establishing rank-1 sufficiency.</w:t>
            </w:r>
          </w:p>
        </w:tc>
      </w:tr>
      <w:tr w:rsidR="00B86945" w:rsidRPr="0026008E" w14:paraId="3C39E8B8" w14:textId="77777777" w:rsidTr="0026008E">
        <w:tc>
          <w:tcPr>
            <w:tcW w:w="1999" w:type="dxa"/>
            <w:tcMar>
              <w:top w:w="55" w:type="dxa"/>
              <w:left w:w="65" w:type="dxa"/>
              <w:bottom w:w="55" w:type="dxa"/>
              <w:right w:w="65" w:type="dxa"/>
            </w:tcMar>
            <w:vAlign w:val="center"/>
          </w:tcPr>
          <w:p w14:paraId="0A4D8D18" w14:textId="77777777" w:rsidR="00B86945" w:rsidRPr="0026008E" w:rsidRDefault="00000000">
            <w:pPr>
              <w:rPr>
                <w:szCs w:val="20"/>
              </w:rPr>
            </w:pPr>
            <w:r w:rsidRPr="0026008E">
              <w:rPr>
                <w:szCs w:val="20"/>
              </w:rPr>
              <w:t>Functional and transmission mechanisms</w:t>
            </w:r>
          </w:p>
        </w:tc>
        <w:tc>
          <w:tcPr>
            <w:tcW w:w="1999" w:type="dxa"/>
            <w:tcMar>
              <w:top w:w="55" w:type="dxa"/>
              <w:left w:w="65" w:type="dxa"/>
              <w:bottom w:w="55" w:type="dxa"/>
              <w:right w:w="65" w:type="dxa"/>
            </w:tcMar>
            <w:vAlign w:val="center"/>
          </w:tcPr>
          <w:p w14:paraId="5C2A7635" w14:textId="77777777" w:rsidR="00B86945" w:rsidRPr="0026008E" w:rsidRDefault="00000000">
            <w:pPr>
              <w:jc w:val="center"/>
              <w:rPr>
                <w:szCs w:val="20"/>
              </w:rPr>
            </w:pPr>
            <w:r w:rsidRPr="0026008E">
              <w:rPr>
                <w:szCs w:val="20"/>
              </w:rPr>
              <w:t>How do feature sensitivity, token coherence, and downstream computation relate to replacement effects?</w:t>
            </w:r>
          </w:p>
        </w:tc>
        <w:tc>
          <w:tcPr>
            <w:tcW w:w="1999" w:type="dxa"/>
            <w:tcMar>
              <w:top w:w="55" w:type="dxa"/>
              <w:left w:w="65" w:type="dxa"/>
              <w:bottom w:w="55" w:type="dxa"/>
              <w:right w:w="65" w:type="dxa"/>
            </w:tcMar>
            <w:vAlign w:val="center"/>
          </w:tcPr>
          <w:p w14:paraId="6405BAB3" w14:textId="77777777" w:rsidR="00B86945" w:rsidRPr="0026008E" w:rsidRDefault="00000000">
            <w:pPr>
              <w:jc w:val="center"/>
              <w:rPr>
                <w:szCs w:val="20"/>
              </w:rPr>
            </w:pPr>
            <w:r w:rsidRPr="0026008E">
              <w:rPr>
                <w:szCs w:val="20"/>
              </w:rPr>
              <w:t>Cohorts listed in Table I</w:t>
            </w:r>
          </w:p>
        </w:tc>
        <w:tc>
          <w:tcPr>
            <w:tcW w:w="1999" w:type="dxa"/>
            <w:tcMar>
              <w:top w:w="55" w:type="dxa"/>
              <w:left w:w="65" w:type="dxa"/>
              <w:bottom w:w="55" w:type="dxa"/>
              <w:right w:w="65" w:type="dxa"/>
            </w:tcMar>
            <w:vAlign w:val="center"/>
          </w:tcPr>
          <w:p w14:paraId="4AD85100" w14:textId="77777777" w:rsidR="00B86945" w:rsidRPr="0026008E" w:rsidRDefault="00000000">
            <w:pPr>
              <w:jc w:val="center"/>
              <w:rPr>
                <w:szCs w:val="20"/>
              </w:rPr>
            </w:pPr>
            <w:r w:rsidRPr="0026008E">
              <w:rPr>
                <w:szCs w:val="20"/>
              </w:rPr>
              <w:t>Margin-gradient geometry, frozen-attention Value-path analysis, joint token–feature perturbations, and multi-block operator prediction</w:t>
            </w:r>
          </w:p>
        </w:tc>
        <w:tc>
          <w:tcPr>
            <w:tcW w:w="1999" w:type="dxa"/>
            <w:tcMar>
              <w:top w:w="55" w:type="dxa"/>
              <w:left w:w="65" w:type="dxa"/>
              <w:bottom w:w="55" w:type="dxa"/>
              <w:right w:w="65" w:type="dxa"/>
            </w:tcMar>
            <w:vAlign w:val="center"/>
          </w:tcPr>
          <w:p w14:paraId="67A83D05" w14:textId="77777777" w:rsidR="00B86945" w:rsidRPr="0026008E" w:rsidRDefault="00000000">
            <w:pPr>
              <w:jc w:val="center"/>
              <w:rPr>
                <w:szCs w:val="20"/>
              </w:rPr>
            </w:pPr>
            <w:r w:rsidRPr="0026008E">
              <w:rPr>
                <w:szCs w:val="20"/>
              </w:rPr>
              <w:t>Connects local feature geometry with token-coherent transmission while retaining the distinct study units.</w:t>
            </w:r>
          </w:p>
        </w:tc>
      </w:tr>
      <w:tr w:rsidR="00B86945" w:rsidRPr="0026008E" w14:paraId="3A17B8FD" w14:textId="77777777" w:rsidTr="0026008E">
        <w:tc>
          <w:tcPr>
            <w:tcW w:w="1999" w:type="dxa"/>
            <w:tcMar>
              <w:top w:w="55" w:type="dxa"/>
              <w:left w:w="65" w:type="dxa"/>
              <w:bottom w:w="55" w:type="dxa"/>
              <w:right w:w="65" w:type="dxa"/>
            </w:tcMar>
            <w:vAlign w:val="center"/>
          </w:tcPr>
          <w:p w14:paraId="14A1B702" w14:textId="77777777" w:rsidR="00B86945" w:rsidRPr="0026008E" w:rsidRDefault="00000000">
            <w:pPr>
              <w:rPr>
                <w:szCs w:val="20"/>
              </w:rPr>
            </w:pPr>
            <w:r w:rsidRPr="0026008E">
              <w:rPr>
                <w:szCs w:val="20"/>
              </w:rPr>
              <w:t>Operator-aware compression</w:t>
            </w:r>
          </w:p>
        </w:tc>
        <w:tc>
          <w:tcPr>
            <w:tcW w:w="1999" w:type="dxa"/>
            <w:tcMar>
              <w:top w:w="55" w:type="dxa"/>
              <w:left w:w="65" w:type="dxa"/>
              <w:bottom w:w="55" w:type="dxa"/>
              <w:right w:w="65" w:type="dxa"/>
            </w:tcMar>
            <w:vAlign w:val="center"/>
          </w:tcPr>
          <w:p w14:paraId="1AF68B3D" w14:textId="77777777" w:rsidR="00B86945" w:rsidRPr="0026008E" w:rsidRDefault="00000000">
            <w:pPr>
              <w:jc w:val="center"/>
              <w:rPr>
                <w:szCs w:val="20"/>
              </w:rPr>
            </w:pPr>
            <w:r w:rsidRPr="0026008E">
              <w:rPr>
                <w:szCs w:val="20"/>
              </w:rPr>
              <w:t>Can an end-to-end readout objective guide token grouping and carrier optimization?</w:t>
            </w:r>
          </w:p>
        </w:tc>
        <w:tc>
          <w:tcPr>
            <w:tcW w:w="1999" w:type="dxa"/>
            <w:tcMar>
              <w:top w:w="55" w:type="dxa"/>
              <w:left w:w="65" w:type="dxa"/>
              <w:bottom w:w="55" w:type="dxa"/>
              <w:right w:w="65" w:type="dxa"/>
            </w:tcMar>
            <w:vAlign w:val="center"/>
          </w:tcPr>
          <w:p w14:paraId="7F486FE2" w14:textId="77777777" w:rsidR="00B86945" w:rsidRPr="0026008E" w:rsidRDefault="00000000">
            <w:pPr>
              <w:jc w:val="center"/>
              <w:rPr>
                <w:szCs w:val="20"/>
              </w:rPr>
            </w:pPr>
            <w:r w:rsidRPr="0026008E">
              <w:rPr>
                <w:szCs w:val="20"/>
              </w:rPr>
              <w:t>All four architectures</w:t>
            </w:r>
          </w:p>
        </w:tc>
        <w:tc>
          <w:tcPr>
            <w:tcW w:w="1999" w:type="dxa"/>
            <w:tcMar>
              <w:top w:w="55" w:type="dxa"/>
              <w:left w:w="65" w:type="dxa"/>
              <w:bottom w:w="55" w:type="dxa"/>
              <w:right w:w="65" w:type="dxa"/>
            </w:tcMar>
            <w:vAlign w:val="center"/>
          </w:tcPr>
          <w:p w14:paraId="18F9314E" w14:textId="77777777" w:rsidR="00B86945" w:rsidRPr="0026008E" w:rsidRDefault="00000000">
            <w:pPr>
              <w:jc w:val="center"/>
              <w:rPr>
                <w:szCs w:val="20"/>
              </w:rPr>
            </w:pPr>
            <w:r w:rsidRPr="0026008E">
              <w:rPr>
                <w:szCs w:val="20"/>
              </w:rPr>
              <w:t>Group Mean, pruning, ToMe, full-J oracle, and low-rank operator approximations</w:t>
            </w:r>
          </w:p>
        </w:tc>
        <w:tc>
          <w:tcPr>
            <w:tcW w:w="1999" w:type="dxa"/>
            <w:tcMar>
              <w:top w:w="55" w:type="dxa"/>
              <w:left w:w="65" w:type="dxa"/>
              <w:bottom w:w="55" w:type="dxa"/>
              <w:right w:w="65" w:type="dxa"/>
            </w:tcMar>
            <w:vAlign w:val="center"/>
          </w:tcPr>
          <w:p w14:paraId="2AE54F16" w14:textId="77777777" w:rsidR="00B86945" w:rsidRPr="0026008E" w:rsidRDefault="00000000">
            <w:pPr>
              <w:jc w:val="center"/>
              <w:rPr>
                <w:szCs w:val="20"/>
              </w:rPr>
            </w:pPr>
            <w:r w:rsidRPr="0026008E">
              <w:rPr>
                <w:szCs w:val="20"/>
              </w:rPr>
              <w:t>Evaluates operator-aware compression on the strict held-out benchmark.</w:t>
            </w:r>
          </w:p>
        </w:tc>
      </w:tr>
      <w:tr w:rsidR="00B86945" w:rsidRPr="0026008E" w14:paraId="458A4367" w14:textId="77777777" w:rsidTr="0026008E">
        <w:tc>
          <w:tcPr>
            <w:tcW w:w="1999" w:type="dxa"/>
            <w:tcMar>
              <w:top w:w="55" w:type="dxa"/>
              <w:left w:w="65" w:type="dxa"/>
              <w:bottom w:w="55" w:type="dxa"/>
              <w:right w:w="65" w:type="dxa"/>
            </w:tcMar>
            <w:vAlign w:val="center"/>
          </w:tcPr>
          <w:p w14:paraId="3B208C04" w14:textId="77777777" w:rsidR="00B86945" w:rsidRPr="0026008E" w:rsidRDefault="00000000">
            <w:pPr>
              <w:rPr>
                <w:szCs w:val="20"/>
              </w:rPr>
            </w:pPr>
            <w:r w:rsidRPr="0026008E">
              <w:rPr>
                <w:szCs w:val="20"/>
              </w:rPr>
              <w:t>Practical carrier evaluation</w:t>
            </w:r>
          </w:p>
        </w:tc>
        <w:tc>
          <w:tcPr>
            <w:tcW w:w="1999" w:type="dxa"/>
            <w:tcMar>
              <w:top w:w="55" w:type="dxa"/>
              <w:left w:w="65" w:type="dxa"/>
              <w:bottom w:w="55" w:type="dxa"/>
              <w:right w:w="65" w:type="dxa"/>
            </w:tcMar>
            <w:vAlign w:val="center"/>
          </w:tcPr>
          <w:p w14:paraId="6AA84194" w14:textId="77777777" w:rsidR="00B86945" w:rsidRPr="0026008E" w:rsidRDefault="00000000">
            <w:pPr>
              <w:jc w:val="center"/>
              <w:rPr>
                <w:szCs w:val="20"/>
              </w:rPr>
            </w:pPr>
            <w:r w:rsidRPr="0026008E">
              <w:rPr>
                <w:szCs w:val="20"/>
              </w:rPr>
              <w:t>Do static corrections improve classifier accuracy or measured throughput?</w:t>
            </w:r>
          </w:p>
        </w:tc>
        <w:tc>
          <w:tcPr>
            <w:tcW w:w="1999" w:type="dxa"/>
            <w:tcMar>
              <w:top w:w="55" w:type="dxa"/>
              <w:left w:w="65" w:type="dxa"/>
              <w:bottom w:w="55" w:type="dxa"/>
              <w:right w:w="65" w:type="dxa"/>
            </w:tcMar>
            <w:vAlign w:val="center"/>
          </w:tcPr>
          <w:p w14:paraId="53E8B995" w14:textId="77777777" w:rsidR="00B86945" w:rsidRPr="0026008E" w:rsidRDefault="00000000">
            <w:pPr>
              <w:jc w:val="center"/>
              <w:rPr>
                <w:szCs w:val="20"/>
              </w:rPr>
            </w:pPr>
            <w:r w:rsidRPr="0026008E">
              <w:rPr>
                <w:szCs w:val="20"/>
              </w:rPr>
              <w:t>All four architectures</w:t>
            </w:r>
          </w:p>
        </w:tc>
        <w:tc>
          <w:tcPr>
            <w:tcW w:w="1999" w:type="dxa"/>
            <w:tcMar>
              <w:top w:w="55" w:type="dxa"/>
              <w:left w:w="65" w:type="dxa"/>
              <w:bottom w:w="55" w:type="dxa"/>
              <w:right w:w="65" w:type="dxa"/>
            </w:tcMar>
            <w:vAlign w:val="center"/>
          </w:tcPr>
          <w:p w14:paraId="22247BC5" w14:textId="77777777" w:rsidR="00B86945" w:rsidRPr="0026008E" w:rsidRDefault="00000000">
            <w:pPr>
              <w:jc w:val="center"/>
              <w:rPr>
                <w:szCs w:val="20"/>
              </w:rPr>
            </w:pPr>
            <w:r w:rsidRPr="0026008E">
              <w:rPr>
                <w:szCs w:val="20"/>
              </w:rPr>
              <w:t xml:space="preserve">Calibration-frozen Feature-PCA corrections; separate operator-space and </w:t>
            </w:r>
            <w:r w:rsidRPr="0026008E">
              <w:rPr>
                <w:szCs w:val="20"/>
              </w:rPr>
              <w:lastRenderedPageBreak/>
              <w:t>classifier evaluations</w:t>
            </w:r>
          </w:p>
        </w:tc>
        <w:tc>
          <w:tcPr>
            <w:tcW w:w="1999" w:type="dxa"/>
            <w:tcMar>
              <w:top w:w="55" w:type="dxa"/>
              <w:left w:w="65" w:type="dxa"/>
              <w:bottom w:w="55" w:type="dxa"/>
              <w:right w:w="65" w:type="dxa"/>
            </w:tcMar>
            <w:vAlign w:val="center"/>
          </w:tcPr>
          <w:p w14:paraId="6CAD0AF5" w14:textId="77777777" w:rsidR="00B86945" w:rsidRPr="0026008E" w:rsidRDefault="00000000">
            <w:pPr>
              <w:jc w:val="center"/>
              <w:rPr>
                <w:szCs w:val="20"/>
              </w:rPr>
            </w:pPr>
            <w:r w:rsidRPr="0026008E">
              <w:rPr>
                <w:szCs w:val="20"/>
              </w:rPr>
              <w:lastRenderedPageBreak/>
              <w:t xml:space="preserve">Defines the boundary between linearized operator-space gains and practical </w:t>
            </w:r>
            <w:r w:rsidRPr="0026008E">
              <w:rPr>
                <w:szCs w:val="20"/>
              </w:rPr>
              <w:lastRenderedPageBreak/>
              <w:t>outcomes.</w:t>
            </w:r>
          </w:p>
        </w:tc>
      </w:tr>
      <w:tr w:rsidR="00B86945" w:rsidRPr="0026008E" w14:paraId="0AC3617A" w14:textId="77777777" w:rsidTr="0026008E">
        <w:tc>
          <w:tcPr>
            <w:tcW w:w="1999" w:type="dxa"/>
            <w:tcMar>
              <w:top w:w="55" w:type="dxa"/>
              <w:left w:w="65" w:type="dxa"/>
              <w:bottom w:w="55" w:type="dxa"/>
              <w:right w:w="65" w:type="dxa"/>
            </w:tcMar>
            <w:vAlign w:val="center"/>
          </w:tcPr>
          <w:p w14:paraId="64489D8F" w14:textId="77777777" w:rsidR="00B86945" w:rsidRPr="0026008E" w:rsidRDefault="00000000">
            <w:pPr>
              <w:rPr>
                <w:szCs w:val="20"/>
              </w:rPr>
            </w:pPr>
            <w:r w:rsidRPr="0026008E">
              <w:rPr>
                <w:szCs w:val="20"/>
              </w:rPr>
              <w:lastRenderedPageBreak/>
              <w:t>Supplementary robustness and carrier tests</w:t>
            </w:r>
          </w:p>
        </w:tc>
        <w:tc>
          <w:tcPr>
            <w:tcW w:w="1999" w:type="dxa"/>
            <w:tcMar>
              <w:top w:w="55" w:type="dxa"/>
              <w:left w:w="65" w:type="dxa"/>
              <w:bottom w:w="55" w:type="dxa"/>
              <w:right w:w="65" w:type="dxa"/>
            </w:tcMar>
            <w:vAlign w:val="center"/>
          </w:tcPr>
          <w:p w14:paraId="50D15A4E" w14:textId="77777777" w:rsidR="00B86945" w:rsidRPr="0026008E" w:rsidRDefault="00000000">
            <w:pPr>
              <w:jc w:val="center"/>
              <w:rPr>
                <w:szCs w:val="20"/>
              </w:rPr>
            </w:pPr>
            <w:r w:rsidRPr="0026008E">
              <w:rPr>
                <w:szCs w:val="20"/>
              </w:rPr>
              <w:t>Are replacement findings sensitive to fractions, spatial masks, token multiplicity, or synthetic banks?</w:t>
            </w:r>
          </w:p>
        </w:tc>
        <w:tc>
          <w:tcPr>
            <w:tcW w:w="1999" w:type="dxa"/>
            <w:tcMar>
              <w:top w:w="55" w:type="dxa"/>
              <w:left w:w="65" w:type="dxa"/>
              <w:bottom w:w="55" w:type="dxa"/>
              <w:right w:w="65" w:type="dxa"/>
            </w:tcMar>
            <w:vAlign w:val="center"/>
          </w:tcPr>
          <w:p w14:paraId="0A8236A2" w14:textId="77777777" w:rsidR="00B86945" w:rsidRPr="0026008E" w:rsidRDefault="00000000">
            <w:pPr>
              <w:jc w:val="center"/>
              <w:rPr>
                <w:szCs w:val="20"/>
              </w:rPr>
            </w:pPr>
            <w:r w:rsidRPr="0026008E">
              <w:rPr>
                <w:szCs w:val="20"/>
              </w:rPr>
              <w:t>All four architectures</w:t>
            </w:r>
          </w:p>
        </w:tc>
        <w:tc>
          <w:tcPr>
            <w:tcW w:w="1999" w:type="dxa"/>
            <w:tcMar>
              <w:top w:w="55" w:type="dxa"/>
              <w:left w:w="65" w:type="dxa"/>
              <w:bottom w:w="55" w:type="dxa"/>
              <w:right w:w="65" w:type="dxa"/>
            </w:tcMar>
            <w:vAlign w:val="center"/>
          </w:tcPr>
          <w:p w14:paraId="4076A597" w14:textId="77777777" w:rsidR="00B86945" w:rsidRPr="0026008E" w:rsidRDefault="00000000">
            <w:pPr>
              <w:jc w:val="center"/>
              <w:rPr>
                <w:szCs w:val="20"/>
              </w:rPr>
            </w:pPr>
            <w:r w:rsidRPr="0026008E">
              <w:rPr>
                <w:szCs w:val="20"/>
              </w:rPr>
              <w:t>Dense fraction and mask sweeps, multiplicity-aware collapse, and geometry banks at matched token budgets</w:t>
            </w:r>
          </w:p>
        </w:tc>
        <w:tc>
          <w:tcPr>
            <w:tcW w:w="1999" w:type="dxa"/>
            <w:tcMar>
              <w:top w:w="55" w:type="dxa"/>
              <w:left w:w="65" w:type="dxa"/>
              <w:bottom w:w="55" w:type="dxa"/>
              <w:right w:w="65" w:type="dxa"/>
            </w:tcMar>
            <w:vAlign w:val="center"/>
          </w:tcPr>
          <w:p w14:paraId="22BB694D" w14:textId="77777777" w:rsidR="00B86945" w:rsidRPr="0026008E" w:rsidRDefault="00000000">
            <w:pPr>
              <w:jc w:val="center"/>
              <w:rPr>
                <w:szCs w:val="20"/>
              </w:rPr>
            </w:pPr>
            <w:r w:rsidRPr="0026008E">
              <w:rPr>
                <w:szCs w:val="20"/>
              </w:rPr>
              <w:t>Characterizes robustness and application limits.</w:t>
            </w:r>
          </w:p>
        </w:tc>
      </w:tr>
    </w:tbl>
    <w:p w14:paraId="047F4922" w14:textId="77777777" w:rsidR="00B86945" w:rsidRDefault="00B86945">
      <w:pPr>
        <w:spacing w:after="20"/>
      </w:pPr>
    </w:p>
    <w:p w14:paraId="22255F97" w14:textId="77777777" w:rsidR="00B86945" w:rsidRDefault="00000000">
      <w:pPr>
        <w:spacing w:after="100" w:line="259" w:lineRule="auto"/>
      </w:pPr>
      <w:r>
        <w:t>All model weights remain frozen. Calibration and evaluation images are disjoint, and labels or gradients are not used to construct the primary calibration-derived replacement vectors.</w:t>
      </w:r>
    </w:p>
    <w:p w14:paraId="0ED0ED37" w14:textId="77777777" w:rsidR="00B86945" w:rsidRDefault="00000000">
      <w:pPr>
        <w:pStyle w:val="Heading1"/>
      </w:pPr>
      <w:r>
        <w:rPr>
          <w:rFonts w:ascii="Times New Roman" w:hAnsi="Times New Roman"/>
        </w:rPr>
        <w:t>S2. Depth transition and held-out generalization</w:t>
      </w:r>
    </w:p>
    <w:p w14:paraId="002903CB" w14:textId="77777777" w:rsidR="00B86945" w:rsidRDefault="00000000">
      <w:pPr>
        <w:spacing w:after="100" w:line="259" w:lineRule="auto"/>
      </w:pPr>
      <w:r>
        <w:t>Depth- and fraction-dependent replacement is evaluated using calibration moments from 1,000 ImageNet-1k validation images and a disjoint 1,000-image set, with one image per class in each split.</w:t>
      </w:r>
    </w:p>
    <w:p w14:paraId="408327B0" w14:textId="77777777" w:rsidR="00B86945" w:rsidRDefault="00000000">
      <w:pPr>
        <w:spacing w:after="100" w:line="259" w:lineRule="auto"/>
      </w:pPr>
      <w:r>
        <w:t>At 25% replacement after Block 8, zero replacement causes margin damage of 0.763 in DeiT-Tiny and 1.432 in DeiT-Small. Held-out diagonal-Gaussian replacement reduces those damages to 0.093 and 0.076, corresponding to 87.9% and 94.7% recovery. The static held-out calibration centroid performs still better, with margin damage 0.048 and 0.035.</w:t>
      </w:r>
    </w:p>
    <w:p w14:paraId="02965379" w14:textId="77777777" w:rsidR="00B86945" w:rsidRDefault="00000000">
      <w:pPr>
        <w:spacing w:after="100" w:line="259" w:lineRule="auto"/>
      </w:pPr>
      <w:r>
        <w:t>The effect is depth-dependent rather than a generic property of any internal layer. In DeiT, Blocks 5--6 remain substantially more content-sensitive; Blocks 7--9 form a replacement-tolerant late region; and by Block 10 the patch stream approaches low causal sensitivity under the tested classification readout. Depth profiles differ across architectures: ViT-B's zero–centroid Top-1 contrast is largest at Block 7. In DINOv2, that contrast is larger at Block 10 than Block 9 (74.9 vs. 69.6 percentage points); centroid margin damage is also lower at Block 10 (0.141 vs. 0.565), indicating greater recovery toward the clean margin.</w:t>
      </w:r>
    </w:p>
    <w:p w14:paraId="5C0D0439" w14:textId="77777777" w:rsidR="00B86945" w:rsidRDefault="00000000">
      <w:pPr>
        <w:spacing w:after="100" w:line="259" w:lineRule="auto"/>
      </w:pPr>
      <w:r>
        <w:t>A wrong-depth control further shows that coarse distributional compatibility is depth-sensitive. At the Depth-8, 25% operating point, using Depth-5 Gaussian statistics increases margin damage from 0.093 to 0.427 in DeiT-Tiny and from 0.076 to 0.453 in DeiT-Small. Nearby late-depth means can remain compatible, however, which motivates interpreting the late regime as a shared region of compatible feature geometry rather than as one uniquely privileged Block-8 prototype.</w:t>
      </w:r>
    </w:p>
    <w:p w14:paraId="7A67F28C" w14:textId="77777777" w:rsidR="00B86945" w:rsidRDefault="00000000">
      <w:pPr>
        <w:pStyle w:val="Heading1"/>
      </w:pPr>
      <w:r>
        <w:rPr>
          <w:rFonts w:ascii="Times New Roman" w:hAnsi="Times New Roman"/>
        </w:rPr>
        <w:t>S3. Prototype geometry controls</w:t>
      </w:r>
    </w:p>
    <w:p w14:paraId="00D0CEAA" w14:textId="77777777" w:rsidR="00B86945" w:rsidRDefault="00000000">
      <w:pPr>
        <w:spacing w:after="100" w:line="259" w:lineRule="auto"/>
      </w:pPr>
      <w:r>
        <w:t>Prototype-geometry experiments evaluate which properties of a static surrogate are required after Block 8. The central finding is not that the exact centroid is unique, but that successful vectors must remain aligned with the learned feature coordinate system.</w:t>
      </w:r>
    </w:p>
    <w:p w14:paraId="6594EF27" w14:textId="77777777" w:rsidR="00B86945" w:rsidRDefault="00000000">
      <w:pPr>
        <w:spacing w:after="100" w:line="259" w:lineRule="auto"/>
      </w:pPr>
      <w:r>
        <w:t>At 50% replacement in DeiT-Small, the correct centroid yields 75.6% Top-1 accuracy. A norm-matched vector with cosine alignment 0.0 to the centroid yields 60.1%; increasing the target cosine to 0.25, 0.50, and 0.75 increases accuracy to 71.9%, 74.6%, and 75.6%, respectively. This monotonic trajectory shows that orientation relative to the learned late-layer direction matters beyond vector norm.</w:t>
      </w:r>
    </w:p>
    <w:p w14:paraId="1DA78922" w14:textId="77777777" w:rsidR="00B86945" w:rsidRDefault="00000000">
      <w:pPr>
        <w:spacing w:after="100" w:line="259" w:lineRule="auto"/>
      </w:pPr>
      <w:r>
        <w:t>Coordinate permutation preserves the multiset of feature values and vector norm while changing which learned channel receives each value; sign inversion preserves norm while reversing direction. At 50% replacement, three coordinate-shuffle seeds yield mean Top-1 ± sample SD of 50.1% ± 7.9% for DeiT-Tiny, 57.6% ± 5.9% for DeiT-Small, 66.7% ± 3.3% for ViT-B/16 AugReg, and 7.7% ± 8.9% for DINOv2 ViT-S/14. The corresponding centroid controls are 66.3%, 75.6%, 73.2%, and 55.5%, while the single-run sign-inversion controls are 0.7%, 10.5%, 67.5%, and 0.1%. This cross-architecture spread shows that channel assignment and orientation matter in the tested replacement settings, while the magnitude of the effect is architecture-dependent.</w:t>
      </w:r>
    </w:p>
    <w:p w14:paraId="3F4493C0" w14:textId="77777777" w:rsidR="00B86945" w:rsidRDefault="00000000">
      <w:pPr>
        <w:spacing w:after="100" w:line="259" w:lineRule="auto"/>
      </w:pPr>
      <w:r>
        <w:t xml:space="preserve">These results support the paper's use of </w:t>
      </w:r>
      <w:r>
        <w:rPr>
          <w:b/>
        </w:rPr>
        <w:t>geometry constraint</w:t>
      </w:r>
      <w:r>
        <w:t xml:space="preserve"> in a deliberately limited sense: downstream computation is sensitive to feature-coordinate identity, orientation, and compatible scale. They do not establish a complete manifold model of valid representations.</w:t>
      </w:r>
    </w:p>
    <w:p w14:paraId="44E501A5" w14:textId="77777777" w:rsidR="00B86945" w:rsidRDefault="00000000">
      <w:pPr>
        <w:pStyle w:val="Heading1"/>
      </w:pPr>
      <w:r>
        <w:rPr>
          <w:rFonts w:ascii="Times New Roman" w:hAnsi="Times New Roman"/>
        </w:rPr>
        <w:lastRenderedPageBreak/>
        <w:t>S4. Replacement fraction and the complete-stream boundary</w:t>
      </w:r>
    </w:p>
    <w:p w14:paraId="207CE911" w14:textId="77777777" w:rsidR="00B86945" w:rsidRDefault="00000000">
      <w:pPr>
        <w:spacing w:after="100" w:line="259" w:lineRule="auto"/>
      </w:pPr>
      <w:r>
        <w:t>Static replacement is tolerated beyond 25% in DeiT-Small and DeiT-Tiny. At 75% centroid replacement, DeiT-Small retains 73.6% accuracy from a 76.1% clean baseline, and DeiT-Tiny retains 64.2% from 67.9%. At 100% replacement, accuracy falls to 17.0% and 10.2%, respectively.</w:t>
      </w:r>
    </w:p>
    <w:p w14:paraId="7305E7A5" w14:textId="77777777" w:rsidR="00B86945" w:rsidRDefault="00000000">
      <w:pPr>
        <w:spacing w:after="100" w:line="259" w:lineRule="auto"/>
      </w:pPr>
      <w:r>
        <w:t xml:space="preserve">The dense replacement-fraction sweep characterizes this boundary continuously rather than relying on quarter-step fractions. It evaluates 101 requested replacement levels and five independent spatial permutations. Under centroid replacement, DeiT-Tiny retains at least 90% of clean accuracy through </w:t>
      </w:r>
      <m:oMath>
        <m:r>
          <w:rPr>
            <w:rFonts w:ascii="Cambria Math" w:hAnsi="Cambria Math"/>
          </w:rPr>
          <m:t>77.9\%pm1.7\%</m:t>
        </m:r>
      </m:oMath>
      <w:r>
        <w:t xml:space="preserve"> replacement, and DeiT-Small through </w:t>
      </w:r>
      <m:oMath>
        <m:r>
          <w:rPr>
            <w:rFonts w:ascii="Cambria Math" w:hAnsi="Cambria Math"/>
          </w:rPr>
          <m:t>86.5\%pm1.0\%</m:t>
        </m:r>
      </m:oMath>
      <w:r>
        <w:t xml:space="preserve">. ViT-B's best primary-depth surrogate reaches </w:t>
      </w:r>
      <m:oMath>
        <m:r>
          <w:rPr>
            <w:rFonts w:ascii="Cambria Math" w:hAnsi="Cambria Math"/>
          </w:rPr>
          <m:t>67.4\%pm2.1\%</m:t>
        </m:r>
      </m:oMath>
      <w:r>
        <w:t xml:space="preserve">, while DINOv2 reaches </w:t>
      </w:r>
      <m:oMath>
        <m:r>
          <w:rPr>
            <w:rFonts w:ascii="Cambria Math" w:hAnsi="Cambria Math"/>
          </w:rPr>
          <m:t>43.0\%pm0.0\%</m:t>
        </m:r>
      </m:oMath>
      <w:r>
        <w:t>. These values should be interpreted as model-specific operating thresholds, not a universal law.</w:t>
      </w:r>
    </w:p>
    <w:p w14:paraId="4494A72B" w14:textId="77777777" w:rsidR="00B86945" w:rsidRDefault="00000000">
      <w:pPr>
        <w:spacing w:after="100" w:line="259" w:lineRule="auto"/>
      </w:pPr>
      <w:r>
        <w:t>Across the five tested masks, threshold variability is small relative to the separation between valid surrogates and zero. The result therefore supports robustness across the tested spatial subsets, not strict spatial invariance. Supplementary Figures S1 and S2 show the mask-wise profiles and accuracy-retention thresholds.</w:t>
      </w:r>
    </w:p>
    <w:p w14:paraId="15DDEAC6" w14:textId="77777777" w:rsidR="00B86945" w:rsidRDefault="00000000">
      <w:pPr>
        <w:keepNext/>
        <w:keepLines/>
        <w:spacing w:after="20"/>
        <w:jc w:val="center"/>
      </w:pPr>
      <w:r>
        <w:rPr>
          <w:noProof/>
        </w:rPr>
        <w:drawing>
          <wp:inline distT="0" distB="0" distL="0" distR="0" wp14:anchorId="3755B50F" wp14:editId="6E0FD471">
            <wp:extent cx="6172200" cy="47304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01_mask_robustness.png"/>
                    <pic:cNvPicPr/>
                  </pic:nvPicPr>
                  <pic:blipFill>
                    <a:blip r:embed="rId6"/>
                    <a:stretch>
                      <a:fillRect/>
                    </a:stretch>
                  </pic:blipFill>
                  <pic:spPr>
                    <a:xfrm>
                      <a:off x="0" y="0"/>
                      <a:ext cx="6172200" cy="4730483"/>
                    </a:xfrm>
                    <a:prstGeom prst="rect">
                      <a:avLst/>
                    </a:prstGeom>
                  </pic:spPr>
                </pic:pic>
              </a:graphicData>
            </a:graphic>
          </wp:inline>
        </w:drawing>
      </w:r>
    </w:p>
    <w:p w14:paraId="7D8472B6" w14:textId="77777777" w:rsidR="00B86945" w:rsidRDefault="00000000">
      <w:pPr>
        <w:keepLines/>
        <w:spacing w:after="100" w:line="259" w:lineRule="auto"/>
      </w:pPr>
      <w:r>
        <w:rPr>
          <w:b/>
        </w:rPr>
        <w:t>Supplementary Figure S1. Spatial-mask robustness.</w:t>
      </w:r>
      <w:r>
        <w:t xml:space="preserve"> Five independently sampled image-independent spatial permutations are overlaid across the full fraction sweep. The main condition ordering persists across masks.</w:t>
      </w:r>
    </w:p>
    <w:p w14:paraId="5D31A694" w14:textId="77777777" w:rsidR="00B86945" w:rsidRDefault="00000000">
      <w:pPr>
        <w:keepNext/>
        <w:keepLines/>
        <w:spacing w:after="20"/>
        <w:jc w:val="center"/>
      </w:pPr>
      <w:r>
        <w:rPr>
          <w:noProof/>
        </w:rPr>
        <w:lastRenderedPageBreak/>
        <w:drawing>
          <wp:inline distT="0" distB="0" distL="0" distR="0" wp14:anchorId="7055E4A4" wp14:editId="2A314F81">
            <wp:extent cx="6172200" cy="23658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02_retention_thresholds.png"/>
                    <pic:cNvPicPr/>
                  </pic:nvPicPr>
                  <pic:blipFill>
                    <a:blip r:embed="rId7"/>
                    <a:stretch>
                      <a:fillRect/>
                    </a:stretch>
                  </pic:blipFill>
                  <pic:spPr>
                    <a:xfrm>
                      <a:off x="0" y="0"/>
                      <a:ext cx="6172200" cy="2365847"/>
                    </a:xfrm>
                    <a:prstGeom prst="rect">
                      <a:avLst/>
                    </a:prstGeom>
                  </pic:spPr>
                </pic:pic>
              </a:graphicData>
            </a:graphic>
          </wp:inline>
        </w:drawing>
      </w:r>
    </w:p>
    <w:p w14:paraId="54D05C59" w14:textId="77777777" w:rsidR="00B86945" w:rsidRDefault="00000000">
      <w:pPr>
        <w:keepLines/>
        <w:spacing w:after="100" w:line="259" w:lineRule="auto"/>
      </w:pPr>
      <w:r>
        <w:rPr>
          <w:b/>
        </w:rPr>
        <w:t>Supplementary Figure S2. Accuracy-retention thresholds.</w:t>
      </w:r>
      <w:r>
        <w:t xml:space="preserve"> Maximum replacement fractions retaining at least 95%, 90%, and 80% of clean accuracy for zero, centroid, and diagonal-Gaussian interventions.</w:t>
      </w:r>
    </w:p>
    <w:p w14:paraId="5873A157" w14:textId="77777777" w:rsidR="00B86945" w:rsidRDefault="00000000">
      <w:pPr>
        <w:spacing w:after="100" w:line="259" w:lineRule="auto"/>
      </w:pPr>
      <w:r>
        <w:rPr>
          <w:b/>
        </w:rPr>
        <w:t xml:space="preserve">CLS–patch stream asymmetry control. </w:t>
      </w:r>
      <w:r>
        <w:t>At Block 8, frozen DeiT-Tiny and DeiT-Small were evaluated on 1,000 held-out ImageNet-1k validation images per model. The calibration (seed 9101) and evaluation (seed 9201) cohorts had no overlapping global image indices. Clean Top-1 was 67.9% and 76.1%.</w:t>
      </w:r>
    </w:p>
    <w:p w14:paraId="67016CBB" w14:textId="77777777" w:rsidR="00B86945" w:rsidRDefault="00000000">
      <w:pPr>
        <w:keepLines/>
        <w:spacing w:after="100" w:line="259" w:lineRule="auto"/>
      </w:pPr>
      <w:r>
        <w:t>With all 196 patches unchanged, replacing only CLS with the calibration-cohort mean CLS vector yielded 66.4% and 74.8%; replacing CLS with a cross-image CLS yielded 62.6% and 67.1%; and zeroing CLS yielded 40.0% and 70.5%. The cross-image donor was a deterministic one-position cyclic roll of CLS activations within each evaluation batch.</w:t>
      </w:r>
    </w:p>
    <w:p w14:paraId="3CB531E1" w14:textId="77777777" w:rsidR="00B86945" w:rsidRDefault="00000000">
      <w:pPr>
        <w:spacing w:after="100" w:line="259" w:lineRule="auto"/>
      </w:pPr>
      <w:r>
        <w:t>In the separate complete-patch condition, the original CLS was retained and every spatial patch was replaced by an identical copy of the calibration-derived global patch centroid (the mean across calibration images and patch positions), yielding 10.2% and 17.0% Top-1. The interventions are unmatched in scale: one CLS token versus 196 patch tokens. Identical-centroid replacement also removes patch-token diversity, so this comparison does not isolate the separate effects of image-specific patch content and patch-token diversity.</w:t>
      </w:r>
    </w:p>
    <w:p w14:paraId="0E474674" w14:textId="77777777" w:rsidR="00B86945" w:rsidRDefault="00000000">
      <w:pPr>
        <w:keepLines/>
        <w:spacing w:after="100" w:line="259" w:lineRule="auto"/>
      </w:pPr>
      <w:r>
        <w:t>These exploratory controls are limited to DeiT-Tiny and DeiT-Small at Block 8 and were not evaluated on other architectures. Mean-CLS replacement retained near-clean accuracy with the patch stream intact, but this does not establish CLS sufficiency as an explanation for patch-content fungibility.</w:t>
      </w:r>
    </w:p>
    <w:p w14:paraId="5F668F14" w14:textId="77777777" w:rsidR="00B86945" w:rsidRDefault="00000000">
      <w:pPr>
        <w:pStyle w:val="Heading1"/>
      </w:pPr>
      <w:r>
        <w:rPr>
          <w:rFonts w:ascii="Times New Roman" w:hAnsi="Times New Roman"/>
        </w:rPr>
        <w:t>S5. Causal isolation of token-to-token diversity</w:t>
      </w:r>
    </w:p>
    <w:p w14:paraId="7C8BE248" w14:textId="77777777" w:rsidR="00B86945" w:rsidRDefault="00000000">
      <w:pPr>
        <w:spacing w:after="100" w:line="259" w:lineRule="auto"/>
      </w:pPr>
      <w:r>
        <w:t>Under complete replacement, the shared-versus-independent comparison holds the Gaussian marginal distribution fixed while changing whether one sampled vector is broadcast to every patch or each patch receives an independent sample.</w:t>
      </w:r>
    </w:p>
    <w:p w14:paraId="1D74D334" w14:textId="77777777" w:rsidR="00B86945" w:rsidRDefault="00000000">
      <w:pPr>
        <w:spacing w:after="100" w:line="259" w:lineRule="auto"/>
      </w:pPr>
      <w:r>
        <w:t>In DeiT-Tiny, shared Gaussian replacement yields 1.02% Top-1 accuracy, compared with 26.34% under independent replacement; in DeiT-Small, the corresponding values are 9.28% and 46.36%. ViT-B/16 AugReg shows the same endpoint contrast (2.94% versus 14.68%). Because the shared and independent conditions use the same per-token marginal distribution, this comparison isolates variation across token positions from the marginal perturbation distribution.</w:t>
      </w:r>
    </w:p>
    <w:p w14:paraId="25D72CDC" w14:textId="77777777" w:rsidR="00B86945" w:rsidRDefault="00000000">
      <w:pPr>
        <w:spacing w:after="100" w:line="259" w:lineRule="auto"/>
      </w:pPr>
      <w:r>
        <w:t>The grouped-K sweep resolves this contrast into a graded relationship. Seed-mean Top-1 increases at every tested K from 1 to 196 in DeiT-Tiny (1.2% to 26.4%) and DeiT-Small (10.4% to 46.5%; three seeds per K). In ViT-B/16 AugReg, it rises from 3.24% at K=1 to 14.58% at K=196 across five seeds; the paired image-level endpoint difference is +11.34 percentage points (95% CI 9.55–13.13; Wilcoxon BH-adjusted q=4.6×</w:t>
      </w:r>
      <m:oMath>
        <m:sSup>
          <m:sSupPr>
            <m:ctrlPr>
              <w:rPr>
                <w:rFonts w:ascii="Cambria Math" w:hAnsi="Cambria Math"/>
              </w:rPr>
            </m:ctrlPr>
          </m:sSupPr>
          <m:e>
            <m:r>
              <w:rPr>
                <w:rFonts w:ascii="Cambria Math" w:hAnsi="Cambria Math"/>
              </w:rPr>
              <m:t>10</m:t>
            </m:r>
          </m:e>
          <m:sup>
            <m:r>
              <w:rPr>
                <w:rFonts w:ascii="Cambria Math" w:hAnsi="Cambria Math"/>
              </w:rPr>
              <m:t>-24</m:t>
            </m:r>
          </m:sup>
        </m:sSup>
      </m:oMath>
      <w:r>
        <w:t>; N=1,000 paired images). These ordered seed means do not establish that each adjacent K contrast is significant. K counts distinct vectors across positions, not feature-space rank.</w:t>
      </w:r>
    </w:p>
    <w:p w14:paraId="4AE0CBE3" w14:textId="77777777" w:rsidR="00B86945" w:rsidRDefault="00000000">
      <w:pPr>
        <w:spacing w:after="100" w:line="259" w:lineRule="auto"/>
      </w:pPr>
      <w:r>
        <w:t>For DINOv2, Top-1 stays between 0.06% and 0.18% over K=1 to 256, and the paired endpoint difference is −0.02 percentage points (95% CI −0.16 to 0.12; q=0.828). Its mean true-class logit margin changes from −9.233 to −7.982 (paired change +1.250, 95% CI 1.091–1.410; q=2.0×</w:t>
      </w:r>
      <m:oMath>
        <m:sSup>
          <m:sSupPr>
            <m:ctrlPr>
              <w:rPr>
                <w:rFonts w:ascii="Cambria Math" w:hAnsi="Cambria Math"/>
              </w:rPr>
            </m:ctrlPr>
          </m:sSupPr>
          <m:e>
            <m:r>
              <w:rPr>
                <w:rFonts w:ascii="Cambria Math" w:hAnsi="Cambria Math"/>
              </w:rPr>
              <m:t>10</m:t>
            </m:r>
          </m:e>
          <m:sup>
            <m:r>
              <w:rPr>
                <w:rFonts w:ascii="Cambria Math" w:hAnsi="Cambria Math"/>
              </w:rPr>
              <m:t>-43</m:t>
            </m:r>
          </m:sup>
        </m:sSup>
      </m:oMath>
      <w:r>
        <w:t>). In the separate shared-versus-independent comparison, the margin changes by +1.124 under independent variation. The official DINOv2 readout combines the normalized CLS representation with mean normalized patch features; this is context for the measured margin, not a tested explanation for the Top-1 floor.</w:t>
      </w:r>
    </w:p>
    <w:p w14:paraId="2CFAA6BF" w14:textId="77777777" w:rsidR="00B86945" w:rsidRDefault="00000000">
      <w:pPr>
        <w:spacing w:after="100" w:line="259" w:lineRule="auto"/>
      </w:pPr>
      <w:r>
        <w:t xml:space="preserve">The K=1 and full-diversity endpoints were compared with archived shared- and independent-Gaussian controls. All eight model-by-endpoint-by-metric comparisons fell within two combined standard errors. Evaluation images are the statistical </w:t>
      </w:r>
      <w:r>
        <w:lastRenderedPageBreak/>
        <w:t>unit; seeds and patch positions are not pooled as additional observations. DeiT uses three grouped-K seeds; ViT-B and DINOv2 use five. Each architecture uses 1,000 evaluation images and disjoint calibration data.</w:t>
      </w:r>
    </w:p>
    <w:p w14:paraId="26DBBAB7" w14:textId="77777777" w:rsidR="00B86945" w:rsidRDefault="00000000">
      <w:pPr>
        <w:keepNext/>
        <w:keepLines/>
        <w:spacing w:after="20"/>
        <w:jc w:val="center"/>
      </w:pPr>
      <w:r>
        <w:rPr>
          <w:noProof/>
        </w:rPr>
        <w:drawing>
          <wp:inline distT="0" distB="0" distL="0" distR="0" wp14:anchorId="40C3DF4E" wp14:editId="355A8C34">
            <wp:extent cx="6172200" cy="41175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0_dinov2_margin_diversity.png"/>
                    <pic:cNvPicPr/>
                  </pic:nvPicPr>
                  <pic:blipFill>
                    <a:blip r:embed="rId8"/>
                    <a:stretch>
                      <a:fillRect/>
                    </a:stretch>
                  </pic:blipFill>
                  <pic:spPr>
                    <a:xfrm>
                      <a:off x="0" y="0"/>
                      <a:ext cx="6172200" cy="4117502"/>
                    </a:xfrm>
                    <a:prstGeom prst="rect">
                      <a:avLst/>
                    </a:prstGeom>
                  </pic:spPr>
                </pic:pic>
              </a:graphicData>
            </a:graphic>
          </wp:inline>
        </w:drawing>
      </w:r>
    </w:p>
    <w:p w14:paraId="5696C357" w14:textId="77777777" w:rsidR="00B86945" w:rsidRDefault="00000000">
      <w:pPr>
        <w:keepLines/>
        <w:spacing w:after="100" w:line="259" w:lineRule="auto"/>
      </w:pPr>
      <w:r>
        <w:rPr>
          <w:b/>
        </w:rPr>
        <w:t>Supplementary Figure S10. DINOv2 margin across token diversity.</w:t>
      </w:r>
      <w:r>
        <w:t xml:space="preserve"> Mean true-class logit margin under complete patch replacement at Block 8 as K varies from 1 to 256; points and error bars show the mean and standard deviation across five seeds.</w:t>
      </w:r>
    </w:p>
    <w:p w14:paraId="70D0B7AB" w14:textId="77777777" w:rsidR="00B86945" w:rsidRDefault="00000000">
      <w:pPr>
        <w:pStyle w:val="Heading1"/>
      </w:pPr>
      <w:r>
        <w:rPr>
          <w:rFonts w:ascii="Times New Roman" w:hAnsi="Times New Roman"/>
        </w:rPr>
        <w:t>S6. Low-dimensional variation and amplitude controls</w:t>
      </w:r>
    </w:p>
    <w:p w14:paraId="12231DE0" w14:textId="77777777" w:rsidR="00B86945" w:rsidRDefault="00000000">
      <w:pPr>
        <w:spacing w:after="100" w:line="259" w:lineRule="auto"/>
      </w:pPr>
      <w:r>
        <w:t>The low-dimensional variation experiment tests whether replacement must vary across the full feature dimension. Here, PC1 is the leading eigenvector of the centered covariance of calibration activations, not a learned network parameter. The random one-dimensional control matches the target variance associated with this leading component; both conditions use independent scalar coefficients across token positions. Sample sizes and the exact random seeds for these conditions are listed in Table S1.</w:t>
      </w:r>
    </w:p>
    <w:p w14:paraId="683DCC80" w14:textId="77777777" w:rsidR="00B86945" w:rsidRDefault="00000000">
      <w:pPr>
        <w:spacing w:after="100" w:line="259" w:lineRule="auto"/>
      </w:pPr>
      <w:r>
        <w:t>At 100% replacement at Block 8, mean Top-1 for PC1 versus the energy-matched random direction is 18.64% versus 10.80% for DeiT-Tiny and 28.08% versus 20.78% for DeiT-Small; ViT-B/16 AugReg reaches 40.10% versus 6.70%. DINOv2 remains near the accuracy floor (0.17% versus 0.00%), while its mean true-class margin is −8.438 for PC1 and −8.654 for the random direction. The direction comparison is therefore strongest in Top-1 for ViT-B and in the margin observable for DINOv2.</w:t>
      </w:r>
    </w:p>
    <w:p w14:paraId="25DB3832" w14:textId="77777777" w:rsidR="00B86945" w:rsidRDefault="00000000">
      <w:pPr>
        <w:spacing w:after="100" w:line="259" w:lineRule="auto"/>
      </w:pPr>
      <w:r>
        <w:t>Amplitude controls show that direction alone is insufficient. DeiT-Tiny exhibits a non-monotonic response to PC1 scale, while DeiT-Small tolerates a broader high-amplitude range; earlier apparent rank-one saturation in DeiT-Small was partly amplitude-confounded. Because coefficients vary independently by token position, a one-dimensional feature direction does not imply a shared surrogate across all tokens. The evidence supports the bounded claim that calibration-derived low-dimensional variation can outperform a matched random direction in tested conditions; it does not establish rank-1 sufficiency or an intrinsically one-dimensional patch stream. Supplementary Figures S3–S5 show the rank comparison, PC1 amplitude response, and effective-rank propagation.</w:t>
      </w:r>
    </w:p>
    <w:p w14:paraId="6607AD01" w14:textId="77777777" w:rsidR="00B86945" w:rsidRDefault="00000000">
      <w:pPr>
        <w:keepNext/>
        <w:keepLines/>
        <w:spacing w:after="20"/>
        <w:jc w:val="center"/>
      </w:pPr>
      <w:r>
        <w:rPr>
          <w:noProof/>
        </w:rPr>
        <w:lastRenderedPageBreak/>
        <w:drawing>
          <wp:inline distT="0" distB="0" distL="0" distR="0" wp14:anchorId="6DC16AB3" wp14:editId="30273DA1">
            <wp:extent cx="6172200" cy="27920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03_pca_rank.png"/>
                    <pic:cNvPicPr/>
                  </pic:nvPicPr>
                  <pic:blipFill>
                    <a:blip r:embed="rId9"/>
                    <a:stretch>
                      <a:fillRect/>
                    </a:stretch>
                  </pic:blipFill>
                  <pic:spPr>
                    <a:xfrm>
                      <a:off x="0" y="0"/>
                      <a:ext cx="6172200" cy="2792068"/>
                    </a:xfrm>
                    <a:prstGeom prst="rect">
                      <a:avLst/>
                    </a:prstGeom>
                  </pic:spPr>
                </pic:pic>
              </a:graphicData>
            </a:graphic>
          </wp:inline>
        </w:drawing>
      </w:r>
    </w:p>
    <w:p w14:paraId="4F84ED35" w14:textId="77777777" w:rsidR="00B86945" w:rsidRDefault="00000000">
      <w:pPr>
        <w:keepLines/>
        <w:spacing w:after="100" w:line="259" w:lineRule="auto"/>
      </w:pPr>
      <w:r>
        <w:rPr>
          <w:b/>
        </w:rPr>
        <w:t>Supplementary Figure S3. Natural versus energy-matched PCA rank.</w:t>
      </w:r>
      <w:r>
        <w:t xml:space="preserve"> Accuracy comparison across the tested low-rank replacement conditions.</w:t>
      </w:r>
    </w:p>
    <w:p w14:paraId="398CEF08" w14:textId="77777777" w:rsidR="00B86945" w:rsidRDefault="00000000">
      <w:pPr>
        <w:keepNext/>
        <w:keepLines/>
        <w:spacing w:after="20"/>
        <w:jc w:val="center"/>
      </w:pPr>
      <w:r>
        <w:rPr>
          <w:noProof/>
        </w:rPr>
        <w:drawing>
          <wp:inline distT="0" distB="0" distL="0" distR="0" wp14:anchorId="6C7412D7" wp14:editId="3C03BBA4">
            <wp:extent cx="6172200" cy="2734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04_pc1_amplitude.png"/>
                    <pic:cNvPicPr/>
                  </pic:nvPicPr>
                  <pic:blipFill>
                    <a:blip r:embed="rId10"/>
                    <a:stretch>
                      <a:fillRect/>
                    </a:stretch>
                  </pic:blipFill>
                  <pic:spPr>
                    <a:xfrm>
                      <a:off x="0" y="0"/>
                      <a:ext cx="6172200" cy="2734060"/>
                    </a:xfrm>
                    <a:prstGeom prst="rect">
                      <a:avLst/>
                    </a:prstGeom>
                  </pic:spPr>
                </pic:pic>
              </a:graphicData>
            </a:graphic>
          </wp:inline>
        </w:drawing>
      </w:r>
    </w:p>
    <w:p w14:paraId="6EBAEB82" w14:textId="77777777" w:rsidR="00B86945" w:rsidRDefault="00000000">
      <w:pPr>
        <w:keepLines/>
        <w:spacing w:after="100" w:line="259" w:lineRule="auto"/>
      </w:pPr>
      <w:r>
        <w:rPr>
          <w:b/>
        </w:rPr>
        <w:t>Supplementary Figure S4. PC1 amplitude sensitivity.</w:t>
      </w:r>
      <w:r>
        <w:t xml:space="preserve"> Classification response across the tested amplitudes of the calibration-derived first principal component.</w:t>
      </w:r>
    </w:p>
    <w:p w14:paraId="13E9BFC2" w14:textId="77777777" w:rsidR="00B86945" w:rsidRDefault="00000000">
      <w:pPr>
        <w:keepNext/>
        <w:keepLines/>
        <w:spacing w:after="20"/>
        <w:jc w:val="center"/>
      </w:pPr>
      <w:r>
        <w:rPr>
          <w:noProof/>
        </w:rPr>
        <w:lastRenderedPageBreak/>
        <w:drawing>
          <wp:inline distT="0" distB="0" distL="0" distR="0" wp14:anchorId="76424E07" wp14:editId="68B85F5F">
            <wp:extent cx="6172200" cy="28241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05_rank_propagation.png"/>
                    <pic:cNvPicPr/>
                  </pic:nvPicPr>
                  <pic:blipFill>
                    <a:blip r:embed="rId11"/>
                    <a:stretch>
                      <a:fillRect/>
                    </a:stretch>
                  </pic:blipFill>
                  <pic:spPr>
                    <a:xfrm>
                      <a:off x="0" y="0"/>
                      <a:ext cx="6172200" cy="2824189"/>
                    </a:xfrm>
                    <a:prstGeom prst="rect">
                      <a:avLst/>
                    </a:prstGeom>
                  </pic:spPr>
                </pic:pic>
              </a:graphicData>
            </a:graphic>
          </wp:inline>
        </w:drawing>
      </w:r>
    </w:p>
    <w:p w14:paraId="096E2DC0" w14:textId="77777777" w:rsidR="00B86945" w:rsidRDefault="00000000">
      <w:pPr>
        <w:keepLines/>
        <w:spacing w:after="100" w:line="259" w:lineRule="auto"/>
      </w:pPr>
      <w:r>
        <w:rPr>
          <w:b/>
        </w:rPr>
        <w:t>Supplementary Figure S5. Effective-rank propagation.</w:t>
      </w:r>
      <w:r>
        <w:t xml:space="preserve"> Effective-rank measurements across the downstream propagation analysis.</w:t>
      </w:r>
    </w:p>
    <w:p w14:paraId="62DDE209" w14:textId="77777777" w:rsidR="00B86945" w:rsidRDefault="00000000">
      <w:pPr>
        <w:pStyle w:val="Heading1"/>
      </w:pPr>
      <w:r>
        <w:rPr>
          <w:rFonts w:ascii="Times New Roman" w:hAnsi="Times New Roman"/>
        </w:rPr>
        <w:t>S7. Cross-model forward-parity and readout controls</w:t>
      </w:r>
    </w:p>
    <w:p w14:paraId="75355174" w14:textId="77777777" w:rsidR="00B86945" w:rsidRDefault="00000000">
      <w:pPr>
        <w:spacing w:after="100" w:line="259" w:lineRule="auto"/>
      </w:pPr>
      <w:r>
        <w:t>For ViT-B AugReg and DINOv2, the intervention implementation requires a manual block-by-block forward path. Before intervention experiments, the manual path was checked against the official model forward implementation. Both models achieved exact prediction agreement in the parity audit, and the intervention code leaves pretrained parameters frozen.</w:t>
      </w:r>
    </w:p>
    <w:p w14:paraId="1982B558" w14:textId="77777777" w:rsidR="00B86945" w:rsidRDefault="00000000">
      <w:pPr>
        <w:spacing w:after="100" w:line="259" w:lineRule="auto"/>
      </w:pPr>
      <w:r>
        <w:t>The two families also differ in classifier topology. DeiT and ViT-B read classification from [CLS]. The evaluated DINOv2 linear head consumes normalized [CLS] concatenated with the mean normalized patch representation. This readout difference may contribute to DINOv2's stronger observable response to direct corruption of the entire patch stream; the distinction is accounted for in Sections 6--8 of the main paper.</w:t>
      </w:r>
    </w:p>
    <w:p w14:paraId="4673C184" w14:textId="77777777" w:rsidR="00B86945" w:rsidRDefault="00000000">
      <w:pPr>
        <w:pStyle w:val="Heading1"/>
      </w:pPr>
      <w:r>
        <w:rPr>
          <w:rFonts w:ascii="Times New Roman" w:hAnsi="Times New Roman"/>
        </w:rPr>
        <w:t>S8. Compression boundary: exact collapse does not imply competitive compression</w:t>
      </w:r>
    </w:p>
    <w:p w14:paraId="61D3C8E8" w14:textId="77777777" w:rsidR="00B86945" w:rsidRDefault="00000000">
      <w:pPr>
        <w:spacing w:after="100" w:line="259" w:lineRule="auto"/>
      </w:pPr>
      <w:r>
        <w:t>An engineering test asks whether identical centroid tokens can be collapsed into one carrier while preserving downstream model behavior.</w:t>
      </w:r>
    </w:p>
    <w:p w14:paraId="14CF51F6" w14:textId="77777777" w:rsidR="00B86945" w:rsidRDefault="00000000">
      <w:pPr>
        <w:spacing w:after="100" w:line="259" w:lineRule="auto"/>
      </w:pPr>
      <w:r>
        <w:t xml:space="preserve">For the evaluated downstream ViT blocks, </w:t>
      </w:r>
      <m:oMath>
        <m:r>
          <w:rPr>
            <w:rFonts w:ascii="Cambria Math" w:hAnsi="Cambria Math"/>
          </w:rPr>
          <m:t>m</m:t>
        </m:r>
      </m:oMath>
      <w:r>
        <w:t xml:space="preserve"> identical centroid tokens can be represented by one multiplicity-aware carrier by adding </w:t>
      </w:r>
      <m:oMath>
        <m:r>
          <w:rPr>
            <w:rFonts w:ascii="Cambria Math" w:hAnsi="Cambria Math"/>
          </w:rPr>
          <m:t>+log m</m:t>
        </m:r>
      </m:oMath>
      <w:r>
        <w:t xml:space="preserve"> to its attention logit and, where necessary, using multiplicity-weighted pooling. The implementation reproduces the uncompressed centroid intervention with 100% prediction agreement and maximum absolute logit discrepancy </w:t>
      </w:r>
      <m:oMath>
        <m:r>
          <w:rPr>
            <w:rFonts w:ascii="Cambria Math" w:hAnsi="Cambria Math"/>
          </w:rPr>
          <m:t>4.49×</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14:paraId="7088107F" w14:textId="77777777" w:rsidR="00B86945" w:rsidRDefault="00000000">
      <w:pPr>
        <w:spacing w:after="100" w:line="259" w:lineRule="auto"/>
      </w:pPr>
      <w:r>
        <w:t>Sequence reduction produces real computational savings. At batch size 16 on the evaluated RTX 5070 Laptop GPU, the tested ViT-B operating point reduces end-to-end latency from 72.96 ms to 49.42 ms (32.3%), DeiT-Small from 20.06 ms to 16.36 ms (18.4%), and DINOv2 from 27.97 ms to 25.20 ms (9.9%). DeiT-Tiny becomes slower because implementation overhead dominates at its scale.</w:t>
      </w:r>
    </w:p>
    <w:p w14:paraId="2EEDD8F1" w14:textId="77777777" w:rsidR="00B86945" w:rsidRDefault="00000000">
      <w:pPr>
        <w:spacing w:after="100" w:line="259" w:lineRule="auto"/>
      </w:pPr>
      <w:r>
        <w:t>The carrier is nevertheless not a competitive compression rule. At matched downstream token budgets, random pruning and an unweighted centroid match or outperform the multiplicity-aware carrier. For example, at the tested ViT-B budget, random pruning reaches 72.48% accuracy versus 68.70% for the weighted carrier; in DINOv2 the corresponding values are 77.40% and 71.48%. The measured latency reduction therefore reflects shorter sequences, not a superior carrier mechanism. Supplementary Figures S6–S8 show the equivalence check and the corresponding accuracy-token and accuracy-latency comparisons.</w:t>
      </w:r>
    </w:p>
    <w:p w14:paraId="75A85251" w14:textId="77777777" w:rsidR="00B86945" w:rsidRDefault="00000000">
      <w:pPr>
        <w:spacing w:after="100" w:line="259" w:lineRule="auto"/>
      </w:pPr>
      <w:r>
        <w:t>Other exploratory correction variants also failed to provide a general practical remedy: single-token attempts, scalar layer prediction, out-of-sample dynamic-α prediction, a shared linear envelope with K≤64, and dynamic-operator prediction did not establish consistent classifier or throughput gains. These secondary results do not change the distinction between operator-space performance and held-out classification.</w:t>
      </w:r>
    </w:p>
    <w:p w14:paraId="556AD32D" w14:textId="77777777" w:rsidR="00B86945" w:rsidRDefault="00000000">
      <w:pPr>
        <w:keepNext/>
        <w:keepLines/>
        <w:spacing w:after="20"/>
        <w:jc w:val="center"/>
      </w:pPr>
      <w:r>
        <w:rPr>
          <w:noProof/>
        </w:rPr>
        <w:lastRenderedPageBreak/>
        <w:drawing>
          <wp:inline distT="0" distB="0" distL="0" distR="0" wp14:anchorId="042FB108" wp14:editId="34A73A80">
            <wp:extent cx="6172200" cy="29371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06_carrier_equivalence.png"/>
                    <pic:cNvPicPr/>
                  </pic:nvPicPr>
                  <pic:blipFill>
                    <a:blip r:embed="rId12"/>
                    <a:stretch>
                      <a:fillRect/>
                    </a:stretch>
                  </pic:blipFill>
                  <pic:spPr>
                    <a:xfrm>
                      <a:off x="0" y="0"/>
                      <a:ext cx="6172200" cy="2937183"/>
                    </a:xfrm>
                    <a:prstGeom prst="rect">
                      <a:avLst/>
                    </a:prstGeom>
                  </pic:spPr>
                </pic:pic>
              </a:graphicData>
            </a:graphic>
          </wp:inline>
        </w:drawing>
      </w:r>
    </w:p>
    <w:p w14:paraId="7E3458F5" w14:textId="77777777" w:rsidR="00B86945" w:rsidRDefault="00000000">
      <w:pPr>
        <w:keepLines/>
        <w:spacing w:after="100" w:line="259" w:lineRule="auto"/>
      </w:pPr>
      <w:r>
        <w:rPr>
          <w:b/>
        </w:rPr>
        <w:t>Supplementary Figure S6. Exact multiplicity-aware carrier equivalence.</w:t>
      </w:r>
      <w:r>
        <w:t xml:space="preserve"> Forward-output comparison for the multiplicity-aware representation of identical tokens.</w:t>
      </w:r>
    </w:p>
    <w:p w14:paraId="3945B99F" w14:textId="77777777" w:rsidR="00B86945" w:rsidRDefault="00000000">
      <w:pPr>
        <w:keepNext/>
        <w:keepLines/>
        <w:spacing w:after="20"/>
        <w:jc w:val="center"/>
      </w:pPr>
      <w:r>
        <w:rPr>
          <w:noProof/>
        </w:rPr>
        <w:drawing>
          <wp:inline distT="0" distB="0" distL="0" distR="0" wp14:anchorId="0E7C1BFE" wp14:editId="4A4A8A6F">
            <wp:extent cx="6172200" cy="46428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07_accuracy_vs_tokens.png"/>
                    <pic:cNvPicPr/>
                  </pic:nvPicPr>
                  <pic:blipFill>
                    <a:blip r:embed="rId13"/>
                    <a:stretch>
                      <a:fillRect/>
                    </a:stretch>
                  </pic:blipFill>
                  <pic:spPr>
                    <a:xfrm>
                      <a:off x="0" y="0"/>
                      <a:ext cx="6172200" cy="4642847"/>
                    </a:xfrm>
                    <a:prstGeom prst="rect">
                      <a:avLst/>
                    </a:prstGeom>
                  </pic:spPr>
                </pic:pic>
              </a:graphicData>
            </a:graphic>
          </wp:inline>
        </w:drawing>
      </w:r>
    </w:p>
    <w:p w14:paraId="42EEE419" w14:textId="77777777" w:rsidR="00B86945" w:rsidRDefault="00000000">
      <w:pPr>
        <w:keepLines/>
        <w:spacing w:after="100" w:line="259" w:lineRule="auto"/>
      </w:pPr>
      <w:r>
        <w:rPr>
          <w:b/>
        </w:rPr>
        <w:t>Supplementary Figure S7. Accuracy versus downstream token count.</w:t>
      </w:r>
      <w:r>
        <w:t xml:space="preserve"> Held-out classification accuracy across the tested retained-token budgets.</w:t>
      </w:r>
    </w:p>
    <w:p w14:paraId="61B17D07" w14:textId="77777777" w:rsidR="00B86945" w:rsidRDefault="00000000">
      <w:pPr>
        <w:keepNext/>
        <w:keepLines/>
        <w:spacing w:after="20"/>
        <w:jc w:val="center"/>
      </w:pPr>
      <w:r>
        <w:rPr>
          <w:noProof/>
        </w:rPr>
        <w:lastRenderedPageBreak/>
        <w:drawing>
          <wp:inline distT="0" distB="0" distL="0" distR="0" wp14:anchorId="28AD8FC7" wp14:editId="25719BC3">
            <wp:extent cx="6172200" cy="29600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08_accuracy_vs_latency.png"/>
                    <pic:cNvPicPr/>
                  </pic:nvPicPr>
                  <pic:blipFill>
                    <a:blip r:embed="rId14"/>
                    <a:stretch>
                      <a:fillRect/>
                    </a:stretch>
                  </pic:blipFill>
                  <pic:spPr>
                    <a:xfrm>
                      <a:off x="0" y="0"/>
                      <a:ext cx="6172200" cy="2960086"/>
                    </a:xfrm>
                    <a:prstGeom prst="rect">
                      <a:avLst/>
                    </a:prstGeom>
                  </pic:spPr>
                </pic:pic>
              </a:graphicData>
            </a:graphic>
          </wp:inline>
        </w:drawing>
      </w:r>
    </w:p>
    <w:p w14:paraId="71166F99" w14:textId="77777777" w:rsidR="00B86945" w:rsidRDefault="00000000">
      <w:pPr>
        <w:keepLines/>
        <w:spacing w:after="100" w:line="259" w:lineRule="auto"/>
      </w:pPr>
      <w:r>
        <w:rPr>
          <w:b/>
        </w:rPr>
        <w:t>Supplementary Figure S8. Accuracy versus measured GPU latency.</w:t>
      </w:r>
      <w:r>
        <w:t xml:space="preserve"> Held-out classification accuracy against measured end-to-end latency under the reported setup.</w:t>
      </w:r>
    </w:p>
    <w:p w14:paraId="04C43CAB" w14:textId="77777777" w:rsidR="00B86945" w:rsidRDefault="00000000">
      <w:pPr>
        <w:pStyle w:val="Heading1"/>
      </w:pPr>
      <w:r>
        <w:rPr>
          <w:rFonts w:ascii="Times New Roman" w:hAnsi="Times New Roman"/>
        </w:rPr>
        <w:t>S9. Synthetic carrier banks at matched token budgets</w:t>
      </w:r>
    </w:p>
    <w:p w14:paraId="775817CD" w14:textId="77777777" w:rsidR="00B86945" w:rsidRDefault="00000000">
      <w:pPr>
        <w:spacing w:after="100" w:line="259" w:lineRule="auto"/>
      </w:pPr>
      <w:r>
        <w:t xml:space="preserve">At a fixed downstream token budget </w:t>
      </w:r>
      <m:oMath>
        <m:r>
          <w:rPr>
            <w:rFonts w:ascii="Cambria Math" w:hAnsi="Cambria Math"/>
          </w:rPr>
          <m:t>B</m:t>
        </m:r>
      </m:oMath>
      <w:r>
        <w:t xml:space="preserve">, this analysis tests whether synthetic carriers with added geometry or diversity can match a baseline that retains real image patches. We allocate </w:t>
      </w:r>
      <m:oMath>
        <m:r>
          <w:rPr>
            <w:rFonts w:ascii="Cambria Math" w:hAnsi="Cambria Math"/>
          </w:rPr>
          <m:t>K∈{4,8,16}</m:t>
        </m:r>
      </m:oMath>
      <w:r>
        <w:t xml:space="preserve"> slots to generic synthetic carriers and the remaining </w:t>
      </w:r>
      <m:oMath>
        <m:r>
          <w:rPr>
            <w:rFonts w:ascii="Cambria Math" w:hAnsi="Cambria Math"/>
          </w:rPr>
          <m:t>B-K</m:t>
        </m:r>
      </m:oMath>
      <w:r>
        <w:t xml:space="preserve"> slots to real patches. Synthetic banks use calibration PCA directions, K-means centroids, or matched random directions.</w:t>
      </w:r>
    </w:p>
    <w:p w14:paraId="09960FB5" w14:textId="77777777" w:rsidR="00B86945" w:rsidRDefault="00000000">
      <w:pPr>
        <w:spacing w:after="100" w:line="259" w:lineRule="auto"/>
      </w:pPr>
      <w:r>
        <w:t xml:space="preserve">Across all four architectures, both tested budgets per architecture, all three bank families, and five spatial masks, no synthetic bank outperforms the </w:t>
      </w:r>
      <m:oMath>
        <m:r>
          <w:rPr>
            <w:rFonts w:ascii="Cambria Math" w:hAnsi="Cambria Math"/>
          </w:rPr>
          <m:t>K=0</m:t>
        </m:r>
      </m:oMath>
      <w:r>
        <w:t xml:space="preserve"> random-pruning baseline. Increasing </w:t>
      </w:r>
      <m:oMath>
        <m:r>
          <w:rPr>
            <w:rFonts w:ascii="Cambria Math" w:hAnsi="Cambria Math"/>
          </w:rPr>
          <m:t>K</m:t>
        </m:r>
      </m:oMath>
      <w:r>
        <w:t xml:space="preserve"> generally reduces accuracy because each synthetic slot displaces one real image-conditioned patch. This is an empirical token-budget tradeoff; we do not claim to have directly measured mutual information.</w:t>
      </w:r>
    </w:p>
    <w:p w14:paraId="5CE54C86" w14:textId="77777777" w:rsidR="00B86945" w:rsidRDefault="00000000">
      <w:pPr>
        <w:spacing w:after="100" w:line="259" w:lineRule="auto"/>
      </w:pPr>
      <w:r>
        <w:t xml:space="preserve">The result establishes the boundary summarized in the main text: </w:t>
      </w:r>
      <w:r>
        <w:rPr>
          <w:b/>
        </w:rPr>
        <w:t>replaceability under preserved sequence structure is not equivalent to usefulness under scarce token capacity</w:t>
      </w:r>
      <w:r>
        <w:t>. Supplementary Figure S9 summarizes these matched-budget comparisons.</w:t>
      </w:r>
    </w:p>
    <w:p w14:paraId="63B58C3D" w14:textId="77777777" w:rsidR="00B86945" w:rsidRDefault="00000000">
      <w:pPr>
        <w:keepNext/>
        <w:keepLines/>
        <w:spacing w:after="20"/>
        <w:jc w:val="center"/>
      </w:pPr>
      <w:r>
        <w:rPr>
          <w:noProof/>
        </w:rPr>
        <w:lastRenderedPageBreak/>
        <w:drawing>
          <wp:inline distT="0" distB="0" distL="0" distR="0" wp14:anchorId="127152D9" wp14:editId="2083FB7E">
            <wp:extent cx="6172200" cy="461130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09_geometry_bank_vs_pruning.png"/>
                    <pic:cNvPicPr/>
                  </pic:nvPicPr>
                  <pic:blipFill>
                    <a:blip r:embed="rId15"/>
                    <a:stretch>
                      <a:fillRect/>
                    </a:stretch>
                  </pic:blipFill>
                  <pic:spPr>
                    <a:xfrm>
                      <a:off x="0" y="0"/>
                      <a:ext cx="6172200" cy="4611301"/>
                    </a:xfrm>
                    <a:prstGeom prst="rect">
                      <a:avLst/>
                    </a:prstGeom>
                  </pic:spPr>
                </pic:pic>
              </a:graphicData>
            </a:graphic>
          </wp:inline>
        </w:drawing>
      </w:r>
    </w:p>
    <w:p w14:paraId="46D1FF03" w14:textId="77777777" w:rsidR="00B86945" w:rsidRDefault="00000000">
      <w:pPr>
        <w:keepLines/>
        <w:spacing w:after="100" w:line="259" w:lineRule="auto"/>
      </w:pPr>
      <w:r>
        <w:rPr>
          <w:b/>
        </w:rPr>
        <w:t>Supplementary Figure S9. Synthetic geometry-bank delta relative to random pruning.</w:t>
      </w:r>
      <w:r>
        <w:t xml:space="preserve"> Accuracy difference for synthetic carrier banks relative to the matched random-pruning baseline.</w:t>
      </w:r>
    </w:p>
    <w:p w14:paraId="013103CA" w14:textId="77777777" w:rsidR="00B86945" w:rsidRDefault="00000000">
      <w:pPr>
        <w:pStyle w:val="Heading1"/>
      </w:pPr>
      <w:r>
        <w:rPr>
          <w:rFonts w:ascii="Times New Roman" w:hAnsi="Times New Roman"/>
        </w:rPr>
        <w:t>S10. Statistical and reproducibility notes</w:t>
      </w:r>
    </w:p>
    <w:p w14:paraId="506B0CDC" w14:textId="77777777" w:rsidR="00B86945" w:rsidRDefault="00000000">
      <w:pPr>
        <w:spacing w:after="100" w:line="259" w:lineRule="auto"/>
      </w:pPr>
      <w:r>
        <w:t>For image-based analyses, the image is the statistical unit and paired comparisons use matched images from the same cohort. Distinct experiments maintain separate cohorts; neither random seeds nor patch positions increase the image sample size. Seeded interventions are summarized by run, with means and sample standard deviations where shown. In the grouped-diversity extension, each image’s outcome is averaged across five seeds before paired tests. Multi-block operator prediction uses held-out perturbations as its unit; operator-space carrier outcomes are separate from classifier-image outcomes.</w:t>
      </w:r>
    </w:p>
    <w:p w14:paraId="35D941C5" w14:textId="77777777" w:rsidR="00B86945" w:rsidRDefault="00000000">
      <w:pPr>
        <w:spacing w:after="100" w:line="259" w:lineRule="auto"/>
      </w:pPr>
      <w:r>
        <w:t xml:space="preserve">Inference is protocol-specific. The depth/fraction, geometry, and original diversity protocols use paired Student’s </w:t>
      </w:r>
      <m:oMath>
        <m:r>
          <w:rPr>
            <w:rFonts w:ascii="Cambria Math" w:hAnsi="Cambria Math"/>
          </w:rPr>
          <m:t>t</m:t>
        </m:r>
      </m:oMath>
      <w:r>
        <w:t xml:space="preserve">-tests and Wilcoxon signed-rank tests for margin contrasts, paired percentile-bootstrap 95% intervals from 10,000 resamples, Cohen’s </w:t>
      </w:r>
      <m:oMath>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 where reported, and exact two-sided McNemar tests for Top-1 differences where specified; Benjamini–Hochberg correction is restricted to the comparison families defined in each protocol. Confirmatory compression uses exact McNemar tests, paired </w:t>
      </w:r>
      <m:oMath>
        <m:r>
          <w:rPr>
            <w:rFonts w:ascii="Cambria Math" w:hAnsi="Cambria Math"/>
          </w:rPr>
          <m:t>t</m:t>
        </m:r>
      </m:oMath>
      <w:r>
        <w:t xml:space="preserve">- and Wilcoxon tests for margin damage, Cohen’s </w:t>
      </w:r>
      <m:oMath>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 and 2,000-resample bootstrap intervals for accuracy and margin differences. The grouped-diversity extension tests the per-image seed-averaged outcomes with paired </w:t>
      </w:r>
      <m:oMath>
        <m:r>
          <w:rPr>
            <w:rFonts w:ascii="Cambria Math" w:hAnsi="Cambria Math"/>
          </w:rPr>
          <m:t>t</m:t>
        </m:r>
      </m:oMath>
      <w:r>
        <w:t xml:space="preserve">- and Wilcoxon tests, reports paired </w:t>
      </w:r>
      <m:oMath>
        <m:r>
          <w:rPr>
            <w:rFonts w:ascii="Cambria Math" w:hAnsi="Cambria Math"/>
          </w:rPr>
          <m:t>t</m:t>
        </m:r>
      </m:oMath>
      <w:r>
        <w:t>-intervals, and applies Benjamini–Hochberg correction within each model/metric family across the 28 K-pairs.</w:t>
      </w:r>
    </w:p>
    <w:p w14:paraId="6ABCEC72" w14:textId="77777777" w:rsidR="00B86945" w:rsidRDefault="00000000">
      <w:pPr>
        <w:spacing w:after="100" w:line="259" w:lineRule="auto"/>
      </w:pPr>
      <w:r>
        <w:t>The confirmatory operator-residual correlations summarize 30,000 method/budget/seed rows per architecture evaluated on the same 1,000 held-out images. They describe associations across tested conditions, not 30,000 independently sampled images. The dense-fraction sweep aggregates Gaussian runs within each spatial-mask seed before summarizing over mask seeds. Throughput rows use 50 warm-up and 100 measured full-model calls.</w:t>
      </w:r>
    </w:p>
    <w:p w14:paraId="6CC7AEFF" w14:textId="77777777" w:rsidR="00B86945" w:rsidRDefault="00000000">
      <w:pPr>
        <w:keepNext/>
        <w:keepLines/>
        <w:spacing w:after="100" w:line="259" w:lineRule="auto"/>
      </w:pPr>
      <w:r>
        <w:rPr>
          <w:b/>
        </w:rPr>
        <w:lastRenderedPageBreak/>
        <w:t>Table S1. Split and stochastic seeds for the seeded analyses.</w:t>
      </w:r>
      <w:r>
        <w:t xml:space="preserve"> Split seeds are calibration/evaluation seeds unless otherwise specified. Sample units and distinct cohort sizes are summarized in Table I of the main text.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1"/>
        <w:gridCol w:w="3331"/>
        <w:gridCol w:w="3331"/>
      </w:tblGrid>
      <w:tr w:rsidR="00B86945" w:rsidRPr="0026008E" w14:paraId="31485637" w14:textId="77777777" w:rsidTr="0026008E">
        <w:trPr>
          <w:tblHeader/>
        </w:trPr>
        <w:tc>
          <w:tcPr>
            <w:tcW w:w="3331" w:type="dxa"/>
            <w:tcBorders>
              <w:top w:val="single" w:sz="4" w:space="0" w:color="auto"/>
              <w:bottom w:val="single" w:sz="4" w:space="0" w:color="auto"/>
            </w:tcBorders>
            <w:tcMar>
              <w:top w:w="55" w:type="dxa"/>
              <w:left w:w="65" w:type="dxa"/>
              <w:bottom w:w="55" w:type="dxa"/>
              <w:right w:w="65" w:type="dxa"/>
            </w:tcMar>
            <w:vAlign w:val="center"/>
          </w:tcPr>
          <w:p w14:paraId="439167D2" w14:textId="77777777" w:rsidR="00B86945" w:rsidRPr="0026008E" w:rsidRDefault="00000000">
            <w:pPr>
              <w:jc w:val="center"/>
              <w:rPr>
                <w:szCs w:val="28"/>
              </w:rPr>
            </w:pPr>
            <w:r w:rsidRPr="0026008E">
              <w:rPr>
                <w:b/>
                <w:color w:val="17232D"/>
                <w:szCs w:val="28"/>
              </w:rPr>
              <w:t>Analysis</w:t>
            </w:r>
          </w:p>
        </w:tc>
        <w:tc>
          <w:tcPr>
            <w:tcW w:w="3331" w:type="dxa"/>
            <w:tcBorders>
              <w:top w:val="single" w:sz="4" w:space="0" w:color="auto"/>
              <w:bottom w:val="single" w:sz="4" w:space="0" w:color="auto"/>
            </w:tcBorders>
            <w:tcMar>
              <w:top w:w="55" w:type="dxa"/>
              <w:left w:w="65" w:type="dxa"/>
              <w:bottom w:w="55" w:type="dxa"/>
              <w:right w:w="65" w:type="dxa"/>
            </w:tcMar>
            <w:vAlign w:val="center"/>
          </w:tcPr>
          <w:p w14:paraId="3C48AE71" w14:textId="77777777" w:rsidR="00B86945" w:rsidRPr="0026008E" w:rsidRDefault="00000000">
            <w:pPr>
              <w:jc w:val="center"/>
              <w:rPr>
                <w:szCs w:val="28"/>
              </w:rPr>
            </w:pPr>
            <w:r w:rsidRPr="0026008E">
              <w:rPr>
                <w:b/>
                <w:color w:val="17232D"/>
                <w:szCs w:val="28"/>
              </w:rPr>
              <w:t>Split and mask seeds</w:t>
            </w:r>
          </w:p>
        </w:tc>
        <w:tc>
          <w:tcPr>
            <w:tcW w:w="3331" w:type="dxa"/>
            <w:tcBorders>
              <w:top w:val="single" w:sz="4" w:space="0" w:color="auto"/>
              <w:bottom w:val="single" w:sz="4" w:space="0" w:color="auto"/>
            </w:tcBorders>
            <w:tcMar>
              <w:top w:w="55" w:type="dxa"/>
              <w:left w:w="65" w:type="dxa"/>
              <w:bottom w:w="55" w:type="dxa"/>
              <w:right w:w="65" w:type="dxa"/>
            </w:tcMar>
            <w:vAlign w:val="center"/>
          </w:tcPr>
          <w:p w14:paraId="4B590602" w14:textId="77777777" w:rsidR="00B86945" w:rsidRPr="0026008E" w:rsidRDefault="00000000">
            <w:pPr>
              <w:jc w:val="center"/>
              <w:rPr>
                <w:szCs w:val="28"/>
              </w:rPr>
            </w:pPr>
            <w:r w:rsidRPr="0026008E">
              <w:rPr>
                <w:b/>
                <w:color w:val="17232D"/>
                <w:szCs w:val="28"/>
              </w:rPr>
              <w:t>Stochastic seeds and aggregation</w:t>
            </w:r>
          </w:p>
        </w:tc>
      </w:tr>
      <w:tr w:rsidR="00B86945" w:rsidRPr="0026008E" w14:paraId="7ADA3231" w14:textId="77777777" w:rsidTr="0026008E">
        <w:tc>
          <w:tcPr>
            <w:tcW w:w="3331" w:type="dxa"/>
            <w:tcBorders>
              <w:top w:val="single" w:sz="4" w:space="0" w:color="auto"/>
            </w:tcBorders>
            <w:tcMar>
              <w:top w:w="55" w:type="dxa"/>
              <w:left w:w="65" w:type="dxa"/>
              <w:bottom w:w="55" w:type="dxa"/>
              <w:right w:w="65" w:type="dxa"/>
            </w:tcMar>
            <w:vAlign w:val="center"/>
          </w:tcPr>
          <w:p w14:paraId="3F204D81" w14:textId="77777777" w:rsidR="00B86945" w:rsidRPr="0026008E" w:rsidRDefault="00000000">
            <w:pPr>
              <w:rPr>
                <w:szCs w:val="28"/>
              </w:rPr>
            </w:pPr>
            <w:r w:rsidRPr="0026008E">
              <w:rPr>
                <w:szCs w:val="28"/>
              </w:rPr>
              <w:t>Figure 2: DeiT-Tiny/Small depth sweep</w:t>
            </w:r>
          </w:p>
        </w:tc>
        <w:tc>
          <w:tcPr>
            <w:tcW w:w="3331" w:type="dxa"/>
            <w:tcBorders>
              <w:top w:val="single" w:sz="4" w:space="0" w:color="auto"/>
            </w:tcBorders>
            <w:tcMar>
              <w:top w:w="55" w:type="dxa"/>
              <w:left w:w="65" w:type="dxa"/>
              <w:bottom w:w="55" w:type="dxa"/>
              <w:right w:w="65" w:type="dxa"/>
            </w:tcMar>
            <w:vAlign w:val="center"/>
          </w:tcPr>
          <w:p w14:paraId="554A1951" w14:textId="77777777" w:rsidR="00B86945" w:rsidRPr="0026008E" w:rsidRDefault="00000000">
            <w:pPr>
              <w:jc w:val="center"/>
              <w:rPr>
                <w:szCs w:val="28"/>
              </w:rPr>
            </w:pPr>
            <w:r w:rsidRPr="0026008E">
              <w:rPr>
                <w:szCs w:val="28"/>
              </w:rPr>
              <w:t>Calibration 9101; evaluation 9201; spatial mask 9301</w:t>
            </w:r>
          </w:p>
        </w:tc>
        <w:tc>
          <w:tcPr>
            <w:tcW w:w="3331" w:type="dxa"/>
            <w:tcBorders>
              <w:top w:val="single" w:sz="4" w:space="0" w:color="auto"/>
            </w:tcBorders>
            <w:tcMar>
              <w:top w:w="55" w:type="dxa"/>
              <w:left w:w="65" w:type="dxa"/>
              <w:bottom w:w="55" w:type="dxa"/>
              <w:right w:w="65" w:type="dxa"/>
            </w:tcMar>
            <w:vAlign w:val="center"/>
          </w:tcPr>
          <w:p w14:paraId="16BA0EE5" w14:textId="77777777" w:rsidR="00B86945" w:rsidRPr="0026008E" w:rsidRDefault="00000000">
            <w:pPr>
              <w:jc w:val="center"/>
              <w:rPr>
                <w:szCs w:val="28"/>
              </w:rPr>
            </w:pPr>
            <w:r w:rsidRPr="0026008E">
              <w:rPr>
                <w:szCs w:val="28"/>
              </w:rPr>
              <w:t>Gaussian seeds 9401–9405; mean and sample SD across five seeds.</w:t>
            </w:r>
          </w:p>
        </w:tc>
      </w:tr>
      <w:tr w:rsidR="00B86945" w:rsidRPr="0026008E" w14:paraId="01470B2C" w14:textId="77777777" w:rsidTr="0026008E">
        <w:tc>
          <w:tcPr>
            <w:tcW w:w="3331" w:type="dxa"/>
            <w:tcMar>
              <w:top w:w="55" w:type="dxa"/>
              <w:left w:w="65" w:type="dxa"/>
              <w:bottom w:w="55" w:type="dxa"/>
              <w:right w:w="65" w:type="dxa"/>
            </w:tcMar>
            <w:vAlign w:val="center"/>
          </w:tcPr>
          <w:p w14:paraId="1FC47B30" w14:textId="77777777" w:rsidR="00B86945" w:rsidRPr="0026008E" w:rsidRDefault="00000000">
            <w:pPr>
              <w:rPr>
                <w:szCs w:val="28"/>
              </w:rPr>
            </w:pPr>
            <w:r w:rsidRPr="0026008E">
              <w:rPr>
                <w:szCs w:val="28"/>
              </w:rPr>
              <w:t>Figure 2: ViT-B/16 AugReg and DINOv2 depth sweep</w:t>
            </w:r>
          </w:p>
        </w:tc>
        <w:tc>
          <w:tcPr>
            <w:tcW w:w="3331" w:type="dxa"/>
            <w:tcMar>
              <w:top w:w="55" w:type="dxa"/>
              <w:left w:w="65" w:type="dxa"/>
              <w:bottom w:w="55" w:type="dxa"/>
              <w:right w:w="65" w:type="dxa"/>
            </w:tcMar>
            <w:vAlign w:val="center"/>
          </w:tcPr>
          <w:p w14:paraId="4FB69DCE" w14:textId="77777777" w:rsidR="00B86945" w:rsidRPr="0026008E" w:rsidRDefault="00000000">
            <w:pPr>
              <w:jc w:val="center"/>
              <w:rPr>
                <w:szCs w:val="28"/>
              </w:rPr>
            </w:pPr>
            <w:r w:rsidRPr="0026008E">
              <w:rPr>
                <w:szCs w:val="28"/>
              </w:rPr>
              <w:t>Calibration 9101; evaluation 9201; spatial mask 21001</w:t>
            </w:r>
          </w:p>
        </w:tc>
        <w:tc>
          <w:tcPr>
            <w:tcW w:w="3331" w:type="dxa"/>
            <w:tcMar>
              <w:top w:w="55" w:type="dxa"/>
              <w:left w:w="65" w:type="dxa"/>
              <w:bottom w:w="55" w:type="dxa"/>
              <w:right w:w="65" w:type="dxa"/>
            </w:tcMar>
            <w:vAlign w:val="center"/>
          </w:tcPr>
          <w:p w14:paraId="2BD0B89C" w14:textId="77777777" w:rsidR="00B86945" w:rsidRPr="0026008E" w:rsidRDefault="00000000">
            <w:pPr>
              <w:jc w:val="center"/>
              <w:rPr>
                <w:szCs w:val="28"/>
              </w:rPr>
            </w:pPr>
            <w:r w:rsidRPr="0026008E">
              <w:rPr>
                <w:szCs w:val="28"/>
              </w:rPr>
              <w:t>Gaussian seeds 22001–22003; mean and sample SD across three seeds. The post hoc depth-6 follow-up uses the same split and intervention seeds.</w:t>
            </w:r>
          </w:p>
        </w:tc>
      </w:tr>
      <w:tr w:rsidR="00B86945" w:rsidRPr="0026008E" w14:paraId="15D3EAAD" w14:textId="77777777" w:rsidTr="0026008E">
        <w:tc>
          <w:tcPr>
            <w:tcW w:w="3331" w:type="dxa"/>
            <w:tcMar>
              <w:top w:w="55" w:type="dxa"/>
              <w:left w:w="65" w:type="dxa"/>
              <w:bottom w:w="55" w:type="dxa"/>
              <w:right w:w="65" w:type="dxa"/>
            </w:tcMar>
            <w:vAlign w:val="center"/>
          </w:tcPr>
          <w:p w14:paraId="1D8449F0" w14:textId="77777777" w:rsidR="00B86945" w:rsidRPr="0026008E" w:rsidRDefault="00000000">
            <w:pPr>
              <w:rPr>
                <w:szCs w:val="28"/>
              </w:rPr>
            </w:pPr>
            <w:r w:rsidRPr="0026008E">
              <w:rPr>
                <w:szCs w:val="28"/>
              </w:rPr>
              <w:t>Figure 3(a): DeiT geometry controls</w:t>
            </w:r>
          </w:p>
        </w:tc>
        <w:tc>
          <w:tcPr>
            <w:tcW w:w="3331" w:type="dxa"/>
            <w:tcMar>
              <w:top w:w="55" w:type="dxa"/>
              <w:left w:w="65" w:type="dxa"/>
              <w:bottom w:w="55" w:type="dxa"/>
              <w:right w:w="65" w:type="dxa"/>
            </w:tcMar>
            <w:vAlign w:val="center"/>
          </w:tcPr>
          <w:p w14:paraId="77154371" w14:textId="77777777" w:rsidR="00B86945" w:rsidRPr="0026008E" w:rsidRDefault="00000000">
            <w:pPr>
              <w:jc w:val="center"/>
              <w:rPr>
                <w:szCs w:val="28"/>
              </w:rPr>
            </w:pPr>
            <w:r w:rsidRPr="0026008E">
              <w:rPr>
                <w:szCs w:val="28"/>
              </w:rPr>
              <w:t>Calibration 9101; evaluation 9201; mask 9601</w:t>
            </w:r>
          </w:p>
        </w:tc>
        <w:tc>
          <w:tcPr>
            <w:tcW w:w="3331" w:type="dxa"/>
            <w:tcMar>
              <w:top w:w="55" w:type="dxa"/>
              <w:left w:w="65" w:type="dxa"/>
              <w:bottom w:w="55" w:type="dxa"/>
              <w:right w:w="65" w:type="dxa"/>
            </w:tcMar>
            <w:vAlign w:val="center"/>
          </w:tcPr>
          <w:p w14:paraId="05C947CB" w14:textId="77777777" w:rsidR="00B86945" w:rsidRPr="0026008E" w:rsidRDefault="00000000">
            <w:pPr>
              <w:jc w:val="center"/>
              <w:rPr>
                <w:szCs w:val="28"/>
              </w:rPr>
            </w:pPr>
            <w:r w:rsidRPr="0026008E">
              <w:rPr>
                <w:szCs w:val="28"/>
              </w:rPr>
              <w:t>Coordinate-permutation seeds 9801–9803; centroid and sign-inversion controls are single-run estimates.</w:t>
            </w:r>
          </w:p>
        </w:tc>
      </w:tr>
      <w:tr w:rsidR="00B86945" w:rsidRPr="0026008E" w14:paraId="18FB6252" w14:textId="77777777" w:rsidTr="0026008E">
        <w:tc>
          <w:tcPr>
            <w:tcW w:w="3331" w:type="dxa"/>
            <w:tcMar>
              <w:top w:w="55" w:type="dxa"/>
              <w:left w:w="65" w:type="dxa"/>
              <w:bottom w:w="55" w:type="dxa"/>
              <w:right w:w="65" w:type="dxa"/>
            </w:tcMar>
            <w:vAlign w:val="center"/>
          </w:tcPr>
          <w:p w14:paraId="7DDE9D99" w14:textId="77777777" w:rsidR="00B86945" w:rsidRPr="0026008E" w:rsidRDefault="00000000">
            <w:pPr>
              <w:rPr>
                <w:szCs w:val="28"/>
              </w:rPr>
            </w:pPr>
            <w:r w:rsidRPr="0026008E">
              <w:rPr>
                <w:szCs w:val="28"/>
              </w:rPr>
              <w:t>Figure 3(a): ViT-B/DINOv2 geometry controls</w:t>
            </w:r>
          </w:p>
        </w:tc>
        <w:tc>
          <w:tcPr>
            <w:tcW w:w="3331" w:type="dxa"/>
            <w:tcMar>
              <w:top w:w="55" w:type="dxa"/>
              <w:left w:w="65" w:type="dxa"/>
              <w:bottom w:w="55" w:type="dxa"/>
              <w:right w:w="65" w:type="dxa"/>
            </w:tcMar>
            <w:vAlign w:val="center"/>
          </w:tcPr>
          <w:p w14:paraId="605103F8" w14:textId="77777777" w:rsidR="00B86945" w:rsidRPr="0026008E" w:rsidRDefault="00000000">
            <w:pPr>
              <w:jc w:val="center"/>
              <w:rPr>
                <w:szCs w:val="28"/>
              </w:rPr>
            </w:pPr>
            <w:r w:rsidRPr="0026008E">
              <w:rPr>
                <w:szCs w:val="28"/>
              </w:rPr>
              <w:t>Calibration 9101; evaluation 9201; mask 21001</w:t>
            </w:r>
          </w:p>
        </w:tc>
        <w:tc>
          <w:tcPr>
            <w:tcW w:w="3331" w:type="dxa"/>
            <w:tcMar>
              <w:top w:w="55" w:type="dxa"/>
              <w:left w:w="65" w:type="dxa"/>
              <w:bottom w:w="55" w:type="dxa"/>
              <w:right w:w="65" w:type="dxa"/>
            </w:tcMar>
            <w:vAlign w:val="center"/>
          </w:tcPr>
          <w:p w14:paraId="1F123802" w14:textId="77777777" w:rsidR="00B86945" w:rsidRPr="0026008E" w:rsidRDefault="00000000">
            <w:pPr>
              <w:jc w:val="center"/>
              <w:rPr>
                <w:szCs w:val="28"/>
              </w:rPr>
            </w:pPr>
            <w:r w:rsidRPr="0026008E">
              <w:rPr>
                <w:szCs w:val="28"/>
              </w:rPr>
              <w:t>Coordinate-permutation seeds 23001–23003; centroid and sign-inversion controls are single-run estimates.</w:t>
            </w:r>
          </w:p>
        </w:tc>
      </w:tr>
      <w:tr w:rsidR="00B86945" w:rsidRPr="0026008E" w14:paraId="2555D00B" w14:textId="77777777" w:rsidTr="0026008E">
        <w:tc>
          <w:tcPr>
            <w:tcW w:w="3331" w:type="dxa"/>
            <w:tcMar>
              <w:top w:w="55" w:type="dxa"/>
              <w:left w:w="65" w:type="dxa"/>
              <w:bottom w:w="55" w:type="dxa"/>
              <w:right w:w="65" w:type="dxa"/>
            </w:tcMar>
            <w:vAlign w:val="center"/>
          </w:tcPr>
          <w:p w14:paraId="7EF7A31A" w14:textId="77777777" w:rsidR="00B86945" w:rsidRPr="0026008E" w:rsidRDefault="00000000">
            <w:pPr>
              <w:rPr>
                <w:szCs w:val="28"/>
              </w:rPr>
            </w:pPr>
            <w:r w:rsidRPr="0026008E">
              <w:rPr>
                <w:szCs w:val="28"/>
              </w:rPr>
              <w:t>Figure 3(b): DeiT grouped diversity</w:t>
            </w:r>
          </w:p>
        </w:tc>
        <w:tc>
          <w:tcPr>
            <w:tcW w:w="3331" w:type="dxa"/>
            <w:tcMar>
              <w:top w:w="55" w:type="dxa"/>
              <w:left w:w="65" w:type="dxa"/>
              <w:bottom w:w="55" w:type="dxa"/>
              <w:right w:w="65" w:type="dxa"/>
            </w:tcMar>
            <w:vAlign w:val="center"/>
          </w:tcPr>
          <w:p w14:paraId="7D3908F0" w14:textId="77777777" w:rsidR="00B86945" w:rsidRPr="0026008E" w:rsidRDefault="00000000">
            <w:pPr>
              <w:jc w:val="center"/>
              <w:rPr>
                <w:szCs w:val="28"/>
              </w:rPr>
            </w:pPr>
            <w:r w:rsidRPr="0026008E">
              <w:rPr>
                <w:szCs w:val="28"/>
              </w:rPr>
              <w:t>Calibration 9101; evaluation 9201</w:t>
            </w:r>
          </w:p>
        </w:tc>
        <w:tc>
          <w:tcPr>
            <w:tcW w:w="3331" w:type="dxa"/>
            <w:tcMar>
              <w:top w:w="55" w:type="dxa"/>
              <w:left w:w="65" w:type="dxa"/>
              <w:bottom w:w="55" w:type="dxa"/>
              <w:right w:w="65" w:type="dxa"/>
            </w:tcMar>
            <w:vAlign w:val="center"/>
          </w:tcPr>
          <w:p w14:paraId="1018DFFE" w14:textId="77777777" w:rsidR="00B86945" w:rsidRPr="0026008E" w:rsidRDefault="00000000">
            <w:pPr>
              <w:jc w:val="center"/>
              <w:rPr>
                <w:szCs w:val="28"/>
              </w:rPr>
            </w:pPr>
            <w:r w:rsidRPr="0026008E">
              <w:rPr>
                <w:szCs w:val="28"/>
              </w:rPr>
              <w:t>Grouped-Gaussian seeds 15001–15003; means and sample SDs are across seeds.</w:t>
            </w:r>
          </w:p>
        </w:tc>
      </w:tr>
      <w:tr w:rsidR="00B86945" w:rsidRPr="0026008E" w14:paraId="0C3B2335" w14:textId="77777777" w:rsidTr="0026008E">
        <w:tc>
          <w:tcPr>
            <w:tcW w:w="3331" w:type="dxa"/>
            <w:tcMar>
              <w:top w:w="55" w:type="dxa"/>
              <w:left w:w="65" w:type="dxa"/>
              <w:bottom w:w="55" w:type="dxa"/>
              <w:right w:w="65" w:type="dxa"/>
            </w:tcMar>
            <w:vAlign w:val="center"/>
          </w:tcPr>
          <w:p w14:paraId="681AF562" w14:textId="77777777" w:rsidR="00B86945" w:rsidRPr="0026008E" w:rsidRDefault="00000000">
            <w:pPr>
              <w:rPr>
                <w:szCs w:val="28"/>
              </w:rPr>
            </w:pPr>
            <w:r w:rsidRPr="0026008E">
              <w:rPr>
                <w:szCs w:val="28"/>
              </w:rPr>
              <w:t>Figure 3(b) and Figure S10: ViT-B/DINOv2 grouped diversity</w:t>
            </w:r>
          </w:p>
        </w:tc>
        <w:tc>
          <w:tcPr>
            <w:tcW w:w="3331" w:type="dxa"/>
            <w:tcMar>
              <w:top w:w="55" w:type="dxa"/>
              <w:left w:w="65" w:type="dxa"/>
              <w:bottom w:w="55" w:type="dxa"/>
              <w:right w:w="65" w:type="dxa"/>
            </w:tcMar>
            <w:vAlign w:val="center"/>
          </w:tcPr>
          <w:p w14:paraId="6D44A410" w14:textId="77777777" w:rsidR="00B86945" w:rsidRPr="0026008E" w:rsidRDefault="00000000">
            <w:pPr>
              <w:jc w:val="center"/>
              <w:rPr>
                <w:szCs w:val="28"/>
              </w:rPr>
            </w:pPr>
            <w:r w:rsidRPr="0026008E">
              <w:rPr>
                <w:szCs w:val="28"/>
              </w:rPr>
              <w:t>Calibration 9101; evaluation 9201</w:t>
            </w:r>
          </w:p>
        </w:tc>
        <w:tc>
          <w:tcPr>
            <w:tcW w:w="3331" w:type="dxa"/>
            <w:tcMar>
              <w:top w:w="55" w:type="dxa"/>
              <w:left w:w="65" w:type="dxa"/>
              <w:bottom w:w="55" w:type="dxa"/>
              <w:right w:w="65" w:type="dxa"/>
            </w:tcMar>
            <w:vAlign w:val="center"/>
          </w:tcPr>
          <w:p w14:paraId="7D56F67D" w14:textId="77777777" w:rsidR="00B86945" w:rsidRPr="0026008E" w:rsidRDefault="00000000">
            <w:pPr>
              <w:jc w:val="center"/>
              <w:rPr>
                <w:szCs w:val="28"/>
              </w:rPr>
            </w:pPr>
            <w:r w:rsidRPr="0026008E">
              <w:rPr>
                <w:szCs w:val="28"/>
              </w:rPr>
              <w:t>Grouped-Gaussian seeds 26001–26005; means and sample SDs are across seeds; paired tests use per-image means across seeds.</w:t>
            </w:r>
          </w:p>
        </w:tc>
      </w:tr>
      <w:tr w:rsidR="00B86945" w:rsidRPr="0026008E" w14:paraId="71BA624E" w14:textId="77777777" w:rsidTr="0026008E">
        <w:tc>
          <w:tcPr>
            <w:tcW w:w="3331" w:type="dxa"/>
            <w:tcMar>
              <w:top w:w="55" w:type="dxa"/>
              <w:left w:w="65" w:type="dxa"/>
              <w:bottom w:w="55" w:type="dxa"/>
              <w:right w:w="65" w:type="dxa"/>
            </w:tcMar>
            <w:vAlign w:val="center"/>
          </w:tcPr>
          <w:p w14:paraId="53C25D3A" w14:textId="77777777" w:rsidR="00B86945" w:rsidRPr="0026008E" w:rsidRDefault="00000000">
            <w:pPr>
              <w:rPr>
                <w:szCs w:val="28"/>
              </w:rPr>
            </w:pPr>
            <w:r w:rsidRPr="0026008E">
              <w:rPr>
                <w:szCs w:val="28"/>
              </w:rPr>
              <w:t>Figure 3(c), Section 4.2: PCA-aligned versus random directions</w:t>
            </w:r>
          </w:p>
        </w:tc>
        <w:tc>
          <w:tcPr>
            <w:tcW w:w="3331" w:type="dxa"/>
            <w:tcMar>
              <w:top w:w="55" w:type="dxa"/>
              <w:left w:w="65" w:type="dxa"/>
              <w:bottom w:w="55" w:type="dxa"/>
              <w:right w:w="65" w:type="dxa"/>
            </w:tcMar>
            <w:vAlign w:val="center"/>
          </w:tcPr>
          <w:p w14:paraId="627F6404" w14:textId="77777777" w:rsidR="00B86945" w:rsidRPr="0026008E" w:rsidRDefault="00000000">
            <w:pPr>
              <w:jc w:val="center"/>
              <w:rPr>
                <w:szCs w:val="28"/>
              </w:rPr>
            </w:pPr>
            <w:r w:rsidRPr="0026008E">
              <w:rPr>
                <w:szCs w:val="28"/>
              </w:rPr>
              <w:t>Calibration 9101; evaluation 9201</w:t>
            </w:r>
          </w:p>
        </w:tc>
        <w:tc>
          <w:tcPr>
            <w:tcW w:w="3331" w:type="dxa"/>
            <w:tcMar>
              <w:top w:w="55" w:type="dxa"/>
              <w:left w:w="65" w:type="dxa"/>
              <w:bottom w:w="55" w:type="dxa"/>
              <w:right w:w="65" w:type="dxa"/>
            </w:tcMar>
            <w:vAlign w:val="center"/>
          </w:tcPr>
          <w:p w14:paraId="4C2CE783" w14:textId="77777777" w:rsidR="00B86945" w:rsidRPr="0026008E" w:rsidRDefault="00000000">
            <w:pPr>
              <w:jc w:val="center"/>
              <w:rPr>
                <w:szCs w:val="28"/>
              </w:rPr>
            </w:pPr>
            <w:r w:rsidRPr="0026008E">
              <w:rPr>
                <w:szCs w:val="28"/>
              </w:rPr>
              <w:t>DeiT natural-PC1 identity seeds 17001–17005 and matched-random-direction seeds 18001–18005; ViT-B/DINOv2 use seeds 25001–25003.</w:t>
            </w:r>
          </w:p>
        </w:tc>
      </w:tr>
      <w:tr w:rsidR="00B86945" w:rsidRPr="0026008E" w14:paraId="4F305519" w14:textId="77777777" w:rsidTr="0026008E">
        <w:tc>
          <w:tcPr>
            <w:tcW w:w="3331" w:type="dxa"/>
            <w:tcMar>
              <w:top w:w="55" w:type="dxa"/>
              <w:left w:w="65" w:type="dxa"/>
              <w:bottom w:w="55" w:type="dxa"/>
              <w:right w:w="65" w:type="dxa"/>
            </w:tcMar>
            <w:vAlign w:val="center"/>
          </w:tcPr>
          <w:p w14:paraId="165A42C0" w14:textId="77777777" w:rsidR="00B86945" w:rsidRPr="0026008E" w:rsidRDefault="00000000">
            <w:pPr>
              <w:rPr>
                <w:szCs w:val="28"/>
              </w:rPr>
            </w:pPr>
            <w:r w:rsidRPr="0026008E">
              <w:rPr>
                <w:szCs w:val="28"/>
              </w:rPr>
              <w:t>Supplementary dense-fraction sweep</w:t>
            </w:r>
          </w:p>
        </w:tc>
        <w:tc>
          <w:tcPr>
            <w:tcW w:w="3331" w:type="dxa"/>
            <w:tcMar>
              <w:top w:w="55" w:type="dxa"/>
              <w:left w:w="65" w:type="dxa"/>
              <w:bottom w:w="55" w:type="dxa"/>
              <w:right w:w="65" w:type="dxa"/>
            </w:tcMar>
            <w:vAlign w:val="center"/>
          </w:tcPr>
          <w:p w14:paraId="1FBF6F55" w14:textId="77777777" w:rsidR="00B86945" w:rsidRPr="0026008E" w:rsidRDefault="00000000">
            <w:pPr>
              <w:jc w:val="center"/>
              <w:rPr>
                <w:szCs w:val="28"/>
              </w:rPr>
            </w:pPr>
            <w:r w:rsidRPr="0026008E">
              <w:rPr>
                <w:szCs w:val="28"/>
              </w:rPr>
              <w:t>Calibration 9101; evaluation 9201; spatial masks 31001–31005</w:t>
            </w:r>
          </w:p>
        </w:tc>
        <w:tc>
          <w:tcPr>
            <w:tcW w:w="3331" w:type="dxa"/>
            <w:tcMar>
              <w:top w:w="55" w:type="dxa"/>
              <w:left w:w="65" w:type="dxa"/>
              <w:bottom w:w="55" w:type="dxa"/>
              <w:right w:w="65" w:type="dxa"/>
            </w:tcMar>
            <w:vAlign w:val="center"/>
          </w:tcPr>
          <w:p w14:paraId="0E1ED078" w14:textId="77777777" w:rsidR="00B86945" w:rsidRPr="0026008E" w:rsidRDefault="00000000">
            <w:pPr>
              <w:jc w:val="center"/>
              <w:rPr>
                <w:szCs w:val="28"/>
              </w:rPr>
            </w:pPr>
            <w:r w:rsidRPr="0026008E">
              <w:rPr>
                <w:szCs w:val="28"/>
              </w:rPr>
              <w:t>Gaussian seeds 32001–32003; average within each mask first, then summarize across five masks.</w:t>
            </w:r>
          </w:p>
        </w:tc>
      </w:tr>
      <w:tr w:rsidR="00B86945" w:rsidRPr="0026008E" w14:paraId="680F60E0" w14:textId="77777777" w:rsidTr="0026008E">
        <w:tc>
          <w:tcPr>
            <w:tcW w:w="3331" w:type="dxa"/>
            <w:tcMar>
              <w:top w:w="55" w:type="dxa"/>
              <w:left w:w="65" w:type="dxa"/>
              <w:bottom w:w="55" w:type="dxa"/>
              <w:right w:w="65" w:type="dxa"/>
            </w:tcMar>
            <w:vAlign w:val="center"/>
          </w:tcPr>
          <w:p w14:paraId="0C3D8131" w14:textId="77777777" w:rsidR="00B86945" w:rsidRPr="0026008E" w:rsidRDefault="00000000">
            <w:pPr>
              <w:rPr>
                <w:szCs w:val="28"/>
              </w:rPr>
            </w:pPr>
            <w:r w:rsidRPr="0026008E">
              <w:rPr>
                <w:szCs w:val="28"/>
              </w:rPr>
              <w:t>Strict confirmatory compression</w:t>
            </w:r>
          </w:p>
        </w:tc>
        <w:tc>
          <w:tcPr>
            <w:tcW w:w="3331" w:type="dxa"/>
            <w:tcMar>
              <w:top w:w="55" w:type="dxa"/>
              <w:left w:w="65" w:type="dxa"/>
              <w:bottom w:w="55" w:type="dxa"/>
              <w:right w:w="65" w:type="dxa"/>
            </w:tcMar>
            <w:vAlign w:val="center"/>
          </w:tcPr>
          <w:p w14:paraId="2E91F7DD" w14:textId="77777777" w:rsidR="00B86945" w:rsidRPr="0026008E" w:rsidRDefault="00000000">
            <w:pPr>
              <w:jc w:val="center"/>
              <w:rPr>
                <w:szCs w:val="28"/>
              </w:rPr>
            </w:pPr>
            <w:r w:rsidRPr="0026008E">
              <w:rPr>
                <w:szCs w:val="28"/>
              </w:rPr>
              <w:t>Calibration 9101; evaluation 9201</w:t>
            </w:r>
          </w:p>
        </w:tc>
        <w:tc>
          <w:tcPr>
            <w:tcW w:w="3331" w:type="dxa"/>
            <w:tcMar>
              <w:top w:w="55" w:type="dxa"/>
              <w:left w:w="65" w:type="dxa"/>
              <w:bottom w:w="55" w:type="dxa"/>
              <w:right w:w="65" w:type="dxa"/>
            </w:tcMar>
            <w:vAlign w:val="center"/>
          </w:tcPr>
          <w:p w14:paraId="30DEA291" w14:textId="77777777" w:rsidR="00B86945" w:rsidRPr="0026008E" w:rsidRDefault="00000000">
            <w:pPr>
              <w:jc w:val="center"/>
              <w:rPr>
                <w:szCs w:val="28"/>
              </w:rPr>
            </w:pPr>
            <w:r w:rsidRPr="0026008E">
              <w:rPr>
                <w:szCs w:val="28"/>
              </w:rPr>
              <w:t>Random-pruning and random-grouping seeds 31001–31005; paired method comparisons use the shared held-out image cohort.</w:t>
            </w:r>
          </w:p>
        </w:tc>
      </w:tr>
      <w:tr w:rsidR="00B86945" w:rsidRPr="0026008E" w14:paraId="068B874F" w14:textId="77777777" w:rsidTr="0026008E">
        <w:tc>
          <w:tcPr>
            <w:tcW w:w="3331" w:type="dxa"/>
            <w:tcBorders>
              <w:bottom w:val="single" w:sz="4" w:space="0" w:color="auto"/>
            </w:tcBorders>
            <w:tcMar>
              <w:top w:w="55" w:type="dxa"/>
              <w:left w:w="65" w:type="dxa"/>
              <w:bottom w:w="55" w:type="dxa"/>
              <w:right w:w="65" w:type="dxa"/>
            </w:tcMar>
            <w:vAlign w:val="center"/>
          </w:tcPr>
          <w:p w14:paraId="3104672A" w14:textId="77777777" w:rsidR="00B86945" w:rsidRPr="0026008E" w:rsidRDefault="00000000">
            <w:pPr>
              <w:rPr>
                <w:szCs w:val="28"/>
              </w:rPr>
            </w:pPr>
            <w:r w:rsidRPr="0026008E">
              <w:rPr>
                <w:szCs w:val="28"/>
              </w:rPr>
              <w:t>Held-out classifier-carrier evaluation</w:t>
            </w:r>
          </w:p>
        </w:tc>
        <w:tc>
          <w:tcPr>
            <w:tcW w:w="3331" w:type="dxa"/>
            <w:tcBorders>
              <w:bottom w:val="single" w:sz="4" w:space="0" w:color="auto"/>
            </w:tcBorders>
            <w:tcMar>
              <w:top w:w="55" w:type="dxa"/>
              <w:left w:w="65" w:type="dxa"/>
              <w:bottom w:w="55" w:type="dxa"/>
              <w:right w:w="65" w:type="dxa"/>
            </w:tcMar>
            <w:vAlign w:val="center"/>
          </w:tcPr>
          <w:p w14:paraId="10F67E6B" w14:textId="77777777" w:rsidR="00B86945" w:rsidRPr="0026008E" w:rsidRDefault="00000000">
            <w:pPr>
              <w:jc w:val="center"/>
              <w:rPr>
                <w:szCs w:val="28"/>
              </w:rPr>
            </w:pPr>
            <w:r w:rsidRPr="0026008E">
              <w:rPr>
                <w:szCs w:val="28"/>
              </w:rPr>
              <w:t>Calibration 7101 (500 images); evaluation 9201 (1,000 images)</w:t>
            </w:r>
          </w:p>
        </w:tc>
        <w:tc>
          <w:tcPr>
            <w:tcW w:w="3331" w:type="dxa"/>
            <w:tcBorders>
              <w:bottom w:val="single" w:sz="4" w:space="0" w:color="auto"/>
            </w:tcBorders>
            <w:tcMar>
              <w:top w:w="55" w:type="dxa"/>
              <w:left w:w="65" w:type="dxa"/>
              <w:bottom w:w="55" w:type="dxa"/>
              <w:right w:w="65" w:type="dxa"/>
            </w:tcMar>
            <w:vAlign w:val="center"/>
          </w:tcPr>
          <w:p w14:paraId="5B5C7F46" w14:textId="77777777" w:rsidR="00B86945" w:rsidRPr="0026008E" w:rsidRDefault="00000000">
            <w:pPr>
              <w:jc w:val="center"/>
              <w:rPr>
                <w:szCs w:val="28"/>
              </w:rPr>
            </w:pPr>
            <w:r w:rsidRPr="0026008E">
              <w:rPr>
                <w:szCs w:val="28"/>
              </w:rPr>
              <w:t>Fixed cohort; no seed-level averaging.</w:t>
            </w:r>
          </w:p>
        </w:tc>
      </w:tr>
    </w:tbl>
    <w:p w14:paraId="31D2A43D" w14:textId="77777777" w:rsidR="00B86945" w:rsidRDefault="00B86945">
      <w:pPr>
        <w:spacing w:after="20"/>
      </w:pPr>
    </w:p>
    <w:p w14:paraId="78F37706" w14:textId="77777777" w:rsidR="00B86945" w:rsidRDefault="00000000">
      <w:pPr>
        <w:pStyle w:val="Heading1"/>
      </w:pPr>
      <w:r>
        <w:rPr>
          <w:rFonts w:ascii="Times New Roman" w:hAnsi="Times New Roman"/>
        </w:rPr>
        <w:t>S11. Cross-architecture mechanistic evidence</w:t>
      </w:r>
    </w:p>
    <w:p w14:paraId="2F2A0A3B" w14:textId="77777777" w:rsidR="00B86945" w:rsidRDefault="00000000">
      <w:pPr>
        <w:spacing w:after="100" w:line="259" w:lineRule="auto"/>
      </w:pPr>
      <w:r>
        <w:t xml:space="preserve">The functional-geometry extension uses the same first 100 images from each model’s calibration split at depths 5, 7, 8, and 10. It differentiates the clean predicted-class margin through the model’s classification readout; for DINOv2 this is the official linear head on normalized CLS and mean-patch features. The metric </w:t>
      </w:r>
      <m:oMath>
        <m:sSub>
          <m:sSubPr>
            <m:ctrlPr>
              <w:rPr>
                <w:rFonts w:ascii="Cambria Math" w:hAnsi="Cambria Math"/>
              </w:rPr>
            </m:ctrlPr>
          </m:sSubPr>
          <m:e>
            <m:r>
              <w:rPr>
                <w:rFonts w:ascii="Cambria Math" w:hAnsi="Cambria Math"/>
              </w:rPr>
              <m:t>M</m:t>
            </m:r>
          </m:e>
          <m:sub>
            <m:r>
              <m:rPr>
                <m:scr m:val="script"/>
              </m:rPr>
              <w:rPr>
                <w:rFonts w:ascii="Cambria Math" w:hAnsi="Cambria Math"/>
              </w:rPr>
              <m:t>l</m:t>
            </m:r>
          </m:sub>
        </m:sSub>
      </m:oMath>
      <w:r>
        <w:t xml:space="preserve"> is accumulated in float64 and checked for positive semidefiniteness. The table reports the depth-8 covariance-PC sensitivity ratio and its bottom-PC eigenvalue gap, plus depth-5-to-10 spectral changes.</w:t>
      </w:r>
    </w:p>
    <w:p w14:paraId="7AD74662" w14:textId="77777777" w:rsidR="00B86945" w:rsidRDefault="00000000">
      <w:pPr>
        <w:keepNext/>
        <w:keepLines/>
        <w:spacing w:after="100" w:line="259" w:lineRule="auto"/>
      </w:pPr>
      <w:r>
        <w:rPr>
          <w:b/>
        </w:rPr>
        <w:lastRenderedPageBreak/>
        <w:t>Table S2. Cross-architecture functional-geometry summaries.</w:t>
      </w:r>
      <w:r>
        <w:t xml:space="preserve"> The near-null fraction uses λₖ ≤ </w:t>
      </w:r>
      <m:oMath>
        <m:sSup>
          <m:sSupPr>
            <m:ctrlPr>
              <w:rPr>
                <w:rFonts w:ascii="Cambria Math" w:hAnsi="Cambria Math"/>
              </w:rPr>
            </m:ctrlPr>
          </m:sSupPr>
          <m:e>
            <m:r>
              <w:rPr>
                <w:rFonts w:ascii="Cambria Math" w:hAnsi="Cambria Math"/>
              </w:rPr>
              <m:t>10</m:t>
            </m:r>
          </m:e>
          <m:sup>
            <m:r>
              <w:rPr>
                <w:rFonts w:ascii="Cambria Math" w:hAnsi="Cambria Math"/>
              </w:rPr>
              <m:t>-3</m:t>
            </m:r>
          </m:sup>
        </m:sSup>
      </m:oMath>
      <w:r>
        <w:t xml:space="preserve">λₘₐₓ. The final column gives depth-10 near-null counts under the stricter </w:t>
      </w:r>
      <m:oMath>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and looser </w:t>
      </w:r>
      <m:oMath>
        <m:sSup>
          <m:sSupPr>
            <m:ctrlPr>
              <w:rPr>
                <w:rFonts w:ascii="Cambria Math" w:hAnsi="Cambria Math"/>
              </w:rPr>
            </m:ctrlPr>
          </m:sSupPr>
          <m:e>
            <m:r>
              <w:rPr>
                <w:rFonts w:ascii="Cambria Math" w:hAnsi="Cambria Math"/>
              </w:rPr>
              <m:t>10</m:t>
            </m:r>
          </m:e>
          <m:sup>
            <m:r>
              <w:rPr>
                <w:rFonts w:ascii="Cambria Math" w:hAnsi="Cambria Math"/>
              </w:rPr>
              <m:t>-2</m:t>
            </m:r>
          </m:sup>
        </m:sSup>
      </m:oMath>
      <w:r>
        <w:t xml:space="preserve"> cutoffs, respectively. Effective rank is normalized by feature dimension D. All rows use </w:t>
      </w:r>
      <m:oMath>
        <m:sSub>
          <m:sSubPr>
            <m:ctrlPr>
              <w:rPr>
                <w:rFonts w:ascii="Cambria Math" w:hAnsi="Cambria Math"/>
              </w:rPr>
            </m:ctrlPr>
          </m:sSubPr>
          <m:e>
            <m:r>
              <w:rPr>
                <w:rFonts w:ascii="Cambria Math" w:hAnsi="Cambria Math"/>
              </w:rPr>
              <m:t>N</m:t>
            </m:r>
          </m:e>
          <m:sub>
            <m:r>
              <w:rPr>
                <w:rFonts w:ascii="Cambria Math" w:hAnsi="Cambria Math"/>
              </w:rPr>
              <m:t>{img}</m:t>
            </m:r>
          </m:sub>
        </m:sSub>
        <m:r>
          <w:rPr>
            <w:rFonts w:ascii="Cambria Math" w:hAnsi="Cambria Math"/>
          </w:rPr>
          <m:t>=100</m:t>
        </m:r>
      </m:oMath>
      <w:r>
        <w:t>; the image is the sample unit and patch positions are aggregated within images.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428"/>
        <w:gridCol w:w="1428"/>
        <w:gridCol w:w="1428"/>
        <w:gridCol w:w="1428"/>
        <w:gridCol w:w="1428"/>
        <w:gridCol w:w="1428"/>
        <w:gridCol w:w="1428"/>
      </w:tblGrid>
      <w:tr w:rsidR="00B86945" w:rsidRPr="0026008E" w14:paraId="62D12E66" w14:textId="77777777" w:rsidTr="0026008E">
        <w:trPr>
          <w:tblHeader/>
        </w:trPr>
        <w:tc>
          <w:tcPr>
            <w:tcW w:w="1428" w:type="dxa"/>
            <w:tcBorders>
              <w:top w:val="single" w:sz="4" w:space="0" w:color="auto"/>
              <w:bottom w:val="single" w:sz="4" w:space="0" w:color="auto"/>
            </w:tcBorders>
            <w:shd w:val="clear" w:color="auto" w:fill="FFFFFF" w:themeFill="background1"/>
            <w:tcMar>
              <w:top w:w="55" w:type="dxa"/>
              <w:left w:w="65" w:type="dxa"/>
              <w:bottom w:w="55" w:type="dxa"/>
              <w:right w:w="65" w:type="dxa"/>
            </w:tcMar>
            <w:vAlign w:val="center"/>
          </w:tcPr>
          <w:p w14:paraId="2FB40C59" w14:textId="77777777" w:rsidR="00B86945" w:rsidRPr="0026008E" w:rsidRDefault="00000000">
            <w:pPr>
              <w:jc w:val="center"/>
              <w:rPr>
                <w:szCs w:val="32"/>
              </w:rPr>
            </w:pPr>
            <w:r w:rsidRPr="0026008E">
              <w:rPr>
                <w:b/>
                <w:color w:val="17232D"/>
                <w:szCs w:val="32"/>
              </w:rPr>
              <w:t>Architecture</w:t>
            </w:r>
          </w:p>
        </w:tc>
        <w:tc>
          <w:tcPr>
            <w:tcW w:w="1428" w:type="dxa"/>
            <w:tcBorders>
              <w:top w:val="single" w:sz="4" w:space="0" w:color="auto"/>
              <w:bottom w:val="single" w:sz="4" w:space="0" w:color="auto"/>
            </w:tcBorders>
            <w:shd w:val="clear" w:color="auto" w:fill="FFFFFF" w:themeFill="background1"/>
            <w:tcMar>
              <w:top w:w="55" w:type="dxa"/>
              <w:left w:w="65" w:type="dxa"/>
              <w:bottom w:w="55" w:type="dxa"/>
              <w:right w:w="65" w:type="dxa"/>
            </w:tcMar>
            <w:vAlign w:val="center"/>
          </w:tcPr>
          <w:p w14:paraId="294A77CB" w14:textId="77777777" w:rsidR="00B86945" w:rsidRPr="0026008E" w:rsidRDefault="00000000">
            <w:pPr>
              <w:jc w:val="center"/>
              <w:rPr>
                <w:szCs w:val="32"/>
              </w:rPr>
            </w:pPr>
            <w:r w:rsidRPr="0026008E">
              <w:rPr>
                <w:b/>
                <w:color w:val="17232D"/>
                <w:szCs w:val="32"/>
              </w:rPr>
              <w:t>D, patches</w:t>
            </w:r>
          </w:p>
        </w:tc>
        <w:tc>
          <w:tcPr>
            <w:tcW w:w="1428" w:type="dxa"/>
            <w:tcBorders>
              <w:top w:val="single" w:sz="4" w:space="0" w:color="auto"/>
              <w:bottom w:val="single" w:sz="4" w:space="0" w:color="auto"/>
            </w:tcBorders>
            <w:shd w:val="clear" w:color="auto" w:fill="FFFFFF" w:themeFill="background1"/>
            <w:tcMar>
              <w:top w:w="55" w:type="dxa"/>
              <w:left w:w="65" w:type="dxa"/>
              <w:bottom w:w="55" w:type="dxa"/>
              <w:right w:w="65" w:type="dxa"/>
            </w:tcMar>
            <w:vAlign w:val="center"/>
          </w:tcPr>
          <w:p w14:paraId="28E268D6" w14:textId="77777777" w:rsidR="00B86945" w:rsidRPr="0026008E" w:rsidRDefault="00000000">
            <w:pPr>
              <w:jc w:val="center"/>
              <w:rPr>
                <w:szCs w:val="32"/>
              </w:rPr>
            </w:pPr>
            <w:r w:rsidRPr="0026008E">
              <w:rPr>
                <w:b/>
                <w:color w:val="17232D"/>
                <w:szCs w:val="32"/>
              </w:rPr>
              <w:t>PC1 / PCbottom sensitivity, depth 8</w:t>
            </w:r>
          </w:p>
        </w:tc>
        <w:tc>
          <w:tcPr>
            <w:tcW w:w="1428" w:type="dxa"/>
            <w:tcBorders>
              <w:top w:val="single" w:sz="4" w:space="0" w:color="auto"/>
              <w:bottom w:val="single" w:sz="4" w:space="0" w:color="auto"/>
            </w:tcBorders>
            <w:shd w:val="clear" w:color="auto" w:fill="FFFFFF" w:themeFill="background1"/>
            <w:tcMar>
              <w:top w:w="55" w:type="dxa"/>
              <w:left w:w="65" w:type="dxa"/>
              <w:bottom w:w="55" w:type="dxa"/>
              <w:right w:w="65" w:type="dxa"/>
            </w:tcMar>
            <w:vAlign w:val="center"/>
          </w:tcPr>
          <w:p w14:paraId="10DC952A" w14:textId="77777777" w:rsidR="00B86945" w:rsidRPr="0026008E" w:rsidRDefault="00000000">
            <w:pPr>
              <w:jc w:val="center"/>
              <w:rPr>
                <w:szCs w:val="32"/>
              </w:rPr>
            </w:pPr>
            <w:r w:rsidRPr="0026008E">
              <w:rPr>
                <w:b/>
                <w:color w:val="17232D"/>
                <w:szCs w:val="32"/>
              </w:rPr>
              <w:t>Relative bottom-PC eigengap, depth 8</w:t>
            </w:r>
          </w:p>
        </w:tc>
        <w:tc>
          <w:tcPr>
            <w:tcW w:w="1428" w:type="dxa"/>
            <w:tcBorders>
              <w:top w:val="single" w:sz="4" w:space="0" w:color="auto"/>
              <w:bottom w:val="single" w:sz="4" w:space="0" w:color="auto"/>
            </w:tcBorders>
            <w:shd w:val="clear" w:color="auto" w:fill="FFFFFF" w:themeFill="background1"/>
            <w:tcMar>
              <w:top w:w="55" w:type="dxa"/>
              <w:left w:w="65" w:type="dxa"/>
              <w:bottom w:w="55" w:type="dxa"/>
              <w:right w:w="65" w:type="dxa"/>
            </w:tcMar>
            <w:vAlign w:val="center"/>
          </w:tcPr>
          <w:p w14:paraId="7953214E" w14:textId="77777777" w:rsidR="00B86945" w:rsidRPr="0026008E" w:rsidRDefault="00000000">
            <w:pPr>
              <w:jc w:val="center"/>
              <w:rPr>
                <w:szCs w:val="32"/>
              </w:rPr>
            </w:pPr>
            <w:r w:rsidRPr="0026008E">
              <w:rPr>
                <w:b/>
                <w:color w:val="17232D"/>
                <w:szCs w:val="32"/>
              </w:rPr>
              <w:t>Near-null fraction, depth 5 → 10</w:t>
            </w:r>
          </w:p>
        </w:tc>
        <w:tc>
          <w:tcPr>
            <w:tcW w:w="1428" w:type="dxa"/>
            <w:tcBorders>
              <w:top w:val="single" w:sz="4" w:space="0" w:color="auto"/>
              <w:bottom w:val="single" w:sz="4" w:space="0" w:color="auto"/>
            </w:tcBorders>
            <w:shd w:val="clear" w:color="auto" w:fill="FFFFFF" w:themeFill="background1"/>
            <w:tcMar>
              <w:top w:w="55" w:type="dxa"/>
              <w:left w:w="65" w:type="dxa"/>
              <w:bottom w:w="55" w:type="dxa"/>
              <w:right w:w="65" w:type="dxa"/>
            </w:tcMar>
            <w:vAlign w:val="center"/>
          </w:tcPr>
          <w:p w14:paraId="05319E42" w14:textId="77777777" w:rsidR="00B86945" w:rsidRPr="0026008E" w:rsidRDefault="00000000">
            <w:pPr>
              <w:jc w:val="center"/>
              <w:rPr>
                <w:szCs w:val="32"/>
              </w:rPr>
            </w:pPr>
            <w:r w:rsidRPr="0026008E">
              <w:rPr>
                <w:b/>
                <w:color w:val="17232D"/>
                <w:szCs w:val="32"/>
              </w:rPr>
              <w:t>Effective rank / D, depth 5 → 10</w:t>
            </w:r>
          </w:p>
        </w:tc>
        <w:tc>
          <w:tcPr>
            <w:tcW w:w="1428" w:type="dxa"/>
            <w:tcBorders>
              <w:top w:val="single" w:sz="4" w:space="0" w:color="auto"/>
              <w:bottom w:val="single" w:sz="4" w:space="0" w:color="auto"/>
            </w:tcBorders>
            <w:shd w:val="clear" w:color="auto" w:fill="FFFFFF" w:themeFill="background1"/>
            <w:tcMar>
              <w:top w:w="55" w:type="dxa"/>
              <w:left w:w="65" w:type="dxa"/>
              <w:bottom w:w="55" w:type="dxa"/>
              <w:right w:w="65" w:type="dxa"/>
            </w:tcMar>
            <w:vAlign w:val="center"/>
          </w:tcPr>
          <w:p w14:paraId="5B90F343" w14:textId="77777777" w:rsidR="00B86945" w:rsidRPr="0026008E" w:rsidRDefault="00000000">
            <w:pPr>
              <w:jc w:val="center"/>
              <w:rPr>
                <w:szCs w:val="32"/>
              </w:rPr>
            </w:pPr>
            <w:r w:rsidRPr="0026008E">
              <w:rPr>
                <w:b/>
                <w:color w:val="17232D"/>
                <w:szCs w:val="32"/>
              </w:rPr>
              <w:t>Depth-10 near-null count, 10⁻⁴/10⁻²</w:t>
            </w:r>
          </w:p>
        </w:tc>
      </w:tr>
      <w:tr w:rsidR="00B86945" w:rsidRPr="0026008E" w14:paraId="468B7D4F" w14:textId="77777777" w:rsidTr="0026008E">
        <w:tc>
          <w:tcPr>
            <w:tcW w:w="1428" w:type="dxa"/>
            <w:tcBorders>
              <w:top w:val="single" w:sz="4" w:space="0" w:color="auto"/>
            </w:tcBorders>
            <w:shd w:val="clear" w:color="auto" w:fill="FFFFFF" w:themeFill="background1"/>
            <w:tcMar>
              <w:top w:w="55" w:type="dxa"/>
              <w:left w:w="65" w:type="dxa"/>
              <w:bottom w:w="55" w:type="dxa"/>
              <w:right w:w="65" w:type="dxa"/>
            </w:tcMar>
            <w:vAlign w:val="center"/>
          </w:tcPr>
          <w:p w14:paraId="0DEDEFD3" w14:textId="77777777" w:rsidR="00B86945" w:rsidRPr="0026008E" w:rsidRDefault="00000000">
            <w:pPr>
              <w:rPr>
                <w:szCs w:val="32"/>
              </w:rPr>
            </w:pPr>
            <w:r w:rsidRPr="0026008E">
              <w:rPr>
                <w:szCs w:val="32"/>
              </w:rPr>
              <w:t>DeiT-Tiny</w:t>
            </w:r>
          </w:p>
        </w:tc>
        <w:tc>
          <w:tcPr>
            <w:tcW w:w="1428" w:type="dxa"/>
            <w:tcBorders>
              <w:top w:val="single" w:sz="4" w:space="0" w:color="auto"/>
            </w:tcBorders>
            <w:shd w:val="clear" w:color="auto" w:fill="FFFFFF" w:themeFill="background1"/>
            <w:tcMar>
              <w:top w:w="55" w:type="dxa"/>
              <w:left w:w="65" w:type="dxa"/>
              <w:bottom w:w="55" w:type="dxa"/>
              <w:right w:w="65" w:type="dxa"/>
            </w:tcMar>
            <w:vAlign w:val="center"/>
          </w:tcPr>
          <w:p w14:paraId="7C163349" w14:textId="77777777" w:rsidR="00B86945" w:rsidRPr="0026008E" w:rsidRDefault="00000000">
            <w:pPr>
              <w:jc w:val="center"/>
              <w:rPr>
                <w:szCs w:val="32"/>
              </w:rPr>
            </w:pPr>
            <w:r w:rsidRPr="0026008E">
              <w:rPr>
                <w:szCs w:val="32"/>
              </w:rPr>
              <w:t>192, 196</w:t>
            </w:r>
          </w:p>
        </w:tc>
        <w:tc>
          <w:tcPr>
            <w:tcW w:w="1428" w:type="dxa"/>
            <w:tcBorders>
              <w:top w:val="single" w:sz="4" w:space="0" w:color="auto"/>
            </w:tcBorders>
            <w:shd w:val="clear" w:color="auto" w:fill="FFFFFF" w:themeFill="background1"/>
            <w:tcMar>
              <w:top w:w="55" w:type="dxa"/>
              <w:left w:w="65" w:type="dxa"/>
              <w:bottom w:w="55" w:type="dxa"/>
              <w:right w:w="65" w:type="dxa"/>
            </w:tcMar>
            <w:vAlign w:val="center"/>
          </w:tcPr>
          <w:p w14:paraId="7ABA7C37" w14:textId="77777777" w:rsidR="00B86945" w:rsidRPr="0026008E" w:rsidRDefault="00000000">
            <w:pPr>
              <w:jc w:val="center"/>
              <w:rPr>
                <w:szCs w:val="32"/>
              </w:rPr>
            </w:pPr>
            <w:r w:rsidRPr="0026008E">
              <w:rPr>
                <w:szCs w:val="32"/>
              </w:rPr>
              <w:t>0.0891</w:t>
            </w:r>
          </w:p>
        </w:tc>
        <w:tc>
          <w:tcPr>
            <w:tcW w:w="1428" w:type="dxa"/>
            <w:tcBorders>
              <w:top w:val="single" w:sz="4" w:space="0" w:color="auto"/>
            </w:tcBorders>
            <w:shd w:val="clear" w:color="auto" w:fill="FFFFFF" w:themeFill="background1"/>
            <w:tcMar>
              <w:top w:w="55" w:type="dxa"/>
              <w:left w:w="65" w:type="dxa"/>
              <w:bottom w:w="55" w:type="dxa"/>
              <w:right w:w="65" w:type="dxa"/>
            </w:tcMar>
            <w:vAlign w:val="center"/>
          </w:tcPr>
          <w:p w14:paraId="5F3C3E31" w14:textId="77777777" w:rsidR="00B86945" w:rsidRPr="0026008E" w:rsidRDefault="00000000">
            <w:pPr>
              <w:jc w:val="center"/>
              <w:rPr>
                <w:szCs w:val="32"/>
              </w:rPr>
            </w:pPr>
            <w:r w:rsidRPr="0026008E">
              <w:rPr>
                <w:szCs w:val="32"/>
              </w:rPr>
              <w:t>2.58 × 10⁻³</w:t>
            </w:r>
          </w:p>
        </w:tc>
        <w:tc>
          <w:tcPr>
            <w:tcW w:w="1428" w:type="dxa"/>
            <w:tcBorders>
              <w:top w:val="single" w:sz="4" w:space="0" w:color="auto"/>
            </w:tcBorders>
            <w:shd w:val="clear" w:color="auto" w:fill="FFFFFF" w:themeFill="background1"/>
            <w:tcMar>
              <w:top w:w="55" w:type="dxa"/>
              <w:left w:w="65" w:type="dxa"/>
              <w:bottom w:w="55" w:type="dxa"/>
              <w:right w:w="65" w:type="dxa"/>
            </w:tcMar>
            <w:vAlign w:val="center"/>
          </w:tcPr>
          <w:p w14:paraId="252AD384" w14:textId="77777777" w:rsidR="00B86945" w:rsidRPr="0026008E" w:rsidRDefault="00000000">
            <w:pPr>
              <w:jc w:val="center"/>
              <w:rPr>
                <w:szCs w:val="32"/>
              </w:rPr>
            </w:pPr>
            <w:r w:rsidRPr="0026008E">
              <w:rPr>
                <w:szCs w:val="32"/>
              </w:rPr>
              <w:t>0.52% → 31.77%</w:t>
            </w:r>
          </w:p>
        </w:tc>
        <w:tc>
          <w:tcPr>
            <w:tcW w:w="1428" w:type="dxa"/>
            <w:tcBorders>
              <w:top w:val="single" w:sz="4" w:space="0" w:color="auto"/>
            </w:tcBorders>
            <w:shd w:val="clear" w:color="auto" w:fill="FFFFFF" w:themeFill="background1"/>
            <w:tcMar>
              <w:top w:w="55" w:type="dxa"/>
              <w:left w:w="65" w:type="dxa"/>
              <w:bottom w:w="55" w:type="dxa"/>
              <w:right w:w="65" w:type="dxa"/>
            </w:tcMar>
            <w:vAlign w:val="center"/>
          </w:tcPr>
          <w:p w14:paraId="77013023" w14:textId="77777777" w:rsidR="00B86945" w:rsidRPr="0026008E" w:rsidRDefault="00000000">
            <w:pPr>
              <w:jc w:val="center"/>
              <w:rPr>
                <w:szCs w:val="32"/>
              </w:rPr>
            </w:pPr>
            <w:r w:rsidRPr="0026008E">
              <w:rPr>
                <w:szCs w:val="32"/>
              </w:rPr>
              <w:t>0.541 → 0.125</w:t>
            </w:r>
          </w:p>
        </w:tc>
        <w:tc>
          <w:tcPr>
            <w:tcW w:w="1428" w:type="dxa"/>
            <w:tcBorders>
              <w:top w:val="single" w:sz="4" w:space="0" w:color="auto"/>
            </w:tcBorders>
            <w:shd w:val="clear" w:color="auto" w:fill="FFFFFF" w:themeFill="background1"/>
            <w:tcMar>
              <w:top w:w="55" w:type="dxa"/>
              <w:left w:w="65" w:type="dxa"/>
              <w:bottom w:w="55" w:type="dxa"/>
              <w:right w:w="65" w:type="dxa"/>
            </w:tcMar>
            <w:vAlign w:val="center"/>
          </w:tcPr>
          <w:p w14:paraId="03A0AFF8" w14:textId="77777777" w:rsidR="00B86945" w:rsidRPr="0026008E" w:rsidRDefault="00000000">
            <w:pPr>
              <w:jc w:val="center"/>
              <w:rPr>
                <w:szCs w:val="32"/>
              </w:rPr>
            </w:pPr>
            <w:r w:rsidRPr="0026008E">
              <w:rPr>
                <w:szCs w:val="32"/>
              </w:rPr>
              <w:t>1 / 154</w:t>
            </w:r>
          </w:p>
        </w:tc>
      </w:tr>
      <w:tr w:rsidR="00B86945" w:rsidRPr="0026008E" w14:paraId="40293D43" w14:textId="77777777" w:rsidTr="0026008E">
        <w:tc>
          <w:tcPr>
            <w:tcW w:w="1428" w:type="dxa"/>
            <w:shd w:val="clear" w:color="auto" w:fill="FFFFFF" w:themeFill="background1"/>
            <w:tcMar>
              <w:top w:w="55" w:type="dxa"/>
              <w:left w:w="65" w:type="dxa"/>
              <w:bottom w:w="55" w:type="dxa"/>
              <w:right w:w="65" w:type="dxa"/>
            </w:tcMar>
            <w:vAlign w:val="center"/>
          </w:tcPr>
          <w:p w14:paraId="70530CB9" w14:textId="77777777" w:rsidR="00B86945" w:rsidRPr="0026008E" w:rsidRDefault="00000000">
            <w:pPr>
              <w:rPr>
                <w:szCs w:val="32"/>
              </w:rPr>
            </w:pPr>
            <w:r w:rsidRPr="0026008E">
              <w:rPr>
                <w:szCs w:val="32"/>
              </w:rPr>
              <w:t>DeiT-Small</w:t>
            </w:r>
          </w:p>
        </w:tc>
        <w:tc>
          <w:tcPr>
            <w:tcW w:w="1428" w:type="dxa"/>
            <w:shd w:val="clear" w:color="auto" w:fill="FFFFFF" w:themeFill="background1"/>
            <w:tcMar>
              <w:top w:w="55" w:type="dxa"/>
              <w:left w:w="65" w:type="dxa"/>
              <w:bottom w:w="55" w:type="dxa"/>
              <w:right w:w="65" w:type="dxa"/>
            </w:tcMar>
            <w:vAlign w:val="center"/>
          </w:tcPr>
          <w:p w14:paraId="3D1C0AEB" w14:textId="77777777" w:rsidR="00B86945" w:rsidRPr="0026008E" w:rsidRDefault="00000000">
            <w:pPr>
              <w:jc w:val="center"/>
              <w:rPr>
                <w:szCs w:val="32"/>
              </w:rPr>
            </w:pPr>
            <w:r w:rsidRPr="0026008E">
              <w:rPr>
                <w:szCs w:val="32"/>
              </w:rPr>
              <w:t>384, 196</w:t>
            </w:r>
          </w:p>
        </w:tc>
        <w:tc>
          <w:tcPr>
            <w:tcW w:w="1428" w:type="dxa"/>
            <w:shd w:val="clear" w:color="auto" w:fill="FFFFFF" w:themeFill="background1"/>
            <w:tcMar>
              <w:top w:w="55" w:type="dxa"/>
              <w:left w:w="65" w:type="dxa"/>
              <w:bottom w:w="55" w:type="dxa"/>
              <w:right w:w="65" w:type="dxa"/>
            </w:tcMar>
            <w:vAlign w:val="center"/>
          </w:tcPr>
          <w:p w14:paraId="77DBC0FE" w14:textId="77777777" w:rsidR="00B86945" w:rsidRPr="0026008E" w:rsidRDefault="00000000">
            <w:pPr>
              <w:jc w:val="center"/>
              <w:rPr>
                <w:szCs w:val="32"/>
              </w:rPr>
            </w:pPr>
            <w:r w:rsidRPr="0026008E">
              <w:rPr>
                <w:szCs w:val="32"/>
              </w:rPr>
              <w:t>0.0409</w:t>
            </w:r>
          </w:p>
        </w:tc>
        <w:tc>
          <w:tcPr>
            <w:tcW w:w="1428" w:type="dxa"/>
            <w:shd w:val="clear" w:color="auto" w:fill="FFFFFF" w:themeFill="background1"/>
            <w:tcMar>
              <w:top w:w="55" w:type="dxa"/>
              <w:left w:w="65" w:type="dxa"/>
              <w:bottom w:w="55" w:type="dxa"/>
              <w:right w:w="65" w:type="dxa"/>
            </w:tcMar>
            <w:vAlign w:val="center"/>
          </w:tcPr>
          <w:p w14:paraId="4487D87E" w14:textId="77777777" w:rsidR="00B86945" w:rsidRPr="0026008E" w:rsidRDefault="00000000">
            <w:pPr>
              <w:jc w:val="center"/>
              <w:rPr>
                <w:szCs w:val="32"/>
              </w:rPr>
            </w:pPr>
            <w:r w:rsidRPr="0026008E">
              <w:rPr>
                <w:szCs w:val="32"/>
              </w:rPr>
              <w:t>3.52 × 10⁻⁴</w:t>
            </w:r>
          </w:p>
        </w:tc>
        <w:tc>
          <w:tcPr>
            <w:tcW w:w="1428" w:type="dxa"/>
            <w:shd w:val="clear" w:color="auto" w:fill="FFFFFF" w:themeFill="background1"/>
            <w:tcMar>
              <w:top w:w="55" w:type="dxa"/>
              <w:left w:w="65" w:type="dxa"/>
              <w:bottom w:w="55" w:type="dxa"/>
              <w:right w:w="65" w:type="dxa"/>
            </w:tcMar>
            <w:vAlign w:val="center"/>
          </w:tcPr>
          <w:p w14:paraId="2A893C4E" w14:textId="77777777" w:rsidR="00B86945" w:rsidRPr="0026008E" w:rsidRDefault="00000000">
            <w:pPr>
              <w:jc w:val="center"/>
              <w:rPr>
                <w:szCs w:val="32"/>
              </w:rPr>
            </w:pPr>
            <w:r w:rsidRPr="0026008E">
              <w:rPr>
                <w:szCs w:val="32"/>
              </w:rPr>
              <w:t>0.26% → 57.03%</w:t>
            </w:r>
          </w:p>
        </w:tc>
        <w:tc>
          <w:tcPr>
            <w:tcW w:w="1428" w:type="dxa"/>
            <w:shd w:val="clear" w:color="auto" w:fill="FFFFFF" w:themeFill="background1"/>
            <w:tcMar>
              <w:top w:w="55" w:type="dxa"/>
              <w:left w:w="65" w:type="dxa"/>
              <w:bottom w:w="55" w:type="dxa"/>
              <w:right w:w="65" w:type="dxa"/>
            </w:tcMar>
            <w:vAlign w:val="center"/>
          </w:tcPr>
          <w:p w14:paraId="6DDB50B4" w14:textId="77777777" w:rsidR="00B86945" w:rsidRPr="0026008E" w:rsidRDefault="00000000">
            <w:pPr>
              <w:jc w:val="center"/>
              <w:rPr>
                <w:szCs w:val="32"/>
              </w:rPr>
            </w:pPr>
            <w:r w:rsidRPr="0026008E">
              <w:rPr>
                <w:szCs w:val="32"/>
              </w:rPr>
              <w:t>0.467 → 0.114</w:t>
            </w:r>
          </w:p>
        </w:tc>
        <w:tc>
          <w:tcPr>
            <w:tcW w:w="1428" w:type="dxa"/>
            <w:shd w:val="clear" w:color="auto" w:fill="FFFFFF" w:themeFill="background1"/>
            <w:tcMar>
              <w:top w:w="55" w:type="dxa"/>
              <w:left w:w="65" w:type="dxa"/>
              <w:bottom w:w="55" w:type="dxa"/>
              <w:right w:w="65" w:type="dxa"/>
            </w:tcMar>
            <w:vAlign w:val="center"/>
          </w:tcPr>
          <w:p w14:paraId="11B3F777" w14:textId="77777777" w:rsidR="00B86945" w:rsidRPr="0026008E" w:rsidRDefault="00000000">
            <w:pPr>
              <w:jc w:val="center"/>
              <w:rPr>
                <w:szCs w:val="32"/>
              </w:rPr>
            </w:pPr>
            <w:r w:rsidRPr="0026008E">
              <w:rPr>
                <w:szCs w:val="32"/>
              </w:rPr>
              <w:t>47 / 327</w:t>
            </w:r>
          </w:p>
        </w:tc>
      </w:tr>
      <w:tr w:rsidR="00B86945" w:rsidRPr="0026008E" w14:paraId="1D47DB14" w14:textId="77777777" w:rsidTr="0026008E">
        <w:tc>
          <w:tcPr>
            <w:tcW w:w="1428" w:type="dxa"/>
            <w:shd w:val="clear" w:color="auto" w:fill="FFFFFF" w:themeFill="background1"/>
            <w:tcMar>
              <w:top w:w="55" w:type="dxa"/>
              <w:left w:w="65" w:type="dxa"/>
              <w:bottom w:w="55" w:type="dxa"/>
              <w:right w:w="65" w:type="dxa"/>
            </w:tcMar>
            <w:vAlign w:val="center"/>
          </w:tcPr>
          <w:p w14:paraId="0920138D" w14:textId="77777777" w:rsidR="00B86945" w:rsidRPr="0026008E" w:rsidRDefault="00000000">
            <w:pPr>
              <w:rPr>
                <w:szCs w:val="32"/>
              </w:rPr>
            </w:pPr>
            <w:r w:rsidRPr="0026008E">
              <w:rPr>
                <w:szCs w:val="32"/>
              </w:rPr>
              <w:t>ViT-B/16 AugReg</w:t>
            </w:r>
          </w:p>
        </w:tc>
        <w:tc>
          <w:tcPr>
            <w:tcW w:w="1428" w:type="dxa"/>
            <w:shd w:val="clear" w:color="auto" w:fill="FFFFFF" w:themeFill="background1"/>
            <w:tcMar>
              <w:top w:w="55" w:type="dxa"/>
              <w:left w:w="65" w:type="dxa"/>
              <w:bottom w:w="55" w:type="dxa"/>
              <w:right w:w="65" w:type="dxa"/>
            </w:tcMar>
            <w:vAlign w:val="center"/>
          </w:tcPr>
          <w:p w14:paraId="2E9AC464" w14:textId="77777777" w:rsidR="00B86945" w:rsidRPr="0026008E" w:rsidRDefault="00000000">
            <w:pPr>
              <w:jc w:val="center"/>
              <w:rPr>
                <w:szCs w:val="32"/>
              </w:rPr>
            </w:pPr>
            <w:r w:rsidRPr="0026008E">
              <w:rPr>
                <w:szCs w:val="32"/>
              </w:rPr>
              <w:t>768, 196</w:t>
            </w:r>
          </w:p>
        </w:tc>
        <w:tc>
          <w:tcPr>
            <w:tcW w:w="1428" w:type="dxa"/>
            <w:shd w:val="clear" w:color="auto" w:fill="FFFFFF" w:themeFill="background1"/>
            <w:tcMar>
              <w:top w:w="55" w:type="dxa"/>
              <w:left w:w="65" w:type="dxa"/>
              <w:bottom w:w="55" w:type="dxa"/>
              <w:right w:w="65" w:type="dxa"/>
            </w:tcMar>
            <w:vAlign w:val="center"/>
          </w:tcPr>
          <w:p w14:paraId="026D04B4" w14:textId="77777777" w:rsidR="00B86945" w:rsidRPr="0026008E" w:rsidRDefault="00000000">
            <w:pPr>
              <w:jc w:val="center"/>
              <w:rPr>
                <w:szCs w:val="32"/>
              </w:rPr>
            </w:pPr>
            <w:r w:rsidRPr="0026008E">
              <w:rPr>
                <w:szCs w:val="32"/>
              </w:rPr>
              <w:t>65.2</w:t>
            </w:r>
          </w:p>
        </w:tc>
        <w:tc>
          <w:tcPr>
            <w:tcW w:w="1428" w:type="dxa"/>
            <w:shd w:val="clear" w:color="auto" w:fill="FFFFFF" w:themeFill="background1"/>
            <w:tcMar>
              <w:top w:w="55" w:type="dxa"/>
              <w:left w:w="65" w:type="dxa"/>
              <w:bottom w:w="55" w:type="dxa"/>
              <w:right w:w="65" w:type="dxa"/>
            </w:tcMar>
            <w:vAlign w:val="center"/>
          </w:tcPr>
          <w:p w14:paraId="2B5A0EBC" w14:textId="77777777" w:rsidR="00B86945" w:rsidRPr="0026008E" w:rsidRDefault="00000000">
            <w:pPr>
              <w:jc w:val="center"/>
              <w:rPr>
                <w:szCs w:val="32"/>
              </w:rPr>
            </w:pPr>
            <w:r w:rsidRPr="0026008E">
              <w:rPr>
                <w:szCs w:val="32"/>
              </w:rPr>
              <w:t>1.53 × 10⁻⁵</w:t>
            </w:r>
          </w:p>
        </w:tc>
        <w:tc>
          <w:tcPr>
            <w:tcW w:w="1428" w:type="dxa"/>
            <w:shd w:val="clear" w:color="auto" w:fill="FFFFFF" w:themeFill="background1"/>
            <w:tcMar>
              <w:top w:w="55" w:type="dxa"/>
              <w:left w:w="65" w:type="dxa"/>
              <w:bottom w:w="55" w:type="dxa"/>
              <w:right w:w="65" w:type="dxa"/>
            </w:tcMar>
            <w:vAlign w:val="center"/>
          </w:tcPr>
          <w:p w14:paraId="38F4159F" w14:textId="77777777" w:rsidR="00B86945" w:rsidRPr="0026008E" w:rsidRDefault="00000000">
            <w:pPr>
              <w:jc w:val="center"/>
              <w:rPr>
                <w:szCs w:val="32"/>
              </w:rPr>
            </w:pPr>
            <w:r w:rsidRPr="0026008E">
              <w:rPr>
                <w:szCs w:val="32"/>
              </w:rPr>
              <w:t>0.26% → 49.61%</w:t>
            </w:r>
          </w:p>
        </w:tc>
        <w:tc>
          <w:tcPr>
            <w:tcW w:w="1428" w:type="dxa"/>
            <w:shd w:val="clear" w:color="auto" w:fill="FFFFFF" w:themeFill="background1"/>
            <w:tcMar>
              <w:top w:w="55" w:type="dxa"/>
              <w:left w:w="65" w:type="dxa"/>
              <w:bottom w:w="55" w:type="dxa"/>
              <w:right w:w="65" w:type="dxa"/>
            </w:tcMar>
            <w:vAlign w:val="center"/>
          </w:tcPr>
          <w:p w14:paraId="06EE3EA5" w14:textId="77777777" w:rsidR="00B86945" w:rsidRPr="0026008E" w:rsidRDefault="00000000">
            <w:pPr>
              <w:jc w:val="center"/>
              <w:rPr>
                <w:szCs w:val="32"/>
              </w:rPr>
            </w:pPr>
            <w:r w:rsidRPr="0026008E">
              <w:rPr>
                <w:szCs w:val="32"/>
              </w:rPr>
              <w:t>0.383 → 0.140</w:t>
            </w:r>
          </w:p>
        </w:tc>
        <w:tc>
          <w:tcPr>
            <w:tcW w:w="1428" w:type="dxa"/>
            <w:shd w:val="clear" w:color="auto" w:fill="FFFFFF" w:themeFill="background1"/>
            <w:tcMar>
              <w:top w:w="55" w:type="dxa"/>
              <w:left w:w="65" w:type="dxa"/>
              <w:bottom w:w="55" w:type="dxa"/>
              <w:right w:w="65" w:type="dxa"/>
            </w:tcMar>
            <w:vAlign w:val="center"/>
          </w:tcPr>
          <w:p w14:paraId="7CE5F729" w14:textId="77777777" w:rsidR="00B86945" w:rsidRPr="0026008E" w:rsidRDefault="00000000">
            <w:pPr>
              <w:jc w:val="center"/>
              <w:rPr>
                <w:szCs w:val="32"/>
              </w:rPr>
            </w:pPr>
            <w:r w:rsidRPr="0026008E">
              <w:rPr>
                <w:szCs w:val="32"/>
              </w:rPr>
              <w:t>41 / 641</w:t>
            </w:r>
          </w:p>
        </w:tc>
      </w:tr>
      <w:tr w:rsidR="00B86945" w:rsidRPr="0026008E" w14:paraId="0CBA6770" w14:textId="77777777" w:rsidTr="0026008E">
        <w:tc>
          <w:tcPr>
            <w:tcW w:w="1428" w:type="dxa"/>
            <w:tcBorders>
              <w:bottom w:val="single" w:sz="4" w:space="0" w:color="auto"/>
            </w:tcBorders>
            <w:shd w:val="clear" w:color="auto" w:fill="FFFFFF" w:themeFill="background1"/>
            <w:tcMar>
              <w:top w:w="55" w:type="dxa"/>
              <w:left w:w="65" w:type="dxa"/>
              <w:bottom w:w="55" w:type="dxa"/>
              <w:right w:w="65" w:type="dxa"/>
            </w:tcMar>
            <w:vAlign w:val="center"/>
          </w:tcPr>
          <w:p w14:paraId="68AC596B" w14:textId="77777777" w:rsidR="00B86945" w:rsidRPr="0026008E" w:rsidRDefault="00000000">
            <w:pPr>
              <w:rPr>
                <w:szCs w:val="32"/>
              </w:rPr>
            </w:pPr>
            <w:r w:rsidRPr="0026008E">
              <w:rPr>
                <w:szCs w:val="32"/>
              </w:rPr>
              <w:t>DINOv2 ViT-S/14</w:t>
            </w:r>
          </w:p>
        </w:tc>
        <w:tc>
          <w:tcPr>
            <w:tcW w:w="1428" w:type="dxa"/>
            <w:tcBorders>
              <w:bottom w:val="single" w:sz="4" w:space="0" w:color="auto"/>
            </w:tcBorders>
            <w:shd w:val="clear" w:color="auto" w:fill="FFFFFF" w:themeFill="background1"/>
            <w:tcMar>
              <w:top w:w="55" w:type="dxa"/>
              <w:left w:w="65" w:type="dxa"/>
              <w:bottom w:w="55" w:type="dxa"/>
              <w:right w:w="65" w:type="dxa"/>
            </w:tcMar>
            <w:vAlign w:val="center"/>
          </w:tcPr>
          <w:p w14:paraId="36EF3ED4" w14:textId="77777777" w:rsidR="00B86945" w:rsidRPr="0026008E" w:rsidRDefault="00000000">
            <w:pPr>
              <w:jc w:val="center"/>
              <w:rPr>
                <w:szCs w:val="32"/>
              </w:rPr>
            </w:pPr>
            <w:r w:rsidRPr="0026008E">
              <w:rPr>
                <w:szCs w:val="32"/>
              </w:rPr>
              <w:t>384, 256</w:t>
            </w:r>
          </w:p>
        </w:tc>
        <w:tc>
          <w:tcPr>
            <w:tcW w:w="1428" w:type="dxa"/>
            <w:tcBorders>
              <w:bottom w:val="single" w:sz="4" w:space="0" w:color="auto"/>
            </w:tcBorders>
            <w:shd w:val="clear" w:color="auto" w:fill="FFFFFF" w:themeFill="background1"/>
            <w:tcMar>
              <w:top w:w="55" w:type="dxa"/>
              <w:left w:w="65" w:type="dxa"/>
              <w:bottom w:w="55" w:type="dxa"/>
              <w:right w:w="65" w:type="dxa"/>
            </w:tcMar>
            <w:vAlign w:val="center"/>
          </w:tcPr>
          <w:p w14:paraId="134A2682" w14:textId="77777777" w:rsidR="00B86945" w:rsidRPr="0026008E" w:rsidRDefault="00000000">
            <w:pPr>
              <w:jc w:val="center"/>
              <w:rPr>
                <w:szCs w:val="32"/>
              </w:rPr>
            </w:pPr>
            <w:r w:rsidRPr="0026008E">
              <w:rPr>
                <w:szCs w:val="32"/>
              </w:rPr>
              <w:t>0.199</w:t>
            </w:r>
          </w:p>
        </w:tc>
        <w:tc>
          <w:tcPr>
            <w:tcW w:w="1428" w:type="dxa"/>
            <w:tcBorders>
              <w:bottom w:val="single" w:sz="4" w:space="0" w:color="auto"/>
            </w:tcBorders>
            <w:shd w:val="clear" w:color="auto" w:fill="FFFFFF" w:themeFill="background1"/>
            <w:tcMar>
              <w:top w:w="55" w:type="dxa"/>
              <w:left w:w="65" w:type="dxa"/>
              <w:bottom w:w="55" w:type="dxa"/>
              <w:right w:w="65" w:type="dxa"/>
            </w:tcMar>
            <w:vAlign w:val="center"/>
          </w:tcPr>
          <w:p w14:paraId="1EB3F463" w14:textId="77777777" w:rsidR="00B86945" w:rsidRPr="0026008E" w:rsidRDefault="00000000">
            <w:pPr>
              <w:jc w:val="center"/>
              <w:rPr>
                <w:szCs w:val="32"/>
              </w:rPr>
            </w:pPr>
            <w:r w:rsidRPr="0026008E">
              <w:rPr>
                <w:szCs w:val="32"/>
              </w:rPr>
              <w:t>9.75 × 10⁻⁴</w:t>
            </w:r>
          </w:p>
        </w:tc>
        <w:tc>
          <w:tcPr>
            <w:tcW w:w="1428" w:type="dxa"/>
            <w:tcBorders>
              <w:bottom w:val="single" w:sz="4" w:space="0" w:color="auto"/>
            </w:tcBorders>
            <w:shd w:val="clear" w:color="auto" w:fill="FFFFFF" w:themeFill="background1"/>
            <w:tcMar>
              <w:top w:w="55" w:type="dxa"/>
              <w:left w:w="65" w:type="dxa"/>
              <w:bottom w:w="55" w:type="dxa"/>
              <w:right w:w="65" w:type="dxa"/>
            </w:tcMar>
            <w:vAlign w:val="center"/>
          </w:tcPr>
          <w:p w14:paraId="78B3456A" w14:textId="77777777" w:rsidR="00B86945" w:rsidRPr="0026008E" w:rsidRDefault="00000000">
            <w:pPr>
              <w:jc w:val="center"/>
              <w:rPr>
                <w:szCs w:val="32"/>
              </w:rPr>
            </w:pPr>
            <w:r w:rsidRPr="0026008E">
              <w:rPr>
                <w:szCs w:val="32"/>
              </w:rPr>
              <w:t>0.26% → 1.56%</w:t>
            </w:r>
          </w:p>
        </w:tc>
        <w:tc>
          <w:tcPr>
            <w:tcW w:w="1428" w:type="dxa"/>
            <w:tcBorders>
              <w:bottom w:val="single" w:sz="4" w:space="0" w:color="auto"/>
            </w:tcBorders>
            <w:shd w:val="clear" w:color="auto" w:fill="FFFFFF" w:themeFill="background1"/>
            <w:tcMar>
              <w:top w:w="55" w:type="dxa"/>
              <w:left w:w="65" w:type="dxa"/>
              <w:bottom w:w="55" w:type="dxa"/>
              <w:right w:w="65" w:type="dxa"/>
            </w:tcMar>
            <w:vAlign w:val="center"/>
          </w:tcPr>
          <w:p w14:paraId="107AF057" w14:textId="77777777" w:rsidR="00B86945" w:rsidRPr="0026008E" w:rsidRDefault="00000000">
            <w:pPr>
              <w:jc w:val="center"/>
              <w:rPr>
                <w:szCs w:val="32"/>
              </w:rPr>
            </w:pPr>
            <w:r w:rsidRPr="0026008E">
              <w:rPr>
                <w:szCs w:val="32"/>
              </w:rPr>
              <w:t>0.453 → 0.323</w:t>
            </w:r>
          </w:p>
        </w:tc>
        <w:tc>
          <w:tcPr>
            <w:tcW w:w="1428" w:type="dxa"/>
            <w:tcBorders>
              <w:bottom w:val="single" w:sz="4" w:space="0" w:color="auto"/>
            </w:tcBorders>
            <w:shd w:val="clear" w:color="auto" w:fill="FFFFFF" w:themeFill="background1"/>
            <w:tcMar>
              <w:top w:w="55" w:type="dxa"/>
              <w:left w:w="65" w:type="dxa"/>
              <w:bottom w:w="55" w:type="dxa"/>
              <w:right w:w="65" w:type="dxa"/>
            </w:tcMar>
            <w:vAlign w:val="center"/>
          </w:tcPr>
          <w:p w14:paraId="576304C2" w14:textId="77777777" w:rsidR="00B86945" w:rsidRPr="0026008E" w:rsidRDefault="00000000">
            <w:pPr>
              <w:jc w:val="center"/>
              <w:rPr>
                <w:szCs w:val="32"/>
              </w:rPr>
            </w:pPr>
            <w:r w:rsidRPr="0026008E">
              <w:rPr>
                <w:szCs w:val="32"/>
              </w:rPr>
              <w:t>1 / 249</w:t>
            </w:r>
          </w:p>
        </w:tc>
      </w:tr>
    </w:tbl>
    <w:p w14:paraId="661EE8CF" w14:textId="77777777" w:rsidR="00B86945" w:rsidRDefault="00B86945">
      <w:pPr>
        <w:spacing w:after="20"/>
      </w:pPr>
    </w:p>
    <w:p w14:paraId="4AD64516" w14:textId="77777777" w:rsidR="00B86945" w:rsidRDefault="00000000">
      <w:pPr>
        <w:spacing w:after="100" w:line="259" w:lineRule="auto"/>
      </w:pPr>
      <w:r>
        <w:t xml:space="preserve">For the PC ratio, the denominator </w:t>
      </w:r>
      <m:oMath>
        <m:sSubSup>
          <m:sSubSupPr>
            <m:ctrlPr>
              <w:rPr>
                <w:rFonts w:ascii="Cambria Math" w:hAnsi="Cambria Math"/>
              </w:rPr>
            </m:ctrlPr>
          </m:sSubSupPr>
          <m:e>
            <m:r>
              <w:rPr>
                <w:rFonts w:ascii="Cambria Math" w:hAnsi="Cambria Math"/>
              </w:rPr>
              <m:t>v</m:t>
            </m:r>
          </m:e>
          <m:sub>
            <m:r>
              <w:rPr>
                <w:rFonts w:ascii="Cambria Math" w:hAnsi="Cambria Math"/>
              </w:rPr>
              <m:t>{bottom}</m:t>
            </m:r>
          </m:sub>
          <m:sup>
            <m:r>
              <w:rPr>
                <w:rFonts w:ascii="Cambria Math" w:hAnsi="Cambria Math"/>
              </w:rPr>
              <m:t>T</m:t>
            </m:r>
          </m:sup>
        </m:sSubSup>
        <m:r>
          <w:rPr>
            <w:rFonts w:ascii="Cambria Math" w:hAnsi="Cambria Math"/>
          </w:rPr>
          <m:t xml:space="preserve"> </m:t>
        </m:r>
        <m:sSub>
          <m:sSubPr>
            <m:ctrlPr>
              <w:rPr>
                <w:rFonts w:ascii="Cambria Math" w:hAnsi="Cambria Math"/>
              </w:rPr>
            </m:ctrlPr>
          </m:sSubPr>
          <m:e>
            <m:r>
              <w:rPr>
                <w:rFonts w:ascii="Cambria Math" w:hAnsi="Cambria Math"/>
              </w:rPr>
              <m:t>M</m:t>
            </m:r>
          </m:e>
          <m:sub>
            <m:r>
              <m:rPr>
                <m:scr m:val="script"/>
              </m:rPr>
              <w:rPr>
                <w:rFonts w:ascii="Cambria Math" w:hAnsi="Cambria Math"/>
              </w:rPr>
              <m:t>l</m:t>
            </m:r>
          </m:sub>
        </m:sSub>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{bottom}</m:t>
            </m:r>
          </m:sub>
        </m:sSub>
      </m:oMath>
      <w:r>
        <w:t xml:space="preserve"> is compared with </w:t>
      </w:r>
      <m:oMath>
        <m:sSub>
          <m:sSubPr>
            <m:ctrlPr>
              <w:rPr>
                <w:rFonts w:ascii="Cambria Math" w:hAnsi="Cambria Math"/>
              </w:rPr>
            </m:ctrlPr>
          </m:sSubPr>
          <m:e>
            <m:r>
              <w:rPr>
                <w:rFonts w:ascii="Cambria Math" w:hAnsi="Cambria Math"/>
              </w:rPr>
              <m:t>λ</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M</m:t>
            </m:r>
          </m:e>
          <m:sub>
            <m:r>
              <m:rPr>
                <m:scr m:val="script"/>
              </m:rPr>
              <w:rPr>
                <w:rFonts w:ascii="Cambria Math" w:hAnsi="Cambria Math"/>
              </w:rPr>
              <m:t>l</m:t>
            </m:r>
          </m:sub>
        </m:sSub>
        <m:r>
          <w:rPr>
            <w:rFonts w:ascii="Cambria Math" w:hAnsi="Cambria Math"/>
          </w:rPr>
          <m:t>)</m:t>
        </m:r>
      </m:oMath>
      <w:r>
        <w:t xml:space="preserve"> using a numerical stability threshold of </w:t>
      </w:r>
      <m:oMath>
        <m:sSup>
          <m:sSupPr>
            <m:ctrlPr>
              <w:rPr>
                <w:rFonts w:ascii="Cambria Math" w:hAnsi="Cambria Math"/>
              </w:rPr>
            </m:ctrlPr>
          </m:sSupPr>
          <m:e>
            <m:r>
              <w:rPr>
                <w:rFonts w:ascii="Cambria Math" w:hAnsi="Cambria Math"/>
              </w:rPr>
              <m:t>10</m:t>
            </m:r>
          </m:e>
          <m:sup>
            <m:r>
              <w:rPr>
                <w:rFonts w:ascii="Cambria Math" w:hAnsi="Cambria Math"/>
              </w:rPr>
              <m:t>-10</m:t>
            </m:r>
          </m:sup>
        </m:sSup>
        <m:sSub>
          <m:sSubPr>
            <m:ctrlPr>
              <w:rPr>
                <w:rFonts w:ascii="Cambria Math" w:hAnsi="Cambria Math"/>
              </w:rPr>
            </m:ctrlPr>
          </m:sSubPr>
          <m:e>
            <m:r>
              <w:rPr>
                <w:rFonts w:ascii="Cambria Math" w:hAnsi="Cambria Math"/>
              </w:rPr>
              <m:t>λ</m:t>
            </m:r>
          </m:e>
          <m:sub>
            <m:r>
              <w:rPr>
                <w:rFonts w:ascii="Cambria Math" w:hAnsi="Cambria Math"/>
              </w:rPr>
              <m:t>max</m:t>
            </m:r>
          </m:sub>
        </m:sSub>
      </m:oMath>
      <w:r>
        <w:t xml:space="preserve">. All denominators exceeded this threshold. The ratio is nevertheless sensitive to the selected sample eigenvector when the activation-covariance bottom eigengap is small; this is most pronounced for ViT-B. At depth 10, DINOv2’s near-null fraction is 0.26%, 1.56%, and 64.84% at relative cutoffs </w:t>
      </w:r>
      <m:oMath>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w:t>
      </w:r>
      <m:oMath>
        <m:sSup>
          <m:sSupPr>
            <m:ctrlPr>
              <w:rPr>
                <w:rFonts w:ascii="Cambria Math" w:hAnsi="Cambria Math"/>
              </w:rPr>
            </m:ctrlPr>
          </m:sSupPr>
          <m:e>
            <m:r>
              <w:rPr>
                <w:rFonts w:ascii="Cambria Math" w:hAnsi="Cambria Math"/>
              </w:rPr>
              <m:t>10</m:t>
            </m:r>
          </m:e>
          <m:sup>
            <m:r>
              <w:rPr>
                <w:rFonts w:ascii="Cambria Math" w:hAnsi="Cambria Math"/>
              </w:rPr>
              <m:t>-3</m:t>
            </m:r>
          </m:sup>
        </m:sSup>
      </m:oMath>
      <w:r>
        <w:t xml:space="preserve">, and </w:t>
      </w:r>
      <m:oMath>
        <m:sSup>
          <m:sSupPr>
            <m:ctrlPr>
              <w:rPr>
                <w:rFonts w:ascii="Cambria Math" w:hAnsi="Cambria Math"/>
              </w:rPr>
            </m:ctrlPr>
          </m:sSupPr>
          <m:e>
            <m:r>
              <w:rPr>
                <w:rFonts w:ascii="Cambria Math" w:hAnsi="Cambria Math"/>
              </w:rPr>
              <m:t>10</m:t>
            </m:r>
          </m:e>
          <m:sup>
            <m:r>
              <w:rPr>
                <w:rFonts w:ascii="Cambria Math" w:hAnsi="Cambria Math"/>
              </w:rPr>
              <m:t>-2</m:t>
            </m:r>
          </m:sup>
        </m:sSup>
      </m:oMath>
      <w:r>
        <w:t>, respectively. The raw spectra, per-direction sensitivities, metric/covariance matrices, and all cutoff rows are retained in the Section 5 extension output directory.</w:t>
      </w:r>
    </w:p>
    <w:p w14:paraId="19252873" w14:textId="77777777" w:rsidR="00B86945" w:rsidRDefault="00000000">
      <w:pPr>
        <w:spacing w:after="100" w:line="259" w:lineRule="auto"/>
      </w:pPr>
      <w:r>
        <w:t xml:space="preserve">The attention audit includes complete Q/K/V decomposition and coherence-gap attribution for DeiT-Small at Block 8 and ViT-B/16 AugReg at Block 7. DeiT-Tiny and DINOv2 have reduced Block-8 replications only. For the reduced models, full-perturbation signed true-class logit drops across coherent, random-sign, and checkerboard patterns are 0.02437, −0.00105, and −0.00655 for DeiT-Tiny, and 0.10434, −0.00319, and 0.00583 for DINOv2. Under frozen-attention V-only with the residual perturbed, the corresponding drops are 0.02444, −0.00248, and −0.00628 for DeiT-Tiny, and 0.10749, −0.00142, and 0.00516 for DINOv2. These are signed logit outcomes; the main Figure 5 instead reports immediate-readout L2 magnitudes. The coherent frozen/full readout-norm ratios are 100.1% and 100.8%, respectively. Directions were estimated from the first four images, and outcomes use </w:t>
      </w:r>
      <m:oMath>
        <m:r>
          <w:rPr>
            <w:rFonts w:ascii="Cambria Math" w:hAnsi="Cambria Math"/>
          </w:rPr>
          <m:t>N=100</m:t>
        </m:r>
      </m:oMath>
      <w:r>
        <w:t xml:space="preserve"> images per model.</w:t>
      </w:r>
    </w:p>
    <w:p w14:paraId="418D73E2" w14:textId="77777777" w:rsidR="00B86945" w:rsidRDefault="00000000">
      <w:pPr>
        <w:keepNext/>
        <w:keepLines/>
        <w:spacing w:after="20"/>
        <w:jc w:val="center"/>
      </w:pPr>
      <w:r>
        <w:rPr>
          <w:noProof/>
        </w:rPr>
        <w:drawing>
          <wp:inline distT="0" distB="0" distL="0" distR="0" wp14:anchorId="0253CE25" wp14:editId="64180BD9">
            <wp:extent cx="6172200" cy="22818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1_value_path_replication.png"/>
                    <pic:cNvPicPr/>
                  </pic:nvPicPr>
                  <pic:blipFill>
                    <a:blip r:embed="rId16"/>
                    <a:stretch>
                      <a:fillRect/>
                    </a:stretch>
                  </pic:blipFill>
                  <pic:spPr>
                    <a:xfrm>
                      <a:off x="0" y="0"/>
                      <a:ext cx="6172200" cy="2281858"/>
                    </a:xfrm>
                    <a:prstGeom prst="rect">
                      <a:avLst/>
                    </a:prstGeom>
                  </pic:spPr>
                </pic:pic>
              </a:graphicData>
            </a:graphic>
          </wp:inline>
        </w:drawing>
      </w:r>
    </w:p>
    <w:p w14:paraId="6AA3701A" w14:textId="77777777" w:rsidR="00B86945" w:rsidRDefault="00000000">
      <w:pPr>
        <w:keepLines/>
        <w:spacing w:after="100" w:line="259" w:lineRule="auto"/>
      </w:pPr>
      <w:r>
        <w:rPr>
          <w:b/>
        </w:rPr>
        <w:t>Supplementary Figure S11.</w:t>
      </w:r>
      <w:r>
        <w:t xml:space="preserve"> Signed true-class logit drop (clean target logit minus perturbed target logit) under full perturbation and frozen-attention V-only transmission with the perturbed residual, for coherent, random-sign, and checkerboard patterns at Block 8. Each model uses one fixed </w:t>
      </w:r>
      <m:oMath>
        <m:r>
          <w:rPr>
            <w:rFonts w:ascii="Cambria Math" w:hAnsi="Cambria Math"/>
          </w:rPr>
          <m:t>N=100</m:t>
        </m:r>
      </m:oMath>
      <w:r>
        <w:t xml:space="preserve">-image outcome cohort; the </w:t>
      </w:r>
      <m:oMath>
        <m:r>
          <w:rPr>
            <w:rFonts w:ascii="Cambria Math" w:hAnsi="Cambria Math"/>
          </w:rPr>
          <m:t>J</m:t>
        </m:r>
      </m:oMath>
      <w:r>
        <w:t>-top feature direction was estimated from the first four images. Bars are cohort means without seed-based error bars. The panels show the reduced replication and do not represent a complete Q/K/V decomposition.</w:t>
      </w:r>
    </w:p>
    <w:p w14:paraId="1B108ED5" w14:textId="77777777" w:rsidR="00B86945" w:rsidRDefault="00000000">
      <w:pPr>
        <w:spacing w:after="100" w:line="259" w:lineRule="auto"/>
      </w:pPr>
      <w:r>
        <w:lastRenderedPageBreak/>
        <w:t xml:space="preserve">The multi-block prediction extension evaluates 100 perturbation vectors per model at Block 8 and scale </w:t>
      </w:r>
      <m:oMath>
        <m:r>
          <w:rPr>
            <w:rFonts w:ascii="Cambria Math" w:hAnsi="Cambria Math"/>
          </w:rPr>
          <m:t>s=0.4</m:t>
        </m:r>
      </m:oMath>
      <w:r>
        <w:t>, with 25 vectors from each of four prescribed families. Each vector is scored on a fixed 20-image reference batch. The bootstrap resamples perturbation vectors within family; it does not treat images or token positions as independent correlation observations.</w:t>
      </w:r>
    </w:p>
    <w:p w14:paraId="65443EBE" w14:textId="77777777" w:rsidR="00B86945" w:rsidRDefault="00000000">
      <w:pPr>
        <w:keepNext/>
        <w:keepLines/>
        <w:spacing w:after="100" w:line="259" w:lineRule="auto"/>
      </w:pPr>
      <w:r>
        <w:rPr>
          <w:b/>
        </w:rPr>
        <w:t xml:space="preserve">Table S3. Model-specific correlation between operator predictions and observed final-logit </w:t>
      </w:r>
      <m:oMath>
        <m:sSub>
          <m:sSubPr>
            <m:ctrlPr>
              <w:rPr>
                <w:rFonts w:ascii="Cambria Math" w:hAnsi="Cambria Math"/>
              </w:rPr>
            </m:ctrlPr>
          </m:sSubPr>
          <m:e>
            <m:r>
              <w:rPr>
                <w:rFonts w:ascii="Cambria Math" w:hAnsi="Cambria Math"/>
              </w:rPr>
              <m:t>L</m:t>
            </m:r>
          </m:e>
          <m:sub>
            <m:r>
              <w:rPr>
                <w:rFonts w:ascii="Cambria Math" w:hAnsi="Cambria Math"/>
              </w:rPr>
              <m:t>2</m:t>
            </m:r>
          </m:sub>
        </m:sSub>
      </m:oMath>
      <w:r>
        <w:rPr>
          <w:b/>
        </w:rPr>
        <w:t xml:space="preserve"> damage.</w:t>
      </w:r>
      <w:r>
        <w:t xml:space="preserve"> Values are Pearson r and Spearman ρ, each followed by its stratified-bootstrap 95% percentile interval. Each model/operator estimate uses 100 perturbation vectors and 2,000 bootstrap replicates.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498"/>
        <w:gridCol w:w="2498"/>
        <w:gridCol w:w="2498"/>
        <w:gridCol w:w="2498"/>
      </w:tblGrid>
      <w:tr w:rsidR="00B86945" w:rsidRPr="0026008E" w14:paraId="10E63767" w14:textId="77777777" w:rsidTr="0026008E">
        <w:trPr>
          <w:tblHeader/>
        </w:trPr>
        <w:tc>
          <w:tcPr>
            <w:tcW w:w="2498" w:type="dxa"/>
            <w:tcBorders>
              <w:top w:val="single" w:sz="4" w:space="0" w:color="auto"/>
              <w:bottom w:val="single" w:sz="4" w:space="0" w:color="auto"/>
            </w:tcBorders>
            <w:shd w:val="clear" w:color="auto" w:fill="FFFFFF" w:themeFill="background1"/>
            <w:tcMar>
              <w:top w:w="55" w:type="dxa"/>
              <w:left w:w="65" w:type="dxa"/>
              <w:bottom w:w="55" w:type="dxa"/>
              <w:right w:w="65" w:type="dxa"/>
            </w:tcMar>
            <w:vAlign w:val="center"/>
          </w:tcPr>
          <w:p w14:paraId="0627F62A" w14:textId="77777777" w:rsidR="00B86945" w:rsidRPr="0026008E" w:rsidRDefault="00000000">
            <w:pPr>
              <w:jc w:val="center"/>
              <w:rPr>
                <w:szCs w:val="28"/>
              </w:rPr>
            </w:pPr>
            <w:r w:rsidRPr="0026008E">
              <w:rPr>
                <w:b/>
                <w:color w:val="17232D"/>
                <w:szCs w:val="28"/>
              </w:rPr>
              <w:t>Architecture</w:t>
            </w:r>
          </w:p>
        </w:tc>
        <w:tc>
          <w:tcPr>
            <w:tcW w:w="2498" w:type="dxa"/>
            <w:tcBorders>
              <w:top w:val="single" w:sz="4" w:space="0" w:color="auto"/>
              <w:bottom w:val="single" w:sz="4" w:space="0" w:color="auto"/>
            </w:tcBorders>
            <w:shd w:val="clear" w:color="auto" w:fill="FFFFFF" w:themeFill="background1"/>
            <w:tcMar>
              <w:top w:w="55" w:type="dxa"/>
              <w:left w:w="65" w:type="dxa"/>
              <w:bottom w:w="55" w:type="dxa"/>
              <w:right w:w="65" w:type="dxa"/>
            </w:tcMar>
            <w:vAlign w:val="center"/>
          </w:tcPr>
          <w:p w14:paraId="461B5564" w14:textId="77777777" w:rsidR="00B86945" w:rsidRPr="0026008E" w:rsidRDefault="00000000">
            <w:pPr>
              <w:jc w:val="center"/>
              <w:rPr>
                <w:szCs w:val="28"/>
              </w:rPr>
            </w:pPr>
            <w:r w:rsidRPr="0026008E">
              <w:rPr>
                <w:b/>
                <w:color w:val="17232D"/>
                <w:szCs w:val="28"/>
              </w:rPr>
              <w:t>Operator</w:t>
            </w:r>
          </w:p>
        </w:tc>
        <w:tc>
          <w:tcPr>
            <w:tcW w:w="2498" w:type="dxa"/>
            <w:tcBorders>
              <w:top w:val="single" w:sz="4" w:space="0" w:color="auto"/>
              <w:bottom w:val="single" w:sz="4" w:space="0" w:color="auto"/>
            </w:tcBorders>
            <w:shd w:val="clear" w:color="auto" w:fill="FFFFFF" w:themeFill="background1"/>
            <w:tcMar>
              <w:top w:w="55" w:type="dxa"/>
              <w:left w:w="65" w:type="dxa"/>
              <w:bottom w:w="55" w:type="dxa"/>
              <w:right w:w="65" w:type="dxa"/>
            </w:tcMar>
            <w:vAlign w:val="center"/>
          </w:tcPr>
          <w:p w14:paraId="21A7B6A5" w14:textId="77777777" w:rsidR="00B86945" w:rsidRPr="0026008E" w:rsidRDefault="00000000">
            <w:pPr>
              <w:jc w:val="center"/>
              <w:rPr>
                <w:szCs w:val="28"/>
              </w:rPr>
            </w:pPr>
            <w:r w:rsidRPr="0026008E">
              <w:rPr>
                <w:b/>
                <w:color w:val="17232D"/>
                <w:szCs w:val="28"/>
              </w:rPr>
              <w:t>Pearson r (95% CI)</w:t>
            </w:r>
          </w:p>
        </w:tc>
        <w:tc>
          <w:tcPr>
            <w:tcW w:w="2498" w:type="dxa"/>
            <w:tcBorders>
              <w:top w:val="single" w:sz="4" w:space="0" w:color="auto"/>
              <w:bottom w:val="single" w:sz="4" w:space="0" w:color="auto"/>
            </w:tcBorders>
            <w:shd w:val="clear" w:color="auto" w:fill="FFFFFF" w:themeFill="background1"/>
            <w:tcMar>
              <w:top w:w="55" w:type="dxa"/>
              <w:left w:w="65" w:type="dxa"/>
              <w:bottom w:w="55" w:type="dxa"/>
              <w:right w:w="65" w:type="dxa"/>
            </w:tcMar>
            <w:vAlign w:val="center"/>
          </w:tcPr>
          <w:p w14:paraId="3A169F33" w14:textId="77777777" w:rsidR="00B86945" w:rsidRPr="0026008E" w:rsidRDefault="00000000">
            <w:pPr>
              <w:jc w:val="center"/>
              <w:rPr>
                <w:szCs w:val="28"/>
              </w:rPr>
            </w:pPr>
            <w:r w:rsidRPr="0026008E">
              <w:rPr>
                <w:b/>
                <w:color w:val="17232D"/>
                <w:szCs w:val="28"/>
              </w:rPr>
              <w:t>Spearman ρ (95% CI)</w:t>
            </w:r>
          </w:p>
        </w:tc>
      </w:tr>
      <w:tr w:rsidR="00B86945" w:rsidRPr="0026008E" w14:paraId="494ABE79" w14:textId="77777777" w:rsidTr="0026008E">
        <w:tc>
          <w:tcPr>
            <w:tcW w:w="2498" w:type="dxa"/>
            <w:tcBorders>
              <w:top w:val="single" w:sz="4" w:space="0" w:color="auto"/>
            </w:tcBorders>
            <w:shd w:val="clear" w:color="auto" w:fill="FFFFFF" w:themeFill="background1"/>
            <w:tcMar>
              <w:top w:w="55" w:type="dxa"/>
              <w:left w:w="65" w:type="dxa"/>
              <w:bottom w:w="55" w:type="dxa"/>
              <w:right w:w="65" w:type="dxa"/>
            </w:tcMar>
            <w:vAlign w:val="center"/>
          </w:tcPr>
          <w:p w14:paraId="6AE83605" w14:textId="77777777" w:rsidR="00B86945" w:rsidRPr="0026008E" w:rsidRDefault="00000000">
            <w:pPr>
              <w:rPr>
                <w:szCs w:val="28"/>
              </w:rPr>
            </w:pPr>
            <w:r w:rsidRPr="0026008E">
              <w:rPr>
                <w:szCs w:val="28"/>
              </w:rPr>
              <w:t>DeiT-Tiny</w:t>
            </w:r>
          </w:p>
        </w:tc>
        <w:tc>
          <w:tcPr>
            <w:tcW w:w="2498" w:type="dxa"/>
            <w:tcBorders>
              <w:top w:val="single" w:sz="4" w:space="0" w:color="auto"/>
            </w:tcBorders>
            <w:shd w:val="clear" w:color="auto" w:fill="FFFFFF" w:themeFill="background1"/>
            <w:tcMar>
              <w:top w:w="55" w:type="dxa"/>
              <w:left w:w="65" w:type="dxa"/>
              <w:bottom w:w="55" w:type="dxa"/>
              <w:right w:w="65" w:type="dxa"/>
            </w:tcMar>
            <w:vAlign w:val="center"/>
          </w:tcPr>
          <w:p w14:paraId="696D4238" w14:textId="77777777" w:rsidR="00B86945" w:rsidRPr="0026008E" w:rsidRDefault="00000000">
            <w:pPr>
              <w:jc w:val="center"/>
              <w:rPr>
                <w:szCs w:val="28"/>
              </w:rPr>
            </w:pPr>
            <w:r w:rsidRPr="0026008E">
              <w:rPr>
                <w:szCs w:val="28"/>
              </w:rPr>
              <w:t>Single-block A₈</w:t>
            </w:r>
          </w:p>
        </w:tc>
        <w:tc>
          <w:tcPr>
            <w:tcW w:w="2498" w:type="dxa"/>
            <w:tcBorders>
              <w:top w:val="single" w:sz="4" w:space="0" w:color="auto"/>
            </w:tcBorders>
            <w:shd w:val="clear" w:color="auto" w:fill="FFFFFF" w:themeFill="background1"/>
            <w:tcMar>
              <w:top w:w="55" w:type="dxa"/>
              <w:left w:w="65" w:type="dxa"/>
              <w:bottom w:w="55" w:type="dxa"/>
              <w:right w:w="65" w:type="dxa"/>
            </w:tcMar>
            <w:vAlign w:val="center"/>
          </w:tcPr>
          <w:p w14:paraId="1F924778" w14:textId="77777777" w:rsidR="00B86945" w:rsidRPr="0026008E" w:rsidRDefault="00000000">
            <w:pPr>
              <w:jc w:val="center"/>
              <w:rPr>
                <w:szCs w:val="28"/>
              </w:rPr>
            </w:pPr>
            <w:r w:rsidRPr="0026008E">
              <w:rPr>
                <w:szCs w:val="28"/>
              </w:rPr>
              <w:t>0.806 [0.773, 0.843]</w:t>
            </w:r>
          </w:p>
        </w:tc>
        <w:tc>
          <w:tcPr>
            <w:tcW w:w="2498" w:type="dxa"/>
            <w:tcBorders>
              <w:top w:val="single" w:sz="4" w:space="0" w:color="auto"/>
            </w:tcBorders>
            <w:shd w:val="clear" w:color="auto" w:fill="FFFFFF" w:themeFill="background1"/>
            <w:tcMar>
              <w:top w:w="55" w:type="dxa"/>
              <w:left w:w="65" w:type="dxa"/>
              <w:bottom w:w="55" w:type="dxa"/>
              <w:right w:w="65" w:type="dxa"/>
            </w:tcMar>
            <w:vAlign w:val="center"/>
          </w:tcPr>
          <w:p w14:paraId="49CC9A5D" w14:textId="77777777" w:rsidR="00B86945" w:rsidRPr="0026008E" w:rsidRDefault="00000000">
            <w:pPr>
              <w:jc w:val="center"/>
              <w:rPr>
                <w:szCs w:val="28"/>
              </w:rPr>
            </w:pPr>
            <w:r w:rsidRPr="0026008E">
              <w:rPr>
                <w:szCs w:val="28"/>
              </w:rPr>
              <w:t>0.720 [0.681, 0.757]</w:t>
            </w:r>
          </w:p>
        </w:tc>
      </w:tr>
      <w:tr w:rsidR="00B86945" w:rsidRPr="0026008E" w14:paraId="7F431692" w14:textId="77777777" w:rsidTr="0026008E">
        <w:tc>
          <w:tcPr>
            <w:tcW w:w="2498" w:type="dxa"/>
            <w:shd w:val="clear" w:color="auto" w:fill="FFFFFF" w:themeFill="background1"/>
            <w:tcMar>
              <w:top w:w="55" w:type="dxa"/>
              <w:left w:w="65" w:type="dxa"/>
              <w:bottom w:w="55" w:type="dxa"/>
              <w:right w:w="65" w:type="dxa"/>
            </w:tcMar>
            <w:vAlign w:val="center"/>
          </w:tcPr>
          <w:p w14:paraId="5379F5E2" w14:textId="77777777" w:rsidR="00B86945" w:rsidRPr="0026008E" w:rsidRDefault="00000000">
            <w:pPr>
              <w:rPr>
                <w:szCs w:val="28"/>
              </w:rPr>
            </w:pPr>
            <w:r w:rsidRPr="0026008E">
              <w:rPr>
                <w:szCs w:val="28"/>
              </w:rPr>
              <w:t>DeiT-Tiny</w:t>
            </w:r>
          </w:p>
        </w:tc>
        <w:tc>
          <w:tcPr>
            <w:tcW w:w="2498" w:type="dxa"/>
            <w:shd w:val="clear" w:color="auto" w:fill="FFFFFF" w:themeFill="background1"/>
            <w:tcMar>
              <w:top w:w="55" w:type="dxa"/>
              <w:left w:w="65" w:type="dxa"/>
              <w:bottom w:w="55" w:type="dxa"/>
              <w:right w:w="65" w:type="dxa"/>
            </w:tcMar>
            <w:vAlign w:val="center"/>
          </w:tcPr>
          <w:p w14:paraId="08DAB559" w14:textId="77777777" w:rsidR="00B86945" w:rsidRPr="0026008E" w:rsidRDefault="00000000">
            <w:pPr>
              <w:jc w:val="center"/>
              <w:rPr>
                <w:szCs w:val="28"/>
              </w:rPr>
            </w:pPr>
            <w:r w:rsidRPr="0026008E">
              <w:rPr>
                <w:szCs w:val="28"/>
              </w:rPr>
              <w:t>End-to-end J₈→L</w:t>
            </w:r>
          </w:p>
        </w:tc>
        <w:tc>
          <w:tcPr>
            <w:tcW w:w="2498" w:type="dxa"/>
            <w:shd w:val="clear" w:color="auto" w:fill="FFFFFF" w:themeFill="background1"/>
            <w:tcMar>
              <w:top w:w="55" w:type="dxa"/>
              <w:left w:w="65" w:type="dxa"/>
              <w:bottom w:w="55" w:type="dxa"/>
              <w:right w:w="65" w:type="dxa"/>
            </w:tcMar>
            <w:vAlign w:val="center"/>
          </w:tcPr>
          <w:p w14:paraId="496BCD6E" w14:textId="77777777" w:rsidR="00B86945" w:rsidRPr="0026008E" w:rsidRDefault="00000000">
            <w:pPr>
              <w:jc w:val="center"/>
              <w:rPr>
                <w:szCs w:val="28"/>
              </w:rPr>
            </w:pPr>
            <w:r w:rsidRPr="0026008E">
              <w:rPr>
                <w:szCs w:val="28"/>
              </w:rPr>
              <w:t>0.964 [0.955, 0.974]</w:t>
            </w:r>
          </w:p>
        </w:tc>
        <w:tc>
          <w:tcPr>
            <w:tcW w:w="2498" w:type="dxa"/>
            <w:shd w:val="clear" w:color="auto" w:fill="FFFFFF" w:themeFill="background1"/>
            <w:tcMar>
              <w:top w:w="55" w:type="dxa"/>
              <w:left w:w="65" w:type="dxa"/>
              <w:bottom w:w="55" w:type="dxa"/>
              <w:right w:w="65" w:type="dxa"/>
            </w:tcMar>
            <w:vAlign w:val="center"/>
          </w:tcPr>
          <w:p w14:paraId="47B4D458" w14:textId="77777777" w:rsidR="00B86945" w:rsidRPr="0026008E" w:rsidRDefault="00000000">
            <w:pPr>
              <w:jc w:val="center"/>
              <w:rPr>
                <w:szCs w:val="28"/>
              </w:rPr>
            </w:pPr>
            <w:r w:rsidRPr="0026008E">
              <w:rPr>
                <w:szCs w:val="28"/>
              </w:rPr>
              <w:t>0.964 [0.951, 0.973]</w:t>
            </w:r>
          </w:p>
        </w:tc>
      </w:tr>
      <w:tr w:rsidR="00B86945" w:rsidRPr="0026008E" w14:paraId="784EB15C" w14:textId="77777777" w:rsidTr="0026008E">
        <w:tc>
          <w:tcPr>
            <w:tcW w:w="2498" w:type="dxa"/>
            <w:shd w:val="clear" w:color="auto" w:fill="FFFFFF" w:themeFill="background1"/>
            <w:tcMar>
              <w:top w:w="55" w:type="dxa"/>
              <w:left w:w="65" w:type="dxa"/>
              <w:bottom w:w="55" w:type="dxa"/>
              <w:right w:w="65" w:type="dxa"/>
            </w:tcMar>
            <w:vAlign w:val="center"/>
          </w:tcPr>
          <w:p w14:paraId="4BC5E0BD" w14:textId="77777777" w:rsidR="00B86945" w:rsidRPr="0026008E" w:rsidRDefault="00000000">
            <w:pPr>
              <w:rPr>
                <w:szCs w:val="28"/>
              </w:rPr>
            </w:pPr>
            <w:r w:rsidRPr="0026008E">
              <w:rPr>
                <w:szCs w:val="28"/>
              </w:rPr>
              <w:t>DeiT-Small</w:t>
            </w:r>
          </w:p>
        </w:tc>
        <w:tc>
          <w:tcPr>
            <w:tcW w:w="2498" w:type="dxa"/>
            <w:shd w:val="clear" w:color="auto" w:fill="FFFFFF" w:themeFill="background1"/>
            <w:tcMar>
              <w:top w:w="55" w:type="dxa"/>
              <w:left w:w="65" w:type="dxa"/>
              <w:bottom w:w="55" w:type="dxa"/>
              <w:right w:w="65" w:type="dxa"/>
            </w:tcMar>
            <w:vAlign w:val="center"/>
          </w:tcPr>
          <w:p w14:paraId="014B9CB0" w14:textId="77777777" w:rsidR="00B86945" w:rsidRPr="0026008E" w:rsidRDefault="00000000">
            <w:pPr>
              <w:jc w:val="center"/>
              <w:rPr>
                <w:szCs w:val="28"/>
              </w:rPr>
            </w:pPr>
            <w:r w:rsidRPr="0026008E">
              <w:rPr>
                <w:szCs w:val="28"/>
              </w:rPr>
              <w:t>Single-block A₈</w:t>
            </w:r>
          </w:p>
        </w:tc>
        <w:tc>
          <w:tcPr>
            <w:tcW w:w="2498" w:type="dxa"/>
            <w:shd w:val="clear" w:color="auto" w:fill="FFFFFF" w:themeFill="background1"/>
            <w:tcMar>
              <w:top w:w="55" w:type="dxa"/>
              <w:left w:w="65" w:type="dxa"/>
              <w:bottom w:w="55" w:type="dxa"/>
              <w:right w:w="65" w:type="dxa"/>
            </w:tcMar>
            <w:vAlign w:val="center"/>
          </w:tcPr>
          <w:p w14:paraId="4CC6C03D" w14:textId="77777777" w:rsidR="00B86945" w:rsidRPr="0026008E" w:rsidRDefault="00000000">
            <w:pPr>
              <w:jc w:val="center"/>
              <w:rPr>
                <w:szCs w:val="28"/>
              </w:rPr>
            </w:pPr>
            <w:r w:rsidRPr="0026008E">
              <w:rPr>
                <w:szCs w:val="28"/>
              </w:rPr>
              <w:t>0.753 [0.719, 0.790]</w:t>
            </w:r>
          </w:p>
        </w:tc>
        <w:tc>
          <w:tcPr>
            <w:tcW w:w="2498" w:type="dxa"/>
            <w:shd w:val="clear" w:color="auto" w:fill="FFFFFF" w:themeFill="background1"/>
            <w:tcMar>
              <w:top w:w="55" w:type="dxa"/>
              <w:left w:w="65" w:type="dxa"/>
              <w:bottom w:w="55" w:type="dxa"/>
              <w:right w:w="65" w:type="dxa"/>
            </w:tcMar>
            <w:vAlign w:val="center"/>
          </w:tcPr>
          <w:p w14:paraId="7FC9B5C1" w14:textId="77777777" w:rsidR="00B86945" w:rsidRPr="0026008E" w:rsidRDefault="00000000">
            <w:pPr>
              <w:jc w:val="center"/>
              <w:rPr>
                <w:szCs w:val="28"/>
              </w:rPr>
            </w:pPr>
            <w:r w:rsidRPr="0026008E">
              <w:rPr>
                <w:szCs w:val="28"/>
              </w:rPr>
              <w:t>0.735 [0.696, 0.772]</w:t>
            </w:r>
          </w:p>
        </w:tc>
      </w:tr>
      <w:tr w:rsidR="00B86945" w:rsidRPr="0026008E" w14:paraId="214D9368" w14:textId="77777777" w:rsidTr="0026008E">
        <w:tc>
          <w:tcPr>
            <w:tcW w:w="2498" w:type="dxa"/>
            <w:shd w:val="clear" w:color="auto" w:fill="FFFFFF" w:themeFill="background1"/>
            <w:tcMar>
              <w:top w:w="55" w:type="dxa"/>
              <w:left w:w="65" w:type="dxa"/>
              <w:bottom w:w="55" w:type="dxa"/>
              <w:right w:w="65" w:type="dxa"/>
            </w:tcMar>
            <w:vAlign w:val="center"/>
          </w:tcPr>
          <w:p w14:paraId="7DF7072F" w14:textId="77777777" w:rsidR="00B86945" w:rsidRPr="0026008E" w:rsidRDefault="00000000">
            <w:pPr>
              <w:rPr>
                <w:szCs w:val="28"/>
              </w:rPr>
            </w:pPr>
            <w:r w:rsidRPr="0026008E">
              <w:rPr>
                <w:szCs w:val="28"/>
              </w:rPr>
              <w:t>DeiT-Small</w:t>
            </w:r>
          </w:p>
        </w:tc>
        <w:tc>
          <w:tcPr>
            <w:tcW w:w="2498" w:type="dxa"/>
            <w:shd w:val="clear" w:color="auto" w:fill="FFFFFF" w:themeFill="background1"/>
            <w:tcMar>
              <w:top w:w="55" w:type="dxa"/>
              <w:left w:w="65" w:type="dxa"/>
              <w:bottom w:w="55" w:type="dxa"/>
              <w:right w:w="65" w:type="dxa"/>
            </w:tcMar>
            <w:vAlign w:val="center"/>
          </w:tcPr>
          <w:p w14:paraId="08DBA484" w14:textId="77777777" w:rsidR="00B86945" w:rsidRPr="0026008E" w:rsidRDefault="00000000">
            <w:pPr>
              <w:jc w:val="center"/>
              <w:rPr>
                <w:szCs w:val="28"/>
              </w:rPr>
            </w:pPr>
            <w:r w:rsidRPr="0026008E">
              <w:rPr>
                <w:szCs w:val="28"/>
              </w:rPr>
              <w:t>End-to-end J₈→L</w:t>
            </w:r>
          </w:p>
        </w:tc>
        <w:tc>
          <w:tcPr>
            <w:tcW w:w="2498" w:type="dxa"/>
            <w:shd w:val="clear" w:color="auto" w:fill="FFFFFF" w:themeFill="background1"/>
            <w:tcMar>
              <w:top w:w="55" w:type="dxa"/>
              <w:left w:w="65" w:type="dxa"/>
              <w:bottom w:w="55" w:type="dxa"/>
              <w:right w:w="65" w:type="dxa"/>
            </w:tcMar>
            <w:vAlign w:val="center"/>
          </w:tcPr>
          <w:p w14:paraId="6D431AF7" w14:textId="77777777" w:rsidR="00B86945" w:rsidRPr="0026008E" w:rsidRDefault="00000000">
            <w:pPr>
              <w:jc w:val="center"/>
              <w:rPr>
                <w:szCs w:val="28"/>
              </w:rPr>
            </w:pPr>
            <w:r w:rsidRPr="0026008E">
              <w:rPr>
                <w:szCs w:val="28"/>
              </w:rPr>
              <w:t>0.975 [0.966, 0.983]</w:t>
            </w:r>
          </w:p>
        </w:tc>
        <w:tc>
          <w:tcPr>
            <w:tcW w:w="2498" w:type="dxa"/>
            <w:shd w:val="clear" w:color="auto" w:fill="FFFFFF" w:themeFill="background1"/>
            <w:tcMar>
              <w:top w:w="55" w:type="dxa"/>
              <w:left w:w="65" w:type="dxa"/>
              <w:bottom w:w="55" w:type="dxa"/>
              <w:right w:w="65" w:type="dxa"/>
            </w:tcMar>
            <w:vAlign w:val="center"/>
          </w:tcPr>
          <w:p w14:paraId="426E6CB7" w14:textId="77777777" w:rsidR="00B86945" w:rsidRPr="0026008E" w:rsidRDefault="00000000">
            <w:pPr>
              <w:jc w:val="center"/>
              <w:rPr>
                <w:szCs w:val="28"/>
              </w:rPr>
            </w:pPr>
            <w:r w:rsidRPr="0026008E">
              <w:rPr>
                <w:szCs w:val="28"/>
              </w:rPr>
              <w:t>0.945 [0.932, 0.958]</w:t>
            </w:r>
          </w:p>
        </w:tc>
      </w:tr>
      <w:tr w:rsidR="00B86945" w:rsidRPr="0026008E" w14:paraId="7EA16995" w14:textId="77777777" w:rsidTr="0026008E">
        <w:tc>
          <w:tcPr>
            <w:tcW w:w="2498" w:type="dxa"/>
            <w:shd w:val="clear" w:color="auto" w:fill="FFFFFF" w:themeFill="background1"/>
            <w:tcMar>
              <w:top w:w="55" w:type="dxa"/>
              <w:left w:w="65" w:type="dxa"/>
              <w:bottom w:w="55" w:type="dxa"/>
              <w:right w:w="65" w:type="dxa"/>
            </w:tcMar>
            <w:vAlign w:val="center"/>
          </w:tcPr>
          <w:p w14:paraId="381CB7FA" w14:textId="77777777" w:rsidR="00B86945" w:rsidRPr="0026008E" w:rsidRDefault="00000000">
            <w:pPr>
              <w:rPr>
                <w:szCs w:val="28"/>
              </w:rPr>
            </w:pPr>
            <w:r w:rsidRPr="0026008E">
              <w:rPr>
                <w:szCs w:val="28"/>
              </w:rPr>
              <w:t>ViT-B/16 AugReg</w:t>
            </w:r>
          </w:p>
        </w:tc>
        <w:tc>
          <w:tcPr>
            <w:tcW w:w="2498" w:type="dxa"/>
            <w:shd w:val="clear" w:color="auto" w:fill="FFFFFF" w:themeFill="background1"/>
            <w:tcMar>
              <w:top w:w="55" w:type="dxa"/>
              <w:left w:w="65" w:type="dxa"/>
              <w:bottom w:w="55" w:type="dxa"/>
              <w:right w:w="65" w:type="dxa"/>
            </w:tcMar>
            <w:vAlign w:val="center"/>
          </w:tcPr>
          <w:p w14:paraId="40CAB854" w14:textId="77777777" w:rsidR="00B86945" w:rsidRPr="0026008E" w:rsidRDefault="00000000">
            <w:pPr>
              <w:jc w:val="center"/>
              <w:rPr>
                <w:szCs w:val="28"/>
              </w:rPr>
            </w:pPr>
            <w:r w:rsidRPr="0026008E">
              <w:rPr>
                <w:szCs w:val="28"/>
              </w:rPr>
              <w:t>Single-block A₈</w:t>
            </w:r>
          </w:p>
        </w:tc>
        <w:tc>
          <w:tcPr>
            <w:tcW w:w="2498" w:type="dxa"/>
            <w:shd w:val="clear" w:color="auto" w:fill="FFFFFF" w:themeFill="background1"/>
            <w:tcMar>
              <w:top w:w="55" w:type="dxa"/>
              <w:left w:w="65" w:type="dxa"/>
              <w:bottom w:w="55" w:type="dxa"/>
              <w:right w:w="65" w:type="dxa"/>
            </w:tcMar>
            <w:vAlign w:val="center"/>
          </w:tcPr>
          <w:p w14:paraId="3C0E456F" w14:textId="77777777" w:rsidR="00B86945" w:rsidRPr="0026008E" w:rsidRDefault="00000000">
            <w:pPr>
              <w:jc w:val="center"/>
              <w:rPr>
                <w:szCs w:val="28"/>
              </w:rPr>
            </w:pPr>
            <w:r w:rsidRPr="0026008E">
              <w:rPr>
                <w:szCs w:val="28"/>
              </w:rPr>
              <w:t>0.757 [0.728, 0.786]</w:t>
            </w:r>
          </w:p>
        </w:tc>
        <w:tc>
          <w:tcPr>
            <w:tcW w:w="2498" w:type="dxa"/>
            <w:shd w:val="clear" w:color="auto" w:fill="FFFFFF" w:themeFill="background1"/>
            <w:tcMar>
              <w:top w:w="55" w:type="dxa"/>
              <w:left w:w="65" w:type="dxa"/>
              <w:bottom w:w="55" w:type="dxa"/>
              <w:right w:w="65" w:type="dxa"/>
            </w:tcMar>
            <w:vAlign w:val="center"/>
          </w:tcPr>
          <w:p w14:paraId="0A8A81C7" w14:textId="77777777" w:rsidR="00B86945" w:rsidRPr="0026008E" w:rsidRDefault="00000000">
            <w:pPr>
              <w:jc w:val="center"/>
              <w:rPr>
                <w:szCs w:val="28"/>
              </w:rPr>
            </w:pPr>
            <w:r w:rsidRPr="0026008E">
              <w:rPr>
                <w:szCs w:val="28"/>
              </w:rPr>
              <w:t>0.725 [0.684, 0.766]</w:t>
            </w:r>
          </w:p>
        </w:tc>
      </w:tr>
      <w:tr w:rsidR="00B86945" w:rsidRPr="0026008E" w14:paraId="03D92A14" w14:textId="77777777" w:rsidTr="0026008E">
        <w:tc>
          <w:tcPr>
            <w:tcW w:w="2498" w:type="dxa"/>
            <w:shd w:val="clear" w:color="auto" w:fill="FFFFFF" w:themeFill="background1"/>
            <w:tcMar>
              <w:top w:w="55" w:type="dxa"/>
              <w:left w:w="65" w:type="dxa"/>
              <w:bottom w:w="55" w:type="dxa"/>
              <w:right w:w="65" w:type="dxa"/>
            </w:tcMar>
            <w:vAlign w:val="center"/>
          </w:tcPr>
          <w:p w14:paraId="115C8579" w14:textId="77777777" w:rsidR="00B86945" w:rsidRPr="0026008E" w:rsidRDefault="00000000">
            <w:pPr>
              <w:rPr>
                <w:szCs w:val="28"/>
              </w:rPr>
            </w:pPr>
            <w:r w:rsidRPr="0026008E">
              <w:rPr>
                <w:szCs w:val="28"/>
              </w:rPr>
              <w:t>ViT-B/16 AugReg</w:t>
            </w:r>
          </w:p>
        </w:tc>
        <w:tc>
          <w:tcPr>
            <w:tcW w:w="2498" w:type="dxa"/>
            <w:shd w:val="clear" w:color="auto" w:fill="FFFFFF" w:themeFill="background1"/>
            <w:tcMar>
              <w:top w:w="55" w:type="dxa"/>
              <w:left w:w="65" w:type="dxa"/>
              <w:bottom w:w="55" w:type="dxa"/>
              <w:right w:w="65" w:type="dxa"/>
            </w:tcMar>
            <w:vAlign w:val="center"/>
          </w:tcPr>
          <w:p w14:paraId="25792EAD" w14:textId="77777777" w:rsidR="00B86945" w:rsidRPr="0026008E" w:rsidRDefault="00000000">
            <w:pPr>
              <w:jc w:val="center"/>
              <w:rPr>
                <w:szCs w:val="28"/>
              </w:rPr>
            </w:pPr>
            <w:r w:rsidRPr="0026008E">
              <w:rPr>
                <w:szCs w:val="28"/>
              </w:rPr>
              <w:t>End-to-end J₈→L</w:t>
            </w:r>
          </w:p>
        </w:tc>
        <w:tc>
          <w:tcPr>
            <w:tcW w:w="2498" w:type="dxa"/>
            <w:shd w:val="clear" w:color="auto" w:fill="FFFFFF" w:themeFill="background1"/>
            <w:tcMar>
              <w:top w:w="55" w:type="dxa"/>
              <w:left w:w="65" w:type="dxa"/>
              <w:bottom w:w="55" w:type="dxa"/>
              <w:right w:w="65" w:type="dxa"/>
            </w:tcMar>
            <w:vAlign w:val="center"/>
          </w:tcPr>
          <w:p w14:paraId="350073C5" w14:textId="77777777" w:rsidR="00B86945" w:rsidRPr="0026008E" w:rsidRDefault="00000000">
            <w:pPr>
              <w:jc w:val="center"/>
              <w:rPr>
                <w:szCs w:val="28"/>
              </w:rPr>
            </w:pPr>
            <w:r w:rsidRPr="0026008E">
              <w:rPr>
                <w:szCs w:val="28"/>
              </w:rPr>
              <w:t>0.954 [0.938, 0.970]</w:t>
            </w:r>
          </w:p>
        </w:tc>
        <w:tc>
          <w:tcPr>
            <w:tcW w:w="2498" w:type="dxa"/>
            <w:shd w:val="clear" w:color="auto" w:fill="FFFFFF" w:themeFill="background1"/>
            <w:tcMar>
              <w:top w:w="55" w:type="dxa"/>
              <w:left w:w="65" w:type="dxa"/>
              <w:bottom w:w="55" w:type="dxa"/>
              <w:right w:w="65" w:type="dxa"/>
            </w:tcMar>
            <w:vAlign w:val="center"/>
          </w:tcPr>
          <w:p w14:paraId="6D662CFF" w14:textId="77777777" w:rsidR="00B86945" w:rsidRPr="0026008E" w:rsidRDefault="00000000">
            <w:pPr>
              <w:jc w:val="center"/>
              <w:rPr>
                <w:szCs w:val="28"/>
              </w:rPr>
            </w:pPr>
            <w:r w:rsidRPr="0026008E">
              <w:rPr>
                <w:szCs w:val="28"/>
              </w:rPr>
              <w:t>0.934 [0.911, 0.953]</w:t>
            </w:r>
          </w:p>
        </w:tc>
      </w:tr>
      <w:tr w:rsidR="00B86945" w:rsidRPr="0026008E" w14:paraId="0A6FE4AE" w14:textId="77777777" w:rsidTr="0026008E">
        <w:tc>
          <w:tcPr>
            <w:tcW w:w="2498" w:type="dxa"/>
            <w:shd w:val="clear" w:color="auto" w:fill="FFFFFF" w:themeFill="background1"/>
            <w:tcMar>
              <w:top w:w="55" w:type="dxa"/>
              <w:left w:w="65" w:type="dxa"/>
              <w:bottom w:w="55" w:type="dxa"/>
              <w:right w:w="65" w:type="dxa"/>
            </w:tcMar>
            <w:vAlign w:val="center"/>
          </w:tcPr>
          <w:p w14:paraId="3D2FE30F" w14:textId="77777777" w:rsidR="00B86945" w:rsidRPr="0026008E" w:rsidRDefault="00000000">
            <w:pPr>
              <w:rPr>
                <w:szCs w:val="28"/>
              </w:rPr>
            </w:pPr>
            <w:r w:rsidRPr="0026008E">
              <w:rPr>
                <w:szCs w:val="28"/>
              </w:rPr>
              <w:t>DINOv2 ViT-S/14</w:t>
            </w:r>
          </w:p>
        </w:tc>
        <w:tc>
          <w:tcPr>
            <w:tcW w:w="2498" w:type="dxa"/>
            <w:shd w:val="clear" w:color="auto" w:fill="FFFFFF" w:themeFill="background1"/>
            <w:tcMar>
              <w:top w:w="55" w:type="dxa"/>
              <w:left w:w="65" w:type="dxa"/>
              <w:bottom w:w="55" w:type="dxa"/>
              <w:right w:w="65" w:type="dxa"/>
            </w:tcMar>
            <w:vAlign w:val="center"/>
          </w:tcPr>
          <w:p w14:paraId="71268D37" w14:textId="77777777" w:rsidR="00B86945" w:rsidRPr="0026008E" w:rsidRDefault="00000000">
            <w:pPr>
              <w:jc w:val="center"/>
              <w:rPr>
                <w:szCs w:val="28"/>
              </w:rPr>
            </w:pPr>
            <w:r w:rsidRPr="0026008E">
              <w:rPr>
                <w:szCs w:val="28"/>
              </w:rPr>
              <w:t>Single-block A₈</w:t>
            </w:r>
          </w:p>
        </w:tc>
        <w:tc>
          <w:tcPr>
            <w:tcW w:w="2498" w:type="dxa"/>
            <w:shd w:val="clear" w:color="auto" w:fill="FFFFFF" w:themeFill="background1"/>
            <w:tcMar>
              <w:top w:w="55" w:type="dxa"/>
              <w:left w:w="65" w:type="dxa"/>
              <w:bottom w:w="55" w:type="dxa"/>
              <w:right w:w="65" w:type="dxa"/>
            </w:tcMar>
            <w:vAlign w:val="center"/>
          </w:tcPr>
          <w:p w14:paraId="6F045DDB" w14:textId="77777777" w:rsidR="00B86945" w:rsidRPr="0026008E" w:rsidRDefault="00000000">
            <w:pPr>
              <w:jc w:val="center"/>
              <w:rPr>
                <w:szCs w:val="28"/>
              </w:rPr>
            </w:pPr>
            <w:r w:rsidRPr="0026008E">
              <w:rPr>
                <w:szCs w:val="28"/>
              </w:rPr>
              <w:t>0.883 [0.861, 0.903]</w:t>
            </w:r>
          </w:p>
        </w:tc>
        <w:tc>
          <w:tcPr>
            <w:tcW w:w="2498" w:type="dxa"/>
            <w:shd w:val="clear" w:color="auto" w:fill="FFFFFF" w:themeFill="background1"/>
            <w:tcMar>
              <w:top w:w="55" w:type="dxa"/>
              <w:left w:w="65" w:type="dxa"/>
              <w:bottom w:w="55" w:type="dxa"/>
              <w:right w:w="65" w:type="dxa"/>
            </w:tcMar>
            <w:vAlign w:val="center"/>
          </w:tcPr>
          <w:p w14:paraId="15918389" w14:textId="77777777" w:rsidR="00B86945" w:rsidRPr="0026008E" w:rsidRDefault="00000000">
            <w:pPr>
              <w:jc w:val="center"/>
              <w:rPr>
                <w:szCs w:val="28"/>
              </w:rPr>
            </w:pPr>
            <w:r w:rsidRPr="0026008E">
              <w:rPr>
                <w:szCs w:val="28"/>
              </w:rPr>
              <w:t>0.829 [0.781, 0.869]</w:t>
            </w:r>
          </w:p>
        </w:tc>
      </w:tr>
      <w:tr w:rsidR="00B86945" w:rsidRPr="0026008E" w14:paraId="1F176480" w14:textId="77777777" w:rsidTr="0026008E">
        <w:tc>
          <w:tcPr>
            <w:tcW w:w="2498" w:type="dxa"/>
            <w:tcBorders>
              <w:bottom w:val="single" w:sz="4" w:space="0" w:color="auto"/>
            </w:tcBorders>
            <w:shd w:val="clear" w:color="auto" w:fill="FFFFFF" w:themeFill="background1"/>
            <w:tcMar>
              <w:top w:w="55" w:type="dxa"/>
              <w:left w:w="65" w:type="dxa"/>
              <w:bottom w:w="55" w:type="dxa"/>
              <w:right w:w="65" w:type="dxa"/>
            </w:tcMar>
            <w:vAlign w:val="center"/>
          </w:tcPr>
          <w:p w14:paraId="01A4ACC0" w14:textId="77777777" w:rsidR="00B86945" w:rsidRPr="0026008E" w:rsidRDefault="00000000">
            <w:pPr>
              <w:rPr>
                <w:szCs w:val="28"/>
              </w:rPr>
            </w:pPr>
            <w:r w:rsidRPr="0026008E">
              <w:rPr>
                <w:szCs w:val="28"/>
              </w:rPr>
              <w:t>DINOv2 ViT-S/14</w:t>
            </w:r>
          </w:p>
        </w:tc>
        <w:tc>
          <w:tcPr>
            <w:tcW w:w="2498" w:type="dxa"/>
            <w:tcBorders>
              <w:bottom w:val="single" w:sz="4" w:space="0" w:color="auto"/>
            </w:tcBorders>
            <w:shd w:val="clear" w:color="auto" w:fill="FFFFFF" w:themeFill="background1"/>
            <w:tcMar>
              <w:top w:w="55" w:type="dxa"/>
              <w:left w:w="65" w:type="dxa"/>
              <w:bottom w:w="55" w:type="dxa"/>
              <w:right w:w="65" w:type="dxa"/>
            </w:tcMar>
            <w:vAlign w:val="center"/>
          </w:tcPr>
          <w:p w14:paraId="2583E472" w14:textId="77777777" w:rsidR="00B86945" w:rsidRPr="0026008E" w:rsidRDefault="00000000">
            <w:pPr>
              <w:jc w:val="center"/>
              <w:rPr>
                <w:szCs w:val="28"/>
              </w:rPr>
            </w:pPr>
            <w:r w:rsidRPr="0026008E">
              <w:rPr>
                <w:szCs w:val="28"/>
              </w:rPr>
              <w:t>End-to-end J₈→L</w:t>
            </w:r>
          </w:p>
        </w:tc>
        <w:tc>
          <w:tcPr>
            <w:tcW w:w="2498" w:type="dxa"/>
            <w:tcBorders>
              <w:bottom w:val="single" w:sz="4" w:space="0" w:color="auto"/>
            </w:tcBorders>
            <w:shd w:val="clear" w:color="auto" w:fill="FFFFFF" w:themeFill="background1"/>
            <w:tcMar>
              <w:top w:w="55" w:type="dxa"/>
              <w:left w:w="65" w:type="dxa"/>
              <w:bottom w:w="55" w:type="dxa"/>
              <w:right w:w="65" w:type="dxa"/>
            </w:tcMar>
            <w:vAlign w:val="center"/>
          </w:tcPr>
          <w:p w14:paraId="4FDFA0B6" w14:textId="77777777" w:rsidR="00B86945" w:rsidRPr="0026008E" w:rsidRDefault="00000000">
            <w:pPr>
              <w:jc w:val="center"/>
              <w:rPr>
                <w:szCs w:val="28"/>
              </w:rPr>
            </w:pPr>
            <w:r w:rsidRPr="0026008E">
              <w:rPr>
                <w:szCs w:val="28"/>
              </w:rPr>
              <w:t>0.946 [0.941, 0.952]</w:t>
            </w:r>
          </w:p>
        </w:tc>
        <w:tc>
          <w:tcPr>
            <w:tcW w:w="2498" w:type="dxa"/>
            <w:tcBorders>
              <w:bottom w:val="single" w:sz="4" w:space="0" w:color="auto"/>
            </w:tcBorders>
            <w:shd w:val="clear" w:color="auto" w:fill="FFFFFF" w:themeFill="background1"/>
            <w:tcMar>
              <w:top w:w="55" w:type="dxa"/>
              <w:left w:w="65" w:type="dxa"/>
              <w:bottom w:w="55" w:type="dxa"/>
              <w:right w:w="65" w:type="dxa"/>
            </w:tcMar>
            <w:vAlign w:val="center"/>
          </w:tcPr>
          <w:p w14:paraId="51254D68" w14:textId="77777777" w:rsidR="00B86945" w:rsidRPr="0026008E" w:rsidRDefault="00000000">
            <w:pPr>
              <w:jc w:val="center"/>
              <w:rPr>
                <w:szCs w:val="28"/>
              </w:rPr>
            </w:pPr>
            <w:r w:rsidRPr="0026008E">
              <w:rPr>
                <w:szCs w:val="28"/>
              </w:rPr>
              <w:t>0.944 [0.932, 0.956]</w:t>
            </w:r>
          </w:p>
        </w:tc>
      </w:tr>
    </w:tbl>
    <w:p w14:paraId="5F77548B" w14:textId="77777777" w:rsidR="00B86945" w:rsidRDefault="00B86945">
      <w:pPr>
        <w:spacing w:after="20"/>
      </w:pPr>
    </w:p>
    <w:p w14:paraId="7FF354B9" w14:textId="77777777" w:rsidR="00B86945" w:rsidRDefault="00000000">
      <w:pPr>
        <w:spacing w:after="100" w:line="259" w:lineRule="auto"/>
      </w:pPr>
      <w:r>
        <w:t>Within-family correlations are retained in the extension output directory. They vary substantially and include weak or negative values; the aggregate result therefore applies to the fixed mixed perturbation distribution. The source manifest records that the local operator averages over the 20-image reference batch while the end-to-end Jacobian is linearized at the first image.</w:t>
      </w:r>
    </w:p>
    <w:p w14:paraId="3506438E" w14:textId="77777777" w:rsidR="00B86945" w:rsidRDefault="00000000">
      <w:pPr>
        <w:spacing w:after="100" w:line="259" w:lineRule="auto"/>
      </w:pPr>
      <w:r>
        <w:t>The joint token–feature grid uses the same perturbation definition and logit outcome as main Figure 6. The primary depth grid contains DeiT-Small at Blocks 5, 8, and 10 and ViT-B/16 AugReg at Blocks 5, 7, and 10. Each model uses the same 100 calibration images to construct the covariance and margin-gradient directions and to evaluate the perturbation outcomes. DeiT-Tiny and DINOv2 have reduced Block-8 replications only; these are not included in the full-factorial depth grid.</w:t>
      </w:r>
    </w:p>
    <w:p w14:paraId="4C5A6C49" w14:textId="77777777" w:rsidR="00B86945" w:rsidRDefault="00000000">
      <w:pPr>
        <w:keepNext/>
        <w:keepLines/>
        <w:spacing w:after="20"/>
        <w:jc w:val="center"/>
      </w:pPr>
      <w:r>
        <w:rPr>
          <w:noProof/>
        </w:rPr>
        <w:lastRenderedPageBreak/>
        <w:drawing>
          <wp:inline distT="0" distB="0" distL="0" distR="0" wp14:anchorId="098B7CB3" wp14:editId="473B829E">
            <wp:extent cx="6172200" cy="44216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4_joint_stream_geometry.png"/>
                    <pic:cNvPicPr/>
                  </pic:nvPicPr>
                  <pic:blipFill>
                    <a:blip r:embed="rId17"/>
                    <a:stretch>
                      <a:fillRect/>
                    </a:stretch>
                  </pic:blipFill>
                  <pic:spPr>
                    <a:xfrm>
                      <a:off x="0" y="0"/>
                      <a:ext cx="6172200" cy="4421690"/>
                    </a:xfrm>
                    <a:prstGeom prst="rect">
                      <a:avLst/>
                    </a:prstGeom>
                  </pic:spPr>
                </pic:pic>
              </a:graphicData>
            </a:graphic>
          </wp:inline>
        </w:drawing>
      </w:r>
    </w:p>
    <w:p w14:paraId="43F91438" w14:textId="77777777" w:rsidR="00B86945" w:rsidRDefault="00000000">
      <w:pPr>
        <w:keepLines/>
        <w:spacing w:after="100" w:line="259" w:lineRule="auto"/>
      </w:pPr>
      <w:r>
        <w:rPr>
          <w:b/>
        </w:rPr>
        <w:t>Supplementary Figure S14. Joint token–feature geometry across depth.</w:t>
      </w:r>
      <w:r>
        <w:t xml:space="preserve"> Mean per-image Euclidean final-logit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change at </w:t>
      </w:r>
      <m:oMath>
        <m:r>
          <w:rPr>
            <w:rFonts w:ascii="Cambria Math" w:hAnsi="Cambria Math"/>
          </w:rPr>
          <m:t>s=1.0</m:t>
        </m:r>
      </m:oMath>
      <w:r>
        <w:t xml:space="preserve"> for the eight token patterns and five feature directions in each panel: (a–c) DeiT-Small Blocks 5, 8, and 10; (d–f) ViT-B/16 AugReg Blocks 5, 7, and 10. All panels use one logarithmic color scale shared with main Figure 6. Each panel summarizes the same </w:t>
      </w:r>
      <m:oMath>
        <m:r>
          <w:rPr>
            <w:rFonts w:ascii="Cambria Math" w:hAnsi="Cambria Math"/>
          </w:rPr>
          <m:t>N=100</m:t>
        </m:r>
      </m:oMath>
      <w:r>
        <w:t xml:space="preserve"> calibration images used to construct its directions; these outcomes are within-cohort descriptive summaries. Reduced Block-8 replications in DeiT-Tiny and DINOv2 are reported separately and are not included in this six-panel full-factorial grid.</w:t>
      </w:r>
    </w:p>
    <w:p w14:paraId="4589912B" w14:textId="77777777" w:rsidR="00B86945" w:rsidRDefault="00000000">
      <w:pPr>
        <w:pStyle w:val="Heading1"/>
      </w:pPr>
      <w:r>
        <w:rPr>
          <w:rFonts w:ascii="Times New Roman" w:hAnsi="Times New Roman"/>
        </w:rPr>
        <w:t>S12. Primary Q/K/V projection-path comparison</w:t>
      </w:r>
    </w:p>
    <w:p w14:paraId="4992FCE1" w14:textId="77777777" w:rsidR="00B86945" w:rsidRDefault="00000000">
      <w:pPr>
        <w:spacing w:after="100" w:line="259" w:lineRule="auto"/>
      </w:pPr>
      <w:r>
        <w:t xml:space="preserve">The primary projection-path audit compares V-only and </w:t>
      </w:r>
      <m:oMath>
        <m:r>
          <w:rPr>
            <w:rFonts w:ascii="Cambria Math" w:hAnsi="Cambria Math"/>
          </w:rPr>
          <m:t>K+V</m:t>
        </m:r>
      </m:oMath>
      <w:r>
        <w:t xml:space="preserve"> interventions for DeiT-Small at Block 8 and ViT-B/16 AugReg at Block 7. V-only perturbs </w:t>
      </w:r>
      <m:oMath>
        <m:r>
          <w:rPr>
            <w:rFonts w:ascii="Cambria Math" w:hAnsi="Cambria Math"/>
          </w:rPr>
          <m:t>V</m:t>
        </m:r>
      </m:oMath>
      <w:r>
        <w:t xml:space="preserve"> while keeping </w:t>
      </w:r>
      <m:oMath>
        <m:r>
          <w:rPr>
            <w:rFonts w:ascii="Cambria Math" w:hAnsi="Cambria Math"/>
          </w:rPr>
          <m:t>Q</m:t>
        </m:r>
      </m:oMath>
      <w:r>
        <w:t xml:space="preserve">, </w:t>
      </w:r>
      <m:oMath>
        <m:r>
          <w:rPr>
            <w:rFonts w:ascii="Cambria Math" w:hAnsi="Cambria Math"/>
          </w:rPr>
          <m:t>K</m:t>
        </m:r>
      </m:oMath>
      <w:r>
        <w:t xml:space="preserve">, and the residual clean. </w:t>
      </w:r>
      <m:oMath>
        <m:r>
          <w:rPr>
            <w:rFonts w:ascii="Cambria Math" w:hAnsi="Cambria Math"/>
          </w:rPr>
          <m:t>K+V</m:t>
        </m:r>
      </m:oMath>
      <w:r>
        <w:t xml:space="preserve"> perturbs </w:t>
      </w:r>
      <m:oMath>
        <m:r>
          <w:rPr>
            <w:rFonts w:ascii="Cambria Math" w:hAnsi="Cambria Math"/>
          </w:rPr>
          <m:t>K</m:t>
        </m:r>
      </m:oMath>
      <w:r>
        <w:t xml:space="preserve"> and </w:t>
      </w:r>
      <m:oMath>
        <m:r>
          <w:rPr>
            <w:rFonts w:ascii="Cambria Math" w:hAnsi="Cambria Math"/>
          </w:rPr>
          <m:t>V</m:t>
        </m:r>
      </m:oMath>
      <w:r>
        <w:t xml:space="preserve"> while keeping </w:t>
      </w:r>
      <m:oMath>
        <m:r>
          <w:rPr>
            <w:rFonts w:ascii="Cambria Math" w:hAnsi="Cambria Math"/>
          </w:rPr>
          <m:t>Q</m:t>
        </m:r>
      </m:oMath>
      <w:r>
        <w:t xml:space="preserve"> and the residual clean, and recomputes attention. Both conditions use the same </w:t>
      </w:r>
      <m:oMath>
        <m:r>
          <w:rPr>
            <w:rFonts w:ascii="Cambria Math" w:hAnsi="Cambria Math"/>
          </w:rPr>
          <m:t>N=100</m:t>
        </m:r>
      </m:oMath>
      <w:r>
        <w:t xml:space="preserve"> image cohort and the same mean per-image Euclidean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immediate-readout metric. The coherent V-only/</w:t>
      </w:r>
      <m:oMath>
        <m:r>
          <w:rPr>
            <w:rFonts w:ascii="Cambria Math" w:hAnsi="Cambria Math"/>
          </w:rPr>
          <m:t>K+V</m:t>
        </m:r>
      </m:oMath>
      <w:r>
        <w:t xml:space="preserve"> ratios are 97.4% and 99.4%, with </w:t>
      </w:r>
      <m:oMath>
        <m:r>
          <w:rPr>
            <w:rFonts w:ascii="Cambria Math" w:hAnsi="Cambria Math"/>
          </w:rPr>
          <m:t>K+V</m:t>
        </m:r>
      </m:oMath>
      <w:r>
        <w:t xml:space="preserve"> as the denominator. This primary decomposition is available only for these two architectures.</w:t>
      </w:r>
    </w:p>
    <w:p w14:paraId="26FC30E9" w14:textId="77777777" w:rsidR="00B86945" w:rsidRDefault="00000000">
      <w:pPr>
        <w:keepNext/>
        <w:keepLines/>
        <w:spacing w:after="20"/>
        <w:jc w:val="center"/>
      </w:pPr>
      <w:r>
        <w:rPr>
          <w:noProof/>
        </w:rPr>
        <w:lastRenderedPageBreak/>
        <w:drawing>
          <wp:inline distT="0" distB="0" distL="0" distR="0" wp14:anchorId="510ECBF4" wp14:editId="3FB32057">
            <wp:extent cx="6172200" cy="245970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2_primary_qkv_decomposition.png"/>
                    <pic:cNvPicPr/>
                  </pic:nvPicPr>
                  <pic:blipFill>
                    <a:blip r:embed="rId18"/>
                    <a:stretch>
                      <a:fillRect/>
                    </a:stretch>
                  </pic:blipFill>
                  <pic:spPr>
                    <a:xfrm>
                      <a:off x="0" y="0"/>
                      <a:ext cx="6172200" cy="2459702"/>
                    </a:xfrm>
                    <a:prstGeom prst="rect">
                      <a:avLst/>
                    </a:prstGeom>
                  </pic:spPr>
                </pic:pic>
              </a:graphicData>
            </a:graphic>
          </wp:inline>
        </w:drawing>
      </w:r>
    </w:p>
    <w:p w14:paraId="33ED2713" w14:textId="77777777" w:rsidR="00B86945" w:rsidRDefault="00000000">
      <w:pPr>
        <w:keepLines/>
        <w:spacing w:after="100" w:line="259" w:lineRule="auto"/>
      </w:pPr>
      <w:r>
        <w:rPr>
          <w:b/>
        </w:rPr>
        <w:t>Supplementary Figure S12.</w:t>
      </w:r>
      <w:r>
        <w:t xml:space="preserve"> Mean per-image Euclidean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change in the immediate readout for V-only and </w:t>
      </w:r>
      <m:oMath>
        <m:r>
          <w:rPr>
            <w:rFonts w:ascii="Cambria Math" w:hAnsi="Cambria Math"/>
          </w:rPr>
          <m:t>K+V</m:t>
        </m:r>
      </m:oMath>
      <w:r>
        <w:t xml:space="preserve"> at (a) DeiT-Small, Block 8, and (b) ViT-B/16 AugReg, Block 7. V-only perturbs </w:t>
      </w:r>
      <m:oMath>
        <m:r>
          <w:rPr>
            <w:rFonts w:ascii="Cambria Math" w:hAnsi="Cambria Math"/>
          </w:rPr>
          <m:t>V</m:t>
        </m:r>
      </m:oMath>
      <w:r>
        <w:t xml:space="preserve"> with clean </w:t>
      </w:r>
      <m:oMath>
        <m:r>
          <w:rPr>
            <w:rFonts w:ascii="Cambria Math" w:hAnsi="Cambria Math"/>
          </w:rPr>
          <m:t>Q</m:t>
        </m:r>
      </m:oMath>
      <w:r>
        <w:t xml:space="preserve">, </w:t>
      </w:r>
      <m:oMath>
        <m:r>
          <w:rPr>
            <w:rFonts w:ascii="Cambria Math" w:hAnsi="Cambria Math"/>
          </w:rPr>
          <m:t>K</m:t>
        </m:r>
      </m:oMath>
      <w:r>
        <w:t xml:space="preserve">, and residual; </w:t>
      </w:r>
      <m:oMath>
        <m:r>
          <w:rPr>
            <w:rFonts w:ascii="Cambria Math" w:hAnsi="Cambria Math"/>
          </w:rPr>
          <m:t>K+V</m:t>
        </m:r>
      </m:oMath>
      <w:r>
        <w:t xml:space="preserve"> perturbs </w:t>
      </w:r>
      <m:oMath>
        <m:r>
          <w:rPr>
            <w:rFonts w:ascii="Cambria Math" w:hAnsi="Cambria Math"/>
          </w:rPr>
          <m:t>K,V</m:t>
        </m:r>
      </m:oMath>
      <w:r>
        <w:t xml:space="preserve"> with clean </w:t>
      </w:r>
      <m:oMath>
        <m:r>
          <w:rPr>
            <w:rFonts w:ascii="Cambria Math" w:hAnsi="Cambria Math"/>
          </w:rPr>
          <m:t>Q</m:t>
        </m:r>
      </m:oMath>
      <w:r>
        <w:t xml:space="preserve"> and residual and recomputes attention. Coherent, random-sign, and checkerboard patterns are shown in that order. Each panel uses its own y-axis scale; </w:t>
      </w:r>
      <m:oMath>
        <m:r>
          <w:rPr>
            <w:rFonts w:ascii="Cambria Math" w:hAnsi="Cambria Math"/>
          </w:rPr>
          <m:t>N=100</m:t>
        </m:r>
      </m:oMath>
      <w:r>
        <w:t xml:space="preserve"> outcome images per model.</w:t>
      </w:r>
    </w:p>
    <w:p w14:paraId="2C00C1DF" w14:textId="77777777" w:rsidR="00B86945" w:rsidRDefault="00000000">
      <w:pPr>
        <w:spacing w:after="100" w:line="259" w:lineRule="auto"/>
      </w:pPr>
      <w:r>
        <w:t>The signed true-class logit drop is the clean target-class logit minus the perturbed target-class logit, averaged across the same (N=100) outcome images. For condition (c), we define</w:t>
      </w:r>
    </w:p>
    <w:p w14:paraId="341A43CE" w14:textId="77777777" w:rsidR="00B86945" w:rsidRDefault="00000000">
      <w:pPr>
        <w:spacing w:after="100" w:line="259" w:lineRule="auto"/>
      </w:pPr>
      <w:r>
        <w:rPr>
          <w:b/>
        </w:rPr>
        <w:t>Contrast(c)</w:t>
      </w:r>
      <w:r>
        <w:t xml:space="preserve"> = mean true-class logit drop (coherent, c) − mean true-class logit drop (random-sign, c).</w:t>
      </w:r>
    </w:p>
    <w:p w14:paraId="6EA80DB9" w14:textId="77777777" w:rsidR="00B86945" w:rsidRDefault="00000000">
      <w:pPr>
        <w:spacing w:after="100" w:line="259" w:lineRule="auto"/>
      </w:pPr>
      <w:r>
        <w:t>and report</w:t>
      </w:r>
    </w:p>
    <w:p w14:paraId="402374E2" w14:textId="77777777" w:rsidR="00B86945" w:rsidRDefault="00000000">
      <w:pPr>
        <w:spacing w:after="100" w:line="259" w:lineRule="auto"/>
      </w:pPr>
      <w:r>
        <w:rPr>
          <w:b/>
        </w:rPr>
        <w:t>Ratio (%)</w:t>
      </w:r>
      <w:r>
        <w:t xml:space="preserve"> = 100 × Contrast(frozen-attention V-only with perturbed residual) / Contrast(full perturbation).</w:t>
      </w:r>
    </w:p>
    <w:p w14:paraId="2B47D38D" w14:textId="77777777" w:rsidR="00B86945" w:rsidRDefault="00000000">
      <w:pPr>
        <w:spacing w:after="100" w:line="259" w:lineRule="auto"/>
      </w:pPr>
      <w:r>
        <w:t xml:space="preserve">The contrasts use </w:t>
      </w:r>
      <w:r>
        <w:rPr>
          <w:rFonts w:ascii="Consolas" w:hAnsi="Consolas"/>
          <w:color w:val="34495E"/>
          <w:sz w:val="18"/>
        </w:rPr>
        <w:t>feature_dir=jac_top</w:t>
      </w:r>
      <w:r>
        <w:t xml:space="preserve"> and (s=1.0). Both ViT-B/16 AugReg contrasts are negative. Its 102.2% ratio is the quotient of these two signed contrasts; it does not indicate more than 100% causal contribution because the interventions are not additive causal components.</w:t>
      </w:r>
    </w:p>
    <w:p w14:paraId="7D8B8CB4" w14:textId="77777777" w:rsidR="00B86945" w:rsidRDefault="00000000">
      <w:pPr>
        <w:keepLines/>
        <w:spacing w:after="80"/>
        <w:jc w:val="center"/>
      </w:pPr>
      <w:r>
        <w:rPr>
          <w:i/>
          <w:color w:val="4C5963"/>
          <w:sz w:val="17"/>
        </w:rPr>
        <w:t>Table S4. Signed true-class logit-drop contrasts for the primary Value-path audit.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99"/>
        <w:gridCol w:w="1999"/>
        <w:gridCol w:w="1999"/>
        <w:gridCol w:w="1999"/>
        <w:gridCol w:w="1999"/>
      </w:tblGrid>
      <w:tr w:rsidR="00B86945" w:rsidRPr="0026008E" w14:paraId="468C8140" w14:textId="77777777" w:rsidTr="0026008E">
        <w:trPr>
          <w:tblHeader/>
        </w:trPr>
        <w:tc>
          <w:tcPr>
            <w:tcW w:w="1999" w:type="dxa"/>
            <w:tcBorders>
              <w:top w:val="single" w:sz="4" w:space="0" w:color="auto"/>
              <w:bottom w:val="single" w:sz="4" w:space="0" w:color="auto"/>
            </w:tcBorders>
            <w:shd w:val="clear" w:color="auto" w:fill="FFFFFF" w:themeFill="background1"/>
            <w:tcMar>
              <w:top w:w="55" w:type="dxa"/>
              <w:left w:w="65" w:type="dxa"/>
              <w:bottom w:w="55" w:type="dxa"/>
              <w:right w:w="65" w:type="dxa"/>
            </w:tcMar>
            <w:vAlign w:val="center"/>
          </w:tcPr>
          <w:p w14:paraId="6DA1D657" w14:textId="77777777" w:rsidR="00B86945" w:rsidRPr="0026008E" w:rsidRDefault="00000000">
            <w:pPr>
              <w:jc w:val="center"/>
              <w:rPr>
                <w:szCs w:val="28"/>
              </w:rPr>
            </w:pPr>
            <w:r w:rsidRPr="0026008E">
              <w:rPr>
                <w:b/>
                <w:color w:val="17232D"/>
                <w:szCs w:val="28"/>
              </w:rPr>
              <w:t>Model</w:t>
            </w:r>
          </w:p>
        </w:tc>
        <w:tc>
          <w:tcPr>
            <w:tcW w:w="1999" w:type="dxa"/>
            <w:tcBorders>
              <w:top w:val="single" w:sz="4" w:space="0" w:color="auto"/>
              <w:bottom w:val="single" w:sz="4" w:space="0" w:color="auto"/>
            </w:tcBorders>
            <w:shd w:val="clear" w:color="auto" w:fill="FFFFFF" w:themeFill="background1"/>
            <w:tcMar>
              <w:top w:w="55" w:type="dxa"/>
              <w:left w:w="65" w:type="dxa"/>
              <w:bottom w:w="55" w:type="dxa"/>
              <w:right w:w="65" w:type="dxa"/>
            </w:tcMar>
            <w:vAlign w:val="center"/>
          </w:tcPr>
          <w:p w14:paraId="74A8B8AB" w14:textId="77777777" w:rsidR="00B86945" w:rsidRPr="0026008E" w:rsidRDefault="00000000">
            <w:pPr>
              <w:jc w:val="center"/>
              <w:rPr>
                <w:szCs w:val="28"/>
              </w:rPr>
            </w:pPr>
            <w:r w:rsidRPr="0026008E">
              <w:rPr>
                <w:b/>
                <w:color w:val="17232D"/>
                <w:szCs w:val="28"/>
              </w:rPr>
              <w:t>Intervention depth</w:t>
            </w:r>
          </w:p>
        </w:tc>
        <w:tc>
          <w:tcPr>
            <w:tcW w:w="1999" w:type="dxa"/>
            <w:tcBorders>
              <w:top w:val="single" w:sz="4" w:space="0" w:color="auto"/>
              <w:bottom w:val="single" w:sz="4" w:space="0" w:color="auto"/>
            </w:tcBorders>
            <w:shd w:val="clear" w:color="auto" w:fill="FFFFFF" w:themeFill="background1"/>
            <w:tcMar>
              <w:top w:w="55" w:type="dxa"/>
              <w:left w:w="65" w:type="dxa"/>
              <w:bottom w:w="55" w:type="dxa"/>
              <w:right w:w="65" w:type="dxa"/>
            </w:tcMar>
            <w:vAlign w:val="center"/>
          </w:tcPr>
          <w:p w14:paraId="07C17C13" w14:textId="77777777" w:rsidR="00B86945" w:rsidRPr="0026008E" w:rsidRDefault="00000000">
            <w:pPr>
              <w:jc w:val="center"/>
              <w:rPr>
                <w:szCs w:val="28"/>
              </w:rPr>
            </w:pPr>
            <w:r w:rsidRPr="0026008E">
              <w:rPr>
                <w:b/>
                <w:color w:val="17232D"/>
                <w:szCs w:val="28"/>
              </w:rPr>
              <w:t>Full-block coherent-minus-random-sign contrast</w:t>
            </w:r>
          </w:p>
        </w:tc>
        <w:tc>
          <w:tcPr>
            <w:tcW w:w="1999" w:type="dxa"/>
            <w:tcBorders>
              <w:top w:val="single" w:sz="4" w:space="0" w:color="auto"/>
              <w:bottom w:val="single" w:sz="4" w:space="0" w:color="auto"/>
            </w:tcBorders>
            <w:shd w:val="clear" w:color="auto" w:fill="FFFFFF" w:themeFill="background1"/>
            <w:tcMar>
              <w:top w:w="55" w:type="dxa"/>
              <w:left w:w="65" w:type="dxa"/>
              <w:bottom w:w="55" w:type="dxa"/>
              <w:right w:w="65" w:type="dxa"/>
            </w:tcMar>
            <w:vAlign w:val="center"/>
          </w:tcPr>
          <w:p w14:paraId="24C1936F" w14:textId="77777777" w:rsidR="00B86945" w:rsidRPr="0026008E" w:rsidRDefault="00000000">
            <w:pPr>
              <w:jc w:val="center"/>
              <w:rPr>
                <w:szCs w:val="28"/>
              </w:rPr>
            </w:pPr>
            <w:r w:rsidRPr="0026008E">
              <w:rPr>
                <w:b/>
                <w:color w:val="17232D"/>
                <w:szCs w:val="28"/>
              </w:rPr>
              <w:t>Frozen-attention V-only with perturbed-residual contrast</w:t>
            </w:r>
          </w:p>
        </w:tc>
        <w:tc>
          <w:tcPr>
            <w:tcW w:w="1999" w:type="dxa"/>
            <w:tcBorders>
              <w:top w:val="single" w:sz="4" w:space="0" w:color="auto"/>
              <w:bottom w:val="single" w:sz="4" w:space="0" w:color="auto"/>
            </w:tcBorders>
            <w:shd w:val="clear" w:color="auto" w:fill="FFFFFF" w:themeFill="background1"/>
            <w:tcMar>
              <w:top w:w="55" w:type="dxa"/>
              <w:left w:w="65" w:type="dxa"/>
              <w:bottom w:w="55" w:type="dxa"/>
              <w:right w:w="65" w:type="dxa"/>
            </w:tcMar>
            <w:vAlign w:val="center"/>
          </w:tcPr>
          <w:p w14:paraId="3141DB72" w14:textId="77777777" w:rsidR="00B86945" w:rsidRPr="0026008E" w:rsidRDefault="00000000">
            <w:pPr>
              <w:jc w:val="center"/>
              <w:rPr>
                <w:szCs w:val="28"/>
              </w:rPr>
            </w:pPr>
            <w:r w:rsidRPr="0026008E">
              <w:rPr>
                <w:b/>
                <w:color w:val="17232D"/>
                <w:szCs w:val="28"/>
              </w:rPr>
              <w:t>Ratio</w:t>
            </w:r>
          </w:p>
        </w:tc>
      </w:tr>
      <w:tr w:rsidR="00B86945" w:rsidRPr="0026008E" w14:paraId="552332C5" w14:textId="77777777" w:rsidTr="0026008E">
        <w:tc>
          <w:tcPr>
            <w:tcW w:w="1999" w:type="dxa"/>
            <w:tcBorders>
              <w:top w:val="single" w:sz="4" w:space="0" w:color="auto"/>
            </w:tcBorders>
            <w:shd w:val="clear" w:color="auto" w:fill="FFFFFF" w:themeFill="background1"/>
            <w:tcMar>
              <w:top w:w="55" w:type="dxa"/>
              <w:left w:w="65" w:type="dxa"/>
              <w:bottom w:w="55" w:type="dxa"/>
              <w:right w:w="65" w:type="dxa"/>
            </w:tcMar>
            <w:vAlign w:val="center"/>
          </w:tcPr>
          <w:p w14:paraId="1747501D" w14:textId="77777777" w:rsidR="00B86945" w:rsidRPr="0026008E" w:rsidRDefault="00000000">
            <w:pPr>
              <w:rPr>
                <w:szCs w:val="28"/>
              </w:rPr>
            </w:pPr>
            <w:r w:rsidRPr="0026008E">
              <w:rPr>
                <w:szCs w:val="28"/>
              </w:rPr>
              <w:t>DeiT-Small</w:t>
            </w:r>
          </w:p>
        </w:tc>
        <w:tc>
          <w:tcPr>
            <w:tcW w:w="1999" w:type="dxa"/>
            <w:tcBorders>
              <w:top w:val="single" w:sz="4" w:space="0" w:color="auto"/>
            </w:tcBorders>
            <w:shd w:val="clear" w:color="auto" w:fill="FFFFFF" w:themeFill="background1"/>
            <w:tcMar>
              <w:top w:w="55" w:type="dxa"/>
              <w:left w:w="65" w:type="dxa"/>
              <w:bottom w:w="55" w:type="dxa"/>
              <w:right w:w="65" w:type="dxa"/>
            </w:tcMar>
            <w:vAlign w:val="center"/>
          </w:tcPr>
          <w:p w14:paraId="25D9368A" w14:textId="77777777" w:rsidR="00B86945" w:rsidRPr="0026008E" w:rsidRDefault="00000000">
            <w:pPr>
              <w:jc w:val="center"/>
              <w:rPr>
                <w:szCs w:val="28"/>
              </w:rPr>
            </w:pPr>
            <w:r w:rsidRPr="0026008E">
              <w:rPr>
                <w:szCs w:val="28"/>
              </w:rPr>
              <w:t>Block 8</w:t>
            </w:r>
          </w:p>
        </w:tc>
        <w:tc>
          <w:tcPr>
            <w:tcW w:w="1999" w:type="dxa"/>
            <w:tcBorders>
              <w:top w:val="single" w:sz="4" w:space="0" w:color="auto"/>
            </w:tcBorders>
            <w:shd w:val="clear" w:color="auto" w:fill="FFFFFF" w:themeFill="background1"/>
            <w:tcMar>
              <w:top w:w="55" w:type="dxa"/>
              <w:left w:w="65" w:type="dxa"/>
              <w:bottom w:w="55" w:type="dxa"/>
              <w:right w:w="65" w:type="dxa"/>
            </w:tcMar>
            <w:vAlign w:val="center"/>
          </w:tcPr>
          <w:p w14:paraId="190E02FC" w14:textId="77777777" w:rsidR="00B86945" w:rsidRPr="0026008E" w:rsidRDefault="00000000">
            <w:pPr>
              <w:jc w:val="center"/>
              <w:rPr>
                <w:szCs w:val="28"/>
              </w:rPr>
            </w:pPr>
            <w:r w:rsidRPr="0026008E">
              <w:rPr>
                <w:szCs w:val="28"/>
              </w:rPr>
              <w:t>+0.006282993</w:t>
            </w:r>
          </w:p>
        </w:tc>
        <w:tc>
          <w:tcPr>
            <w:tcW w:w="1999" w:type="dxa"/>
            <w:tcBorders>
              <w:top w:val="single" w:sz="4" w:space="0" w:color="auto"/>
            </w:tcBorders>
            <w:shd w:val="clear" w:color="auto" w:fill="FFFFFF" w:themeFill="background1"/>
            <w:tcMar>
              <w:top w:w="55" w:type="dxa"/>
              <w:left w:w="65" w:type="dxa"/>
              <w:bottom w:w="55" w:type="dxa"/>
              <w:right w:w="65" w:type="dxa"/>
            </w:tcMar>
            <w:vAlign w:val="center"/>
          </w:tcPr>
          <w:p w14:paraId="49952F86" w14:textId="77777777" w:rsidR="00B86945" w:rsidRPr="0026008E" w:rsidRDefault="00000000">
            <w:pPr>
              <w:jc w:val="center"/>
              <w:rPr>
                <w:szCs w:val="28"/>
              </w:rPr>
            </w:pPr>
            <w:r w:rsidRPr="0026008E">
              <w:rPr>
                <w:szCs w:val="28"/>
              </w:rPr>
              <w:t>+0.004448350</w:t>
            </w:r>
          </w:p>
        </w:tc>
        <w:tc>
          <w:tcPr>
            <w:tcW w:w="1999" w:type="dxa"/>
            <w:tcBorders>
              <w:top w:val="single" w:sz="4" w:space="0" w:color="auto"/>
            </w:tcBorders>
            <w:shd w:val="clear" w:color="auto" w:fill="FFFFFF" w:themeFill="background1"/>
            <w:tcMar>
              <w:top w:w="55" w:type="dxa"/>
              <w:left w:w="65" w:type="dxa"/>
              <w:bottom w:w="55" w:type="dxa"/>
              <w:right w:w="65" w:type="dxa"/>
            </w:tcMar>
            <w:vAlign w:val="center"/>
          </w:tcPr>
          <w:p w14:paraId="7B4D076F" w14:textId="77777777" w:rsidR="00B86945" w:rsidRPr="0026008E" w:rsidRDefault="00000000">
            <w:pPr>
              <w:jc w:val="center"/>
              <w:rPr>
                <w:szCs w:val="28"/>
              </w:rPr>
            </w:pPr>
            <w:r w:rsidRPr="0026008E">
              <w:rPr>
                <w:szCs w:val="28"/>
              </w:rPr>
              <w:t>70.8%</w:t>
            </w:r>
          </w:p>
        </w:tc>
      </w:tr>
      <w:tr w:rsidR="00B86945" w:rsidRPr="0026008E" w14:paraId="3C75F826" w14:textId="77777777" w:rsidTr="0026008E">
        <w:tc>
          <w:tcPr>
            <w:tcW w:w="1999" w:type="dxa"/>
            <w:shd w:val="clear" w:color="auto" w:fill="FFFFFF" w:themeFill="background1"/>
            <w:tcMar>
              <w:top w:w="55" w:type="dxa"/>
              <w:left w:w="65" w:type="dxa"/>
              <w:bottom w:w="55" w:type="dxa"/>
              <w:right w:w="65" w:type="dxa"/>
            </w:tcMar>
            <w:vAlign w:val="center"/>
          </w:tcPr>
          <w:p w14:paraId="425F9CBD" w14:textId="77777777" w:rsidR="00B86945" w:rsidRPr="0026008E" w:rsidRDefault="00000000">
            <w:pPr>
              <w:rPr>
                <w:szCs w:val="28"/>
              </w:rPr>
            </w:pPr>
            <w:r w:rsidRPr="0026008E">
              <w:rPr>
                <w:szCs w:val="28"/>
              </w:rPr>
              <w:t>ViT-B/16 AugReg</w:t>
            </w:r>
          </w:p>
        </w:tc>
        <w:tc>
          <w:tcPr>
            <w:tcW w:w="1999" w:type="dxa"/>
            <w:shd w:val="clear" w:color="auto" w:fill="FFFFFF" w:themeFill="background1"/>
            <w:tcMar>
              <w:top w:w="55" w:type="dxa"/>
              <w:left w:w="65" w:type="dxa"/>
              <w:bottom w:w="55" w:type="dxa"/>
              <w:right w:w="65" w:type="dxa"/>
            </w:tcMar>
            <w:vAlign w:val="center"/>
          </w:tcPr>
          <w:p w14:paraId="690CCB16" w14:textId="77777777" w:rsidR="00B86945" w:rsidRPr="0026008E" w:rsidRDefault="00000000">
            <w:pPr>
              <w:jc w:val="center"/>
              <w:rPr>
                <w:szCs w:val="28"/>
              </w:rPr>
            </w:pPr>
            <w:r w:rsidRPr="0026008E">
              <w:rPr>
                <w:szCs w:val="28"/>
              </w:rPr>
              <w:t>Block 7</w:t>
            </w:r>
          </w:p>
        </w:tc>
        <w:tc>
          <w:tcPr>
            <w:tcW w:w="1999" w:type="dxa"/>
            <w:shd w:val="clear" w:color="auto" w:fill="FFFFFF" w:themeFill="background1"/>
            <w:tcMar>
              <w:top w:w="55" w:type="dxa"/>
              <w:left w:w="65" w:type="dxa"/>
              <w:bottom w:w="55" w:type="dxa"/>
              <w:right w:w="65" w:type="dxa"/>
            </w:tcMar>
            <w:vAlign w:val="center"/>
          </w:tcPr>
          <w:p w14:paraId="2AD7EF53" w14:textId="77777777" w:rsidR="00B86945" w:rsidRPr="0026008E" w:rsidRDefault="00000000">
            <w:pPr>
              <w:jc w:val="center"/>
              <w:rPr>
                <w:szCs w:val="28"/>
              </w:rPr>
            </w:pPr>
            <w:r w:rsidRPr="0026008E">
              <w:rPr>
                <w:szCs w:val="28"/>
              </w:rPr>
              <w:t>−0.247199488</w:t>
            </w:r>
          </w:p>
        </w:tc>
        <w:tc>
          <w:tcPr>
            <w:tcW w:w="1999" w:type="dxa"/>
            <w:shd w:val="clear" w:color="auto" w:fill="FFFFFF" w:themeFill="background1"/>
            <w:tcMar>
              <w:top w:w="55" w:type="dxa"/>
              <w:left w:w="65" w:type="dxa"/>
              <w:bottom w:w="55" w:type="dxa"/>
              <w:right w:w="65" w:type="dxa"/>
            </w:tcMar>
            <w:vAlign w:val="center"/>
          </w:tcPr>
          <w:p w14:paraId="3904FEF2" w14:textId="77777777" w:rsidR="00B86945" w:rsidRPr="0026008E" w:rsidRDefault="00000000">
            <w:pPr>
              <w:jc w:val="center"/>
              <w:rPr>
                <w:szCs w:val="28"/>
              </w:rPr>
            </w:pPr>
            <w:r w:rsidRPr="0026008E">
              <w:rPr>
                <w:szCs w:val="28"/>
              </w:rPr>
              <w:t>−0.252697120</w:t>
            </w:r>
          </w:p>
        </w:tc>
        <w:tc>
          <w:tcPr>
            <w:tcW w:w="1999" w:type="dxa"/>
            <w:shd w:val="clear" w:color="auto" w:fill="FFFFFF" w:themeFill="background1"/>
            <w:tcMar>
              <w:top w:w="55" w:type="dxa"/>
              <w:left w:w="65" w:type="dxa"/>
              <w:bottom w:w="55" w:type="dxa"/>
              <w:right w:w="65" w:type="dxa"/>
            </w:tcMar>
            <w:vAlign w:val="center"/>
          </w:tcPr>
          <w:p w14:paraId="0FB561CF" w14:textId="77777777" w:rsidR="00B86945" w:rsidRPr="0026008E" w:rsidRDefault="00000000">
            <w:pPr>
              <w:jc w:val="center"/>
              <w:rPr>
                <w:szCs w:val="28"/>
              </w:rPr>
            </w:pPr>
            <w:r w:rsidRPr="0026008E">
              <w:rPr>
                <w:szCs w:val="28"/>
              </w:rPr>
              <w:t>102.2%</w:t>
            </w:r>
          </w:p>
        </w:tc>
      </w:tr>
    </w:tbl>
    <w:p w14:paraId="14BD9B41" w14:textId="77777777" w:rsidR="00B86945" w:rsidRDefault="00B86945">
      <w:pPr>
        <w:spacing w:after="20"/>
      </w:pPr>
    </w:p>
    <w:p w14:paraId="48F9D119" w14:textId="77777777" w:rsidR="00B86945" w:rsidRDefault="00000000">
      <w:pPr>
        <w:pStyle w:val="Heading1"/>
      </w:pPr>
      <w:r>
        <w:rPr>
          <w:rFonts w:ascii="Times New Roman" w:hAnsi="Times New Roman"/>
        </w:rPr>
        <w:lastRenderedPageBreak/>
        <w:t>S13. Practical Carrier Evaluation and Accuracy–Throughput Boundary</w:t>
      </w:r>
    </w:p>
    <w:p w14:paraId="32D786AC" w14:textId="77777777" w:rsidR="00B86945" w:rsidRDefault="00000000">
      <w:pPr>
        <w:keepNext/>
        <w:spacing w:after="100" w:line="259" w:lineRule="auto"/>
      </w:pPr>
      <w:r>
        <w:t>The held-out classifier-carrier study measures nonlinear accuracy and full-model throughput using calibration-frozen carrier corrections. Its measured frontier contains one narrow ViT-B/16 AugReg q=16 operating point; the result does not imply a general deployment gain.</w:t>
      </w:r>
    </w:p>
    <w:p w14:paraId="11563F1E" w14:textId="77777777" w:rsidR="00B86945" w:rsidRDefault="00000000">
      <w:pPr>
        <w:keepNext/>
        <w:keepLines/>
        <w:spacing w:after="20"/>
        <w:jc w:val="center"/>
      </w:pPr>
      <w:r>
        <w:rPr>
          <w:noProof/>
        </w:rPr>
        <w:drawing>
          <wp:inline distT="0" distB="0" distL="0" distR="0" wp14:anchorId="55EC7522" wp14:editId="6B5676C9">
            <wp:extent cx="6172200" cy="389760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3_real_carrier_boundary.png"/>
                    <pic:cNvPicPr/>
                  </pic:nvPicPr>
                  <pic:blipFill>
                    <a:blip r:embed="rId19"/>
                    <a:stretch>
                      <a:fillRect/>
                    </a:stretch>
                  </pic:blipFill>
                  <pic:spPr>
                    <a:xfrm>
                      <a:off x="0" y="0"/>
                      <a:ext cx="6172200" cy="3897608"/>
                    </a:xfrm>
                    <a:prstGeom prst="rect">
                      <a:avLst/>
                    </a:prstGeom>
                  </pic:spPr>
                </pic:pic>
              </a:graphicData>
            </a:graphic>
          </wp:inline>
        </w:drawing>
      </w:r>
    </w:p>
    <w:p w14:paraId="34C01214" w14:textId="77777777" w:rsidR="00B86945" w:rsidRDefault="00000000">
      <w:pPr>
        <w:keepLines/>
        <w:spacing w:after="100" w:line="259" w:lineRule="auto"/>
      </w:pPr>
      <w:r>
        <w:rPr>
          <w:b/>
        </w:rPr>
        <w:t>Supplementary Figure S13.</w:t>
      </w:r>
      <w:r>
        <w:t xml:space="preserve"> Held-out classifier-carrier accuracy and measured full-model throughput at batch size 64, shown with architecture-specific throughput axes. q=16 contributes a narrow ViT-B/16 AugReg frontier point.</w:t>
      </w:r>
    </w:p>
    <w:p w14:paraId="47825B3D" w14:textId="77777777" w:rsidR="00B86945" w:rsidRDefault="00000000">
      <w:pPr>
        <w:pStyle w:val="Heading2"/>
      </w:pPr>
      <w:r>
        <w:rPr>
          <w:rFonts w:ascii="Times New Roman" w:hAnsi="Times New Roman"/>
        </w:rPr>
        <w:t>S13.1 Calibration-Frozen Feature-PCA Approximation</w:t>
      </w:r>
    </w:p>
    <w:p w14:paraId="6EF3020F" w14:textId="77777777" w:rsidR="00B86945" w:rsidRDefault="00000000">
      <w:pPr>
        <w:spacing w:after="100" w:line="259" w:lineRule="auto"/>
      </w:pPr>
      <w:r>
        <w:t>The Full-J and restricted carrier oracles use image-dependent downstream-Jacobian information to optimize each image's carriers. The classifier approximation instead freezes a feature basis and correction coefficients from calibration data. In the implementation, the feature directions are the leading right singular vectors from an uncentered singular-value decomposition (SVD) of the first 2,000 patch-activation vectors drawn from the first 50 images in the 500-image calibration set (seed 7101). The activations are not mean-centered before the SVD. The resulting q=16 or q=32 directions are shared across carrier groups.</w:t>
      </w:r>
    </w:p>
    <w:p w14:paraId="7BA2DD8D" w14:textId="77777777" w:rsidR="00B86945" w:rsidRDefault="00000000">
      <w:pPr>
        <w:spacing w:after="100" w:line="259" w:lineRule="auto"/>
      </w:pPr>
      <w:r>
        <w:t xml:space="preserve">For each q, restricted-oracle correction coefficients are estimated on calibration images using the fixed-spatial grouping at the configured calibration budget with </w:t>
      </w:r>
      <m:oMath>
        <m:r>
          <w:rPr>
            <w:rFonts w:ascii="Cambria Math" w:hAnsi="Cambria Math"/>
          </w:rPr>
          <m:t>λ=</m:t>
        </m:r>
        <m:sSup>
          <m:sSupPr>
            <m:ctrlPr>
              <w:rPr>
                <w:rFonts w:ascii="Cambria Math" w:hAnsi="Cambria Math"/>
              </w:rPr>
            </m:ctrlPr>
          </m:sSupPr>
          <m:e>
            <m:r>
              <w:rPr>
                <w:rFonts w:ascii="Cambria Math" w:hAnsi="Cambria Math"/>
              </w:rPr>
              <m:t>10</m:t>
            </m:r>
          </m:e>
          <m:sup>
            <m:r>
              <w:rPr>
                <w:rFonts w:ascii="Cambria Math" w:hAnsi="Cambria Math"/>
              </w:rPr>
              <m:t>-3</m:t>
            </m:r>
          </m:sup>
        </m:sSup>
      </m:oMath>
      <w:r>
        <w:t>, then averaged into one q-dimensional coefficient vector. That vector and the feature directions are shared across carrier groups and evaluation images. For each held-out image, the baseline carrier is still image-dependent: it is the mean of that image's patch activations within each fixed spatial group. The frozen correction is added to those image-specific Group Mean carriers, after which the actual model suffix and classifier are evaluated. Evaluation does not fit a per-image Jacobian or use labels to select the correction. This calibration-frozen construction is not the per-image, per-carrier optimization in Equation (9). Implementation sources are scripts/</w:t>
      </w:r>
      <m:oMath>
        <m:sSub>
          <m:sSubPr>
            <m:ctrlPr>
              <w:rPr>
                <w:rFonts w:ascii="Cambria Math" w:hAnsi="Cambria Math"/>
              </w:rPr>
            </m:ctrlPr>
          </m:sSubPr>
          <m:e>
            <m:r>
              <w:rPr>
                <w:rFonts w:ascii="Cambria Math" w:hAnsi="Cambria Math"/>
              </w:rPr>
              <m:t>run</m:t>
            </m:r>
          </m:e>
          <m:sub>
            <m:r>
              <w:rPr>
                <w:rFonts w:ascii="Cambria Math" w:hAnsi="Cambria Math"/>
              </w:rPr>
              <m:t>r</m:t>
            </m:r>
          </m:sub>
        </m:sSub>
        <m:sSub>
          <m:sSubPr>
            <m:ctrlPr>
              <w:rPr>
                <w:rFonts w:ascii="Cambria Math" w:hAnsi="Cambria Math"/>
              </w:rPr>
            </m:ctrlPr>
          </m:sSubPr>
          <m:e>
            <m:r>
              <w:rPr>
                <w:rFonts w:ascii="Cambria Math" w:hAnsi="Cambria Math"/>
              </w:rPr>
              <m:t>eal</m:t>
            </m:r>
          </m:e>
          <m:sub>
            <m:r>
              <w:rPr>
                <w:rFonts w:ascii="Cambria Math" w:hAnsi="Cambria Math"/>
              </w:rPr>
              <m:t>f</m:t>
            </m:r>
          </m:sub>
        </m:sSub>
        <m:sSub>
          <m:sSubPr>
            <m:ctrlPr>
              <w:rPr>
                <w:rFonts w:ascii="Cambria Math" w:hAnsi="Cambria Math"/>
              </w:rPr>
            </m:ctrlPr>
          </m:sSubPr>
          <m:e>
            <m:r>
              <w:rPr>
                <w:rFonts w:ascii="Cambria Math" w:hAnsi="Cambria Math"/>
              </w:rPr>
              <m:t>inal</m:t>
            </m:r>
          </m:e>
          <m:sub>
            <m:r>
              <w:rPr>
                <w:rFonts w:ascii="Cambria Math" w:hAnsi="Cambria Math"/>
              </w:rPr>
              <m:t>a</m:t>
            </m:r>
          </m:sub>
        </m:sSub>
      </m:oMath>
      <w:r>
        <w:t xml:space="preserve">ccuracy.py and </w:t>
      </w:r>
      <m:oMath>
        <m:sSub>
          <m:sSubPr>
            <m:ctrlPr>
              <w:rPr>
                <w:rFonts w:ascii="Cambria Math" w:hAnsi="Cambria Math"/>
              </w:rPr>
            </m:ctrlPr>
          </m:sSubPr>
          <m:e>
            <m:r>
              <w:rPr>
                <w:rFonts w:ascii="Cambria Math" w:hAnsi="Cambria Math"/>
              </w:rPr>
              <m:t>patch</m:t>
            </m:r>
          </m:e>
          <m:sub>
            <m:r>
              <w:rPr>
                <w:rFonts w:ascii="Cambria Math" w:hAnsi="Cambria Math"/>
              </w:rPr>
              <m:t>f</m:t>
            </m:r>
          </m:sub>
        </m:sSub>
      </m:oMath>
      <w:r>
        <w:t>ungibility/</w:t>
      </w:r>
      <m:oMath>
        <m:sSub>
          <m:sSubPr>
            <m:ctrlPr>
              <w:rPr>
                <w:rFonts w:ascii="Cambria Math" w:hAnsi="Cambria Math"/>
              </w:rPr>
            </m:ctrlPr>
          </m:sSubPr>
          <m:e>
            <m:r>
              <w:rPr>
                <w:rFonts w:ascii="Cambria Math" w:hAnsi="Cambria Math"/>
              </w:rPr>
              <m:t>implicit</m:t>
            </m:r>
          </m:e>
          <m:sub>
            <m:r>
              <w:rPr>
                <w:rFonts w:ascii="Cambria Math" w:hAnsi="Cambria Math"/>
              </w:rPr>
              <m:t>c</m:t>
            </m:r>
          </m:sub>
        </m:sSub>
        <m:sSub>
          <m:sSubPr>
            <m:ctrlPr>
              <w:rPr>
                <w:rFonts w:ascii="Cambria Math" w:hAnsi="Cambria Math"/>
              </w:rPr>
            </m:ctrlPr>
          </m:sSubPr>
          <m:e>
            <m:r>
              <w:rPr>
                <w:rFonts w:ascii="Cambria Math" w:hAnsi="Cambria Math"/>
              </w:rPr>
              <m:t>arrier</m:t>
            </m:r>
          </m:e>
          <m:sub>
            <m:r>
              <w:rPr>
                <w:rFonts w:ascii="Cambria Math" w:hAnsi="Cambria Math"/>
              </w:rPr>
              <m:t>o</m:t>
            </m:r>
          </m:sub>
        </m:sSub>
      </m:oMath>
      <w:r>
        <w:t>perator.py.</w:t>
      </w:r>
    </w:p>
    <w:p w14:paraId="321A5DD7" w14:textId="77777777" w:rsidR="00B86945" w:rsidRDefault="00000000">
      <w:pPr>
        <w:spacing w:after="100" w:line="259" w:lineRule="auto"/>
      </w:pPr>
      <w:r>
        <w:t>On DeiT-Small at q=16, the calibration-average correction reduces mean held-out linearized residual ||J E|| from 12.5234 for Group Mean to 9.2724; the per-image restricted q=16 oracle reaches 6.6023. The calibration-frozen correction therefore recovers 54.91% of the restricted-oracle residual reduction in this operator-space audit. A PCA-coordinate shuffling control raises mean ||J E|| from 6.6023 to 8.0763 (Δ=1.4740). These measurements use 500 calibration images and a separate N=100 operator-space evaluation cohort. They describe linearized operator-space residuals, not classifier accuracy or a percentage of classification performance recovered.</w:t>
      </w:r>
    </w:p>
    <w:p w14:paraId="388EBF12" w14:textId="77777777" w:rsidR="00B86945" w:rsidRDefault="00000000">
      <w:pPr>
        <w:pStyle w:val="Heading2"/>
      </w:pPr>
      <w:r>
        <w:rPr>
          <w:rFonts w:ascii="Times New Roman" w:hAnsi="Times New Roman"/>
        </w:rPr>
        <w:lastRenderedPageBreak/>
        <w:t>S13.2 Held-Out Classification and Throughput</w:t>
      </w:r>
    </w:p>
    <w:p w14:paraId="5744F7B2" w14:textId="77777777" w:rsidR="00B86945" w:rsidRDefault="00000000">
      <w:pPr>
        <w:spacing w:after="100" w:line="259" w:lineRule="auto"/>
      </w:pPr>
      <w:r>
        <w:t>The classifier-carrier protocol uses 500 calibration images (seed 7101) and 1,000 held-out classifier images per architecture (seed 9201). The operator-space audit uses its separate 100-image cohort. Section 6's strict confirmatory compression follows its own calibration/evaluation design, including a 1,000-image calibration split (seed 9101) and feature-similarity grouping, whereas this carrier study uses fixed-spatial groups. These protocol-specific outcomes are not pooled, and comparisons across them are not treated as matched-method contrasts.</w:t>
      </w:r>
    </w:p>
    <w:p w14:paraId="0BDF3F8F" w14:textId="77777777" w:rsidR="00B86945" w:rsidRDefault="00000000">
      <w:pPr>
        <w:spacing w:after="100" w:line="259" w:lineRule="auto"/>
      </w:pPr>
      <w:r>
        <w:t>Table S5 reports selected operating points from the evaluated budget grid, not the full grid. The complete real-classifier and measured-frontier results are archived in outputs/</w:t>
      </w:r>
      <m:oMath>
        <m:sSub>
          <m:sSubPr>
            <m:ctrlPr>
              <w:rPr>
                <w:rFonts w:ascii="Cambria Math" w:hAnsi="Cambria Math"/>
              </w:rPr>
            </m:ctrlPr>
          </m:sSubPr>
          <m:e>
            <m:r>
              <w:rPr>
                <w:rFonts w:ascii="Cambria Math" w:hAnsi="Cambria Math"/>
              </w:rPr>
              <m:t>fungibility</m:t>
            </m:r>
          </m:e>
          <m:sub>
            <m:r>
              <w:rPr>
                <w:rFonts w:ascii="Cambria Math" w:hAnsi="Cambria Math"/>
              </w:rPr>
              <m:t>r</m:t>
            </m:r>
          </m:sub>
        </m:sSub>
        <m:sSub>
          <m:sSubPr>
            <m:ctrlPr>
              <w:rPr>
                <w:rFonts w:ascii="Cambria Math" w:hAnsi="Cambria Math"/>
              </w:rPr>
            </m:ctrlPr>
          </m:sSubPr>
          <m:e>
            <m:r>
              <w:rPr>
                <w:rFonts w:ascii="Cambria Math" w:hAnsi="Cambria Math"/>
              </w:rPr>
              <m:t>eal</m:t>
            </m:r>
          </m:e>
          <m:sub>
            <m:r>
              <w:rPr>
                <w:rFonts w:ascii="Cambria Math" w:hAnsi="Cambria Math"/>
              </w:rPr>
              <m:t>f</m:t>
            </m:r>
          </m:sub>
        </m:sSub>
      </m:oMath>
      <w:r>
        <w:t>inal/</w:t>
      </w:r>
      <m:oMath>
        <m:sSub>
          <m:sSubPr>
            <m:ctrlPr>
              <w:rPr>
                <w:rFonts w:ascii="Cambria Math" w:hAnsi="Cambria Math"/>
              </w:rPr>
            </m:ctrlPr>
          </m:sSubPr>
          <m:e>
            <m:r>
              <w:rPr>
                <w:rFonts w:ascii="Cambria Math" w:hAnsi="Cambria Math"/>
              </w:rPr>
              <m:t>real</m:t>
            </m:r>
          </m:e>
          <m:sub>
            <m:r>
              <w:rPr>
                <w:rFonts w:ascii="Cambria Math" w:hAnsi="Cambria Math"/>
              </w:rPr>
              <m:t>a</m:t>
            </m:r>
          </m:sub>
        </m:sSub>
        <m:sSub>
          <m:sSubPr>
            <m:ctrlPr>
              <w:rPr>
                <w:rFonts w:ascii="Cambria Math" w:hAnsi="Cambria Math"/>
              </w:rPr>
            </m:ctrlPr>
          </m:sSubPr>
          <m:e>
            <m:r>
              <w:rPr>
                <w:rFonts w:ascii="Cambria Math" w:hAnsi="Cambria Math"/>
              </w:rPr>
              <m:t>ccuracy</m:t>
            </m:r>
          </m:e>
          <m:sub>
            <m:r>
              <w:rPr>
                <w:rFonts w:ascii="Cambria Math" w:hAnsi="Cambria Math"/>
              </w:rPr>
              <m:t>s</m:t>
            </m:r>
          </m:sub>
        </m:sSub>
      </m:oMath>
      <w:r>
        <w:t xml:space="preserve">ummary.csv, </w:t>
      </w:r>
      <m:oMath>
        <m:sSub>
          <m:sSubPr>
            <m:ctrlPr>
              <w:rPr>
                <w:rFonts w:ascii="Cambria Math" w:hAnsi="Cambria Math"/>
              </w:rPr>
            </m:ctrlPr>
          </m:sSubPr>
          <m:e>
            <m:r>
              <w:rPr>
                <w:rFonts w:ascii="Cambria Math" w:hAnsi="Cambria Math"/>
              </w:rPr>
              <m:t>real</m:t>
            </m:r>
          </m:e>
          <m:sub>
            <m:r>
              <w:rPr>
                <w:rFonts w:ascii="Cambria Math" w:hAnsi="Cambria Math"/>
              </w:rPr>
              <m:t>a</m:t>
            </m:r>
          </m:sub>
        </m:sSub>
        <m:sSub>
          <m:sSubPr>
            <m:ctrlPr>
              <w:rPr>
                <w:rFonts w:ascii="Cambria Math" w:hAnsi="Cambria Math"/>
              </w:rPr>
            </m:ctrlPr>
          </m:sSubPr>
          <m:e>
            <m:r>
              <w:rPr>
                <w:rFonts w:ascii="Cambria Math" w:hAnsi="Cambria Math"/>
              </w:rPr>
              <m:t>ccuracy</m:t>
            </m:r>
          </m:e>
          <m:sub>
            <m:r>
              <w:rPr>
                <w:rFonts w:ascii="Cambria Math" w:hAnsi="Cambria Math"/>
              </w:rPr>
              <m:t>p</m:t>
            </m:r>
          </m:sub>
        </m:sSub>
        <m:sSub>
          <m:sSubPr>
            <m:ctrlPr>
              <w:rPr>
                <w:rFonts w:ascii="Cambria Math" w:hAnsi="Cambria Math"/>
              </w:rPr>
            </m:ctrlPr>
          </m:sSubPr>
          <m:e>
            <m:r>
              <w:rPr>
                <w:rFonts w:ascii="Cambria Math" w:hAnsi="Cambria Math"/>
              </w:rPr>
              <m:t>er</m:t>
            </m:r>
          </m:e>
          <m:sub>
            <m:r>
              <w:rPr>
                <w:rFonts w:ascii="Cambria Math" w:hAnsi="Cambria Math"/>
              </w:rPr>
              <m:t>i</m:t>
            </m:r>
          </m:sub>
        </m:sSub>
      </m:oMath>
      <w:r>
        <w:t xml:space="preserve">mage.csv, and </w:t>
      </w:r>
      <m:oMath>
        <m:sSub>
          <m:sSubPr>
            <m:ctrlPr>
              <w:rPr>
                <w:rFonts w:ascii="Cambria Math" w:hAnsi="Cambria Math"/>
              </w:rPr>
            </m:ctrlPr>
          </m:sSubPr>
          <m:e>
            <m:r>
              <w:rPr>
                <w:rFonts w:ascii="Cambria Math" w:hAnsi="Cambria Math"/>
              </w:rPr>
              <m:t>real</m:t>
            </m:r>
          </m:e>
          <m:sub>
            <m:r>
              <w:rPr>
                <w:rFonts w:ascii="Cambria Math" w:hAnsi="Cambria Math"/>
              </w:rPr>
              <m:t>a</m:t>
            </m:r>
          </m:sub>
        </m:sSub>
        <m:sSub>
          <m:sSubPr>
            <m:ctrlPr>
              <w:rPr>
                <w:rFonts w:ascii="Cambria Math" w:hAnsi="Cambria Math"/>
              </w:rPr>
            </m:ctrlPr>
          </m:sSubPr>
          <m:e>
            <m:r>
              <w:rPr>
                <w:rFonts w:ascii="Cambria Math" w:hAnsi="Cambria Math"/>
              </w:rPr>
              <m:t>ccuracy</m:t>
            </m:r>
          </m:e>
          <m:sub>
            <m:r>
              <w:rPr>
                <w:rFonts w:ascii="Cambria Math" w:hAnsi="Cambria Math"/>
              </w:rPr>
              <m:t>t</m:t>
            </m:r>
          </m:sub>
        </m:sSub>
        <m:sSub>
          <m:sSubPr>
            <m:ctrlPr>
              <w:rPr>
                <w:rFonts w:ascii="Cambria Math" w:hAnsi="Cambria Math"/>
              </w:rPr>
            </m:ctrlPr>
          </m:sSubPr>
          <m:e>
            <m:r>
              <w:rPr>
                <w:rFonts w:ascii="Cambria Math" w:hAnsi="Cambria Math"/>
              </w:rPr>
              <m:t>hroughput</m:t>
            </m:r>
          </m:e>
          <m:sub>
            <m:r>
              <w:rPr>
                <w:rFonts w:ascii="Cambria Math" w:hAnsi="Cambria Math"/>
              </w:rPr>
              <m:t>f</m:t>
            </m:r>
          </m:sub>
        </m:sSub>
      </m:oMath>
      <w:r>
        <w:t>rontier.csv.</w:t>
      </w:r>
    </w:p>
    <w:p w14:paraId="0E9606E7" w14:textId="77777777" w:rsidR="00B86945" w:rsidRDefault="00000000">
      <w:pPr>
        <w:keepNext/>
        <w:keepLines/>
        <w:spacing w:after="100" w:line="259" w:lineRule="auto"/>
      </w:pPr>
      <w:r>
        <w:rPr>
          <w:b/>
        </w:rPr>
        <w:t>Table S5. Held-out classification accuracy of calibration-frozen carrier corrections at selected token budgets.</w:t>
      </w:r>
      <w:r>
        <w:t xml:space="preserve"> Correct-prediction counts and Top-1 accuracy on 1,000 held-out images. Parenthetical values are percentage-point (pp) changes from Hybrid Group Mean at the same architecture and budget. Hybrid Group Mean uses the practical study's fixed-spatial grouping and is distinct from the primary feature-similarity Group Mean in Section 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99"/>
        <w:gridCol w:w="1999"/>
        <w:gridCol w:w="1999"/>
        <w:gridCol w:w="1999"/>
        <w:gridCol w:w="1999"/>
      </w:tblGrid>
      <w:tr w:rsidR="00B86945" w:rsidRPr="0026008E" w14:paraId="025FD775" w14:textId="77777777" w:rsidTr="0026008E">
        <w:trPr>
          <w:tblHeader/>
        </w:trPr>
        <w:tc>
          <w:tcPr>
            <w:tcW w:w="1999" w:type="dxa"/>
            <w:tcBorders>
              <w:top w:val="single" w:sz="4" w:space="0" w:color="auto"/>
              <w:bottom w:val="single" w:sz="4" w:space="0" w:color="auto"/>
            </w:tcBorders>
            <w:shd w:val="clear" w:color="auto" w:fill="FFFFFF" w:themeFill="background1"/>
            <w:tcMar>
              <w:top w:w="55" w:type="dxa"/>
              <w:left w:w="65" w:type="dxa"/>
              <w:bottom w:w="55" w:type="dxa"/>
              <w:right w:w="65" w:type="dxa"/>
            </w:tcMar>
            <w:vAlign w:val="center"/>
          </w:tcPr>
          <w:p w14:paraId="2C937701" w14:textId="77777777" w:rsidR="00B86945" w:rsidRPr="0026008E" w:rsidRDefault="00000000">
            <w:pPr>
              <w:jc w:val="center"/>
              <w:rPr>
                <w:szCs w:val="28"/>
              </w:rPr>
            </w:pPr>
            <w:r w:rsidRPr="0026008E">
              <w:rPr>
                <w:b/>
                <w:color w:val="17232D"/>
                <w:szCs w:val="28"/>
              </w:rPr>
              <w:t>Architecture</w:t>
            </w:r>
          </w:p>
        </w:tc>
        <w:tc>
          <w:tcPr>
            <w:tcW w:w="1999" w:type="dxa"/>
            <w:tcBorders>
              <w:top w:val="single" w:sz="4" w:space="0" w:color="auto"/>
              <w:bottom w:val="single" w:sz="4" w:space="0" w:color="auto"/>
            </w:tcBorders>
            <w:shd w:val="clear" w:color="auto" w:fill="FFFFFF" w:themeFill="background1"/>
            <w:tcMar>
              <w:top w:w="55" w:type="dxa"/>
              <w:left w:w="65" w:type="dxa"/>
              <w:bottom w:w="55" w:type="dxa"/>
              <w:right w:w="65" w:type="dxa"/>
            </w:tcMar>
            <w:vAlign w:val="center"/>
          </w:tcPr>
          <w:p w14:paraId="304925D9" w14:textId="77777777" w:rsidR="00B86945" w:rsidRPr="0026008E" w:rsidRDefault="00000000">
            <w:pPr>
              <w:jc w:val="center"/>
              <w:rPr>
                <w:szCs w:val="28"/>
              </w:rPr>
            </w:pPr>
            <w:r w:rsidRPr="0026008E">
              <w:rPr>
                <w:b/>
                <w:color w:val="17232D"/>
                <w:szCs w:val="28"/>
              </w:rPr>
              <w:t>Budget</w:t>
            </w:r>
          </w:p>
        </w:tc>
        <w:tc>
          <w:tcPr>
            <w:tcW w:w="1999" w:type="dxa"/>
            <w:tcBorders>
              <w:top w:val="single" w:sz="4" w:space="0" w:color="auto"/>
              <w:bottom w:val="single" w:sz="4" w:space="0" w:color="auto"/>
            </w:tcBorders>
            <w:shd w:val="clear" w:color="auto" w:fill="FFFFFF" w:themeFill="background1"/>
            <w:tcMar>
              <w:top w:w="55" w:type="dxa"/>
              <w:left w:w="65" w:type="dxa"/>
              <w:bottom w:w="55" w:type="dxa"/>
              <w:right w:w="65" w:type="dxa"/>
            </w:tcMar>
            <w:vAlign w:val="center"/>
          </w:tcPr>
          <w:p w14:paraId="013DD06D" w14:textId="77777777" w:rsidR="00B86945" w:rsidRPr="0026008E" w:rsidRDefault="00000000">
            <w:pPr>
              <w:jc w:val="center"/>
              <w:rPr>
                <w:szCs w:val="28"/>
              </w:rPr>
            </w:pPr>
            <w:r w:rsidRPr="0026008E">
              <w:rPr>
                <w:b/>
                <w:color w:val="17232D"/>
                <w:szCs w:val="28"/>
              </w:rPr>
              <w:t>Hybrid Group Mean</w:t>
            </w:r>
          </w:p>
        </w:tc>
        <w:tc>
          <w:tcPr>
            <w:tcW w:w="1999" w:type="dxa"/>
            <w:tcBorders>
              <w:top w:val="single" w:sz="4" w:space="0" w:color="auto"/>
              <w:bottom w:val="single" w:sz="4" w:space="0" w:color="auto"/>
            </w:tcBorders>
            <w:shd w:val="clear" w:color="auto" w:fill="FFFFFF" w:themeFill="background1"/>
            <w:tcMar>
              <w:top w:w="55" w:type="dxa"/>
              <w:left w:w="65" w:type="dxa"/>
              <w:bottom w:w="55" w:type="dxa"/>
              <w:right w:w="65" w:type="dxa"/>
            </w:tcMar>
            <w:vAlign w:val="center"/>
          </w:tcPr>
          <w:p w14:paraId="3B7189DD" w14:textId="77777777" w:rsidR="00B86945" w:rsidRPr="0026008E" w:rsidRDefault="00000000">
            <w:pPr>
              <w:jc w:val="center"/>
              <w:rPr>
                <w:szCs w:val="28"/>
              </w:rPr>
            </w:pPr>
            <w:r w:rsidRPr="0026008E">
              <w:rPr>
                <w:b/>
                <w:color w:val="17232D"/>
                <w:szCs w:val="28"/>
              </w:rPr>
              <w:t>Static Feature-PCA, q=16</w:t>
            </w:r>
          </w:p>
        </w:tc>
        <w:tc>
          <w:tcPr>
            <w:tcW w:w="1999" w:type="dxa"/>
            <w:tcBorders>
              <w:top w:val="single" w:sz="4" w:space="0" w:color="auto"/>
              <w:bottom w:val="single" w:sz="4" w:space="0" w:color="auto"/>
            </w:tcBorders>
            <w:shd w:val="clear" w:color="auto" w:fill="FFFFFF" w:themeFill="background1"/>
            <w:tcMar>
              <w:top w:w="55" w:type="dxa"/>
              <w:left w:w="65" w:type="dxa"/>
              <w:bottom w:w="55" w:type="dxa"/>
              <w:right w:w="65" w:type="dxa"/>
            </w:tcMar>
            <w:vAlign w:val="center"/>
          </w:tcPr>
          <w:p w14:paraId="0DC2B9D5" w14:textId="77777777" w:rsidR="00B86945" w:rsidRPr="0026008E" w:rsidRDefault="00000000">
            <w:pPr>
              <w:jc w:val="center"/>
              <w:rPr>
                <w:szCs w:val="28"/>
              </w:rPr>
            </w:pPr>
            <w:r w:rsidRPr="0026008E">
              <w:rPr>
                <w:b/>
                <w:color w:val="17232D"/>
                <w:szCs w:val="28"/>
              </w:rPr>
              <w:t>Static Feature-PCA, q=32</w:t>
            </w:r>
          </w:p>
        </w:tc>
      </w:tr>
      <w:tr w:rsidR="00B86945" w:rsidRPr="0026008E" w14:paraId="4EC64830" w14:textId="77777777" w:rsidTr="0026008E">
        <w:tc>
          <w:tcPr>
            <w:tcW w:w="1999" w:type="dxa"/>
            <w:tcBorders>
              <w:top w:val="single" w:sz="4" w:space="0" w:color="auto"/>
            </w:tcBorders>
            <w:shd w:val="clear" w:color="auto" w:fill="FFFFFF" w:themeFill="background1"/>
            <w:tcMar>
              <w:top w:w="55" w:type="dxa"/>
              <w:left w:w="65" w:type="dxa"/>
              <w:bottom w:w="55" w:type="dxa"/>
              <w:right w:w="65" w:type="dxa"/>
            </w:tcMar>
            <w:vAlign w:val="center"/>
          </w:tcPr>
          <w:p w14:paraId="31D94406" w14:textId="77777777" w:rsidR="00B86945" w:rsidRPr="0026008E" w:rsidRDefault="00000000">
            <w:pPr>
              <w:rPr>
                <w:szCs w:val="28"/>
              </w:rPr>
            </w:pPr>
            <w:r w:rsidRPr="0026008E">
              <w:rPr>
                <w:szCs w:val="28"/>
              </w:rPr>
              <w:t>DeiT-Small</w:t>
            </w:r>
          </w:p>
        </w:tc>
        <w:tc>
          <w:tcPr>
            <w:tcW w:w="1999" w:type="dxa"/>
            <w:tcBorders>
              <w:top w:val="single" w:sz="4" w:space="0" w:color="auto"/>
            </w:tcBorders>
            <w:shd w:val="clear" w:color="auto" w:fill="FFFFFF" w:themeFill="background1"/>
            <w:tcMar>
              <w:top w:w="55" w:type="dxa"/>
              <w:left w:w="65" w:type="dxa"/>
              <w:bottom w:w="55" w:type="dxa"/>
              <w:right w:w="65" w:type="dxa"/>
            </w:tcMar>
            <w:vAlign w:val="center"/>
          </w:tcPr>
          <w:p w14:paraId="77136D93" w14:textId="77777777" w:rsidR="00B86945" w:rsidRPr="0026008E" w:rsidRDefault="00000000">
            <w:pPr>
              <w:jc w:val="center"/>
              <w:rPr>
                <w:szCs w:val="28"/>
              </w:rPr>
            </w:pPr>
            <w:r w:rsidRPr="0026008E">
              <w:rPr>
                <w:szCs w:val="28"/>
              </w:rPr>
              <w:t>98</w:t>
            </w:r>
          </w:p>
        </w:tc>
        <w:tc>
          <w:tcPr>
            <w:tcW w:w="1999" w:type="dxa"/>
            <w:tcBorders>
              <w:top w:val="single" w:sz="4" w:space="0" w:color="auto"/>
            </w:tcBorders>
            <w:shd w:val="clear" w:color="auto" w:fill="FFFFFF" w:themeFill="background1"/>
            <w:tcMar>
              <w:top w:w="55" w:type="dxa"/>
              <w:left w:w="65" w:type="dxa"/>
              <w:bottom w:w="55" w:type="dxa"/>
              <w:right w:w="65" w:type="dxa"/>
            </w:tcMar>
            <w:vAlign w:val="center"/>
          </w:tcPr>
          <w:p w14:paraId="3F5F979D" w14:textId="77777777" w:rsidR="00B86945" w:rsidRPr="0026008E" w:rsidRDefault="00000000">
            <w:pPr>
              <w:jc w:val="center"/>
              <w:rPr>
                <w:szCs w:val="28"/>
              </w:rPr>
            </w:pPr>
            <w:r w:rsidRPr="0026008E">
              <w:rPr>
                <w:szCs w:val="28"/>
              </w:rPr>
              <w:t>764/1,000 (76.4%)</w:t>
            </w:r>
          </w:p>
        </w:tc>
        <w:tc>
          <w:tcPr>
            <w:tcW w:w="1999" w:type="dxa"/>
            <w:tcBorders>
              <w:top w:val="single" w:sz="4" w:space="0" w:color="auto"/>
            </w:tcBorders>
            <w:shd w:val="clear" w:color="auto" w:fill="FFFFFF" w:themeFill="background1"/>
            <w:tcMar>
              <w:top w:w="55" w:type="dxa"/>
              <w:left w:w="65" w:type="dxa"/>
              <w:bottom w:w="55" w:type="dxa"/>
              <w:right w:w="65" w:type="dxa"/>
            </w:tcMar>
            <w:vAlign w:val="center"/>
          </w:tcPr>
          <w:p w14:paraId="51483B93" w14:textId="77777777" w:rsidR="00B86945" w:rsidRPr="0026008E" w:rsidRDefault="00000000">
            <w:pPr>
              <w:jc w:val="center"/>
              <w:rPr>
                <w:szCs w:val="28"/>
              </w:rPr>
            </w:pPr>
            <w:r w:rsidRPr="0026008E">
              <w:rPr>
                <w:szCs w:val="28"/>
              </w:rPr>
              <w:t>763/1,000 (76.3%; −0.1 pp)</w:t>
            </w:r>
          </w:p>
        </w:tc>
        <w:tc>
          <w:tcPr>
            <w:tcW w:w="1999" w:type="dxa"/>
            <w:tcBorders>
              <w:top w:val="single" w:sz="4" w:space="0" w:color="auto"/>
            </w:tcBorders>
            <w:shd w:val="clear" w:color="auto" w:fill="FFFFFF" w:themeFill="background1"/>
            <w:tcMar>
              <w:top w:w="55" w:type="dxa"/>
              <w:left w:w="65" w:type="dxa"/>
              <w:bottom w:w="55" w:type="dxa"/>
              <w:right w:w="65" w:type="dxa"/>
            </w:tcMar>
            <w:vAlign w:val="center"/>
          </w:tcPr>
          <w:p w14:paraId="5B225290" w14:textId="77777777" w:rsidR="00B86945" w:rsidRPr="0026008E" w:rsidRDefault="00000000">
            <w:pPr>
              <w:jc w:val="center"/>
              <w:rPr>
                <w:szCs w:val="28"/>
              </w:rPr>
            </w:pPr>
            <w:r w:rsidRPr="0026008E">
              <w:rPr>
                <w:szCs w:val="28"/>
              </w:rPr>
              <w:t>760/1,000 (76.0%; −0.4 pp)</w:t>
            </w:r>
          </w:p>
        </w:tc>
      </w:tr>
      <w:tr w:rsidR="00B86945" w:rsidRPr="0026008E" w14:paraId="0E69D51D" w14:textId="77777777" w:rsidTr="0026008E">
        <w:tc>
          <w:tcPr>
            <w:tcW w:w="1999" w:type="dxa"/>
            <w:shd w:val="clear" w:color="auto" w:fill="FFFFFF" w:themeFill="background1"/>
            <w:tcMar>
              <w:top w:w="55" w:type="dxa"/>
              <w:left w:w="65" w:type="dxa"/>
              <w:bottom w:w="55" w:type="dxa"/>
              <w:right w:w="65" w:type="dxa"/>
            </w:tcMar>
            <w:vAlign w:val="center"/>
          </w:tcPr>
          <w:p w14:paraId="27CC262A" w14:textId="77777777" w:rsidR="00B86945" w:rsidRPr="0026008E" w:rsidRDefault="00000000">
            <w:pPr>
              <w:rPr>
                <w:szCs w:val="28"/>
              </w:rPr>
            </w:pPr>
            <w:r w:rsidRPr="0026008E">
              <w:rPr>
                <w:szCs w:val="28"/>
              </w:rPr>
              <w:t>DeiT-Small</w:t>
            </w:r>
          </w:p>
        </w:tc>
        <w:tc>
          <w:tcPr>
            <w:tcW w:w="1999" w:type="dxa"/>
            <w:shd w:val="clear" w:color="auto" w:fill="FFFFFF" w:themeFill="background1"/>
            <w:tcMar>
              <w:top w:w="55" w:type="dxa"/>
              <w:left w:w="65" w:type="dxa"/>
              <w:bottom w:w="55" w:type="dxa"/>
              <w:right w:w="65" w:type="dxa"/>
            </w:tcMar>
            <w:vAlign w:val="center"/>
          </w:tcPr>
          <w:p w14:paraId="5DE0F318" w14:textId="77777777" w:rsidR="00B86945" w:rsidRPr="0026008E" w:rsidRDefault="00000000">
            <w:pPr>
              <w:jc w:val="center"/>
              <w:rPr>
                <w:szCs w:val="28"/>
              </w:rPr>
            </w:pPr>
            <w:r w:rsidRPr="0026008E">
              <w:rPr>
                <w:szCs w:val="28"/>
              </w:rPr>
              <w:t>49</w:t>
            </w:r>
          </w:p>
        </w:tc>
        <w:tc>
          <w:tcPr>
            <w:tcW w:w="1999" w:type="dxa"/>
            <w:shd w:val="clear" w:color="auto" w:fill="FFFFFF" w:themeFill="background1"/>
            <w:tcMar>
              <w:top w:w="55" w:type="dxa"/>
              <w:left w:w="65" w:type="dxa"/>
              <w:bottom w:w="55" w:type="dxa"/>
              <w:right w:w="65" w:type="dxa"/>
            </w:tcMar>
            <w:vAlign w:val="center"/>
          </w:tcPr>
          <w:p w14:paraId="19DAD7C2" w14:textId="77777777" w:rsidR="00B86945" w:rsidRPr="0026008E" w:rsidRDefault="00000000">
            <w:pPr>
              <w:jc w:val="center"/>
              <w:rPr>
                <w:szCs w:val="28"/>
              </w:rPr>
            </w:pPr>
            <w:r w:rsidRPr="0026008E">
              <w:rPr>
                <w:szCs w:val="28"/>
              </w:rPr>
              <w:t>755/1,000 (75.5%)</w:t>
            </w:r>
          </w:p>
        </w:tc>
        <w:tc>
          <w:tcPr>
            <w:tcW w:w="1999" w:type="dxa"/>
            <w:shd w:val="clear" w:color="auto" w:fill="FFFFFF" w:themeFill="background1"/>
            <w:tcMar>
              <w:top w:w="55" w:type="dxa"/>
              <w:left w:w="65" w:type="dxa"/>
              <w:bottom w:w="55" w:type="dxa"/>
              <w:right w:w="65" w:type="dxa"/>
            </w:tcMar>
            <w:vAlign w:val="center"/>
          </w:tcPr>
          <w:p w14:paraId="7B93E080" w14:textId="77777777" w:rsidR="00B86945" w:rsidRPr="0026008E" w:rsidRDefault="00000000">
            <w:pPr>
              <w:jc w:val="center"/>
              <w:rPr>
                <w:szCs w:val="28"/>
              </w:rPr>
            </w:pPr>
            <w:r w:rsidRPr="0026008E">
              <w:rPr>
                <w:szCs w:val="28"/>
              </w:rPr>
              <w:t>740/1,000 (74.0%; −1.5 pp)</w:t>
            </w:r>
          </w:p>
        </w:tc>
        <w:tc>
          <w:tcPr>
            <w:tcW w:w="1999" w:type="dxa"/>
            <w:shd w:val="clear" w:color="auto" w:fill="FFFFFF" w:themeFill="background1"/>
            <w:tcMar>
              <w:top w:w="55" w:type="dxa"/>
              <w:left w:w="65" w:type="dxa"/>
              <w:bottom w:w="55" w:type="dxa"/>
              <w:right w:w="65" w:type="dxa"/>
            </w:tcMar>
            <w:vAlign w:val="center"/>
          </w:tcPr>
          <w:p w14:paraId="73188316" w14:textId="77777777" w:rsidR="00B86945" w:rsidRPr="0026008E" w:rsidRDefault="00000000">
            <w:pPr>
              <w:jc w:val="center"/>
              <w:rPr>
                <w:szCs w:val="28"/>
              </w:rPr>
            </w:pPr>
            <w:r w:rsidRPr="0026008E">
              <w:rPr>
                <w:szCs w:val="28"/>
              </w:rPr>
              <w:t>740/1,000 (74.0%; −1.5 pp)</w:t>
            </w:r>
          </w:p>
        </w:tc>
      </w:tr>
      <w:tr w:rsidR="00B86945" w:rsidRPr="0026008E" w14:paraId="62E5FDFF" w14:textId="77777777" w:rsidTr="0026008E">
        <w:tc>
          <w:tcPr>
            <w:tcW w:w="1999" w:type="dxa"/>
            <w:shd w:val="clear" w:color="auto" w:fill="FFFFFF" w:themeFill="background1"/>
            <w:tcMar>
              <w:top w:w="55" w:type="dxa"/>
              <w:left w:w="65" w:type="dxa"/>
              <w:bottom w:w="55" w:type="dxa"/>
              <w:right w:w="65" w:type="dxa"/>
            </w:tcMar>
            <w:vAlign w:val="center"/>
          </w:tcPr>
          <w:p w14:paraId="0D215F3A" w14:textId="77777777" w:rsidR="00B86945" w:rsidRPr="0026008E" w:rsidRDefault="00000000">
            <w:pPr>
              <w:rPr>
                <w:szCs w:val="28"/>
              </w:rPr>
            </w:pPr>
            <w:r w:rsidRPr="0026008E">
              <w:rPr>
                <w:szCs w:val="28"/>
              </w:rPr>
              <w:t>DINOv2 ViT-S/14</w:t>
            </w:r>
          </w:p>
        </w:tc>
        <w:tc>
          <w:tcPr>
            <w:tcW w:w="1999" w:type="dxa"/>
            <w:shd w:val="clear" w:color="auto" w:fill="FFFFFF" w:themeFill="background1"/>
            <w:tcMar>
              <w:top w:w="55" w:type="dxa"/>
              <w:left w:w="65" w:type="dxa"/>
              <w:bottom w:w="55" w:type="dxa"/>
              <w:right w:w="65" w:type="dxa"/>
            </w:tcMar>
            <w:vAlign w:val="center"/>
          </w:tcPr>
          <w:p w14:paraId="544EF58F" w14:textId="77777777" w:rsidR="00B86945" w:rsidRPr="0026008E" w:rsidRDefault="00000000">
            <w:pPr>
              <w:jc w:val="center"/>
              <w:rPr>
                <w:szCs w:val="28"/>
              </w:rPr>
            </w:pPr>
            <w:r w:rsidRPr="0026008E">
              <w:rPr>
                <w:szCs w:val="28"/>
              </w:rPr>
              <w:t>42</w:t>
            </w:r>
          </w:p>
        </w:tc>
        <w:tc>
          <w:tcPr>
            <w:tcW w:w="1999" w:type="dxa"/>
            <w:shd w:val="clear" w:color="auto" w:fill="FFFFFF" w:themeFill="background1"/>
            <w:tcMar>
              <w:top w:w="55" w:type="dxa"/>
              <w:left w:w="65" w:type="dxa"/>
              <w:bottom w:w="55" w:type="dxa"/>
              <w:right w:w="65" w:type="dxa"/>
            </w:tcMar>
            <w:vAlign w:val="center"/>
          </w:tcPr>
          <w:p w14:paraId="742F3F58" w14:textId="77777777" w:rsidR="00B86945" w:rsidRPr="0026008E" w:rsidRDefault="00000000">
            <w:pPr>
              <w:jc w:val="center"/>
              <w:rPr>
                <w:szCs w:val="28"/>
              </w:rPr>
            </w:pPr>
            <w:r w:rsidRPr="0026008E">
              <w:rPr>
                <w:szCs w:val="28"/>
              </w:rPr>
              <w:t>613/1,000 (61.3%)</w:t>
            </w:r>
          </w:p>
        </w:tc>
        <w:tc>
          <w:tcPr>
            <w:tcW w:w="1999" w:type="dxa"/>
            <w:shd w:val="clear" w:color="auto" w:fill="FFFFFF" w:themeFill="background1"/>
            <w:tcMar>
              <w:top w:w="55" w:type="dxa"/>
              <w:left w:w="65" w:type="dxa"/>
              <w:bottom w:w="55" w:type="dxa"/>
              <w:right w:w="65" w:type="dxa"/>
            </w:tcMar>
            <w:vAlign w:val="center"/>
          </w:tcPr>
          <w:p w14:paraId="539E0F59" w14:textId="77777777" w:rsidR="00B86945" w:rsidRPr="0026008E" w:rsidRDefault="00000000">
            <w:pPr>
              <w:jc w:val="center"/>
              <w:rPr>
                <w:szCs w:val="28"/>
              </w:rPr>
            </w:pPr>
            <w:r w:rsidRPr="0026008E">
              <w:rPr>
                <w:szCs w:val="28"/>
              </w:rPr>
              <w:t>568/1,000 (56.8%; −4.5 pp)</w:t>
            </w:r>
          </w:p>
        </w:tc>
        <w:tc>
          <w:tcPr>
            <w:tcW w:w="1999" w:type="dxa"/>
            <w:shd w:val="clear" w:color="auto" w:fill="FFFFFF" w:themeFill="background1"/>
            <w:tcMar>
              <w:top w:w="55" w:type="dxa"/>
              <w:left w:w="65" w:type="dxa"/>
              <w:bottom w:w="55" w:type="dxa"/>
              <w:right w:w="65" w:type="dxa"/>
            </w:tcMar>
            <w:vAlign w:val="center"/>
          </w:tcPr>
          <w:p w14:paraId="71BFB740" w14:textId="77777777" w:rsidR="00B86945" w:rsidRPr="0026008E" w:rsidRDefault="00000000">
            <w:pPr>
              <w:jc w:val="center"/>
              <w:rPr>
                <w:szCs w:val="28"/>
              </w:rPr>
            </w:pPr>
            <w:r w:rsidRPr="0026008E">
              <w:rPr>
                <w:szCs w:val="28"/>
              </w:rPr>
              <w:t>570/1,000 (57.0%; −4.3 pp)</w:t>
            </w:r>
          </w:p>
        </w:tc>
      </w:tr>
      <w:tr w:rsidR="00B86945" w:rsidRPr="0026008E" w14:paraId="1938BCB0" w14:textId="77777777" w:rsidTr="0026008E">
        <w:tc>
          <w:tcPr>
            <w:tcW w:w="1999" w:type="dxa"/>
            <w:tcBorders>
              <w:bottom w:val="single" w:sz="4" w:space="0" w:color="auto"/>
            </w:tcBorders>
            <w:shd w:val="clear" w:color="auto" w:fill="FFFFFF" w:themeFill="background1"/>
            <w:tcMar>
              <w:top w:w="55" w:type="dxa"/>
              <w:left w:w="65" w:type="dxa"/>
              <w:bottom w:w="55" w:type="dxa"/>
              <w:right w:w="65" w:type="dxa"/>
            </w:tcMar>
            <w:vAlign w:val="center"/>
          </w:tcPr>
          <w:p w14:paraId="2C4E0145" w14:textId="77777777" w:rsidR="00B86945" w:rsidRPr="0026008E" w:rsidRDefault="00000000">
            <w:pPr>
              <w:rPr>
                <w:szCs w:val="28"/>
              </w:rPr>
            </w:pPr>
            <w:r w:rsidRPr="0026008E">
              <w:rPr>
                <w:szCs w:val="28"/>
              </w:rPr>
              <w:t>ViT-B/16 AugReg</w:t>
            </w:r>
          </w:p>
        </w:tc>
        <w:tc>
          <w:tcPr>
            <w:tcW w:w="1999" w:type="dxa"/>
            <w:tcBorders>
              <w:bottom w:val="single" w:sz="4" w:space="0" w:color="auto"/>
            </w:tcBorders>
            <w:shd w:val="clear" w:color="auto" w:fill="FFFFFF" w:themeFill="background1"/>
            <w:tcMar>
              <w:top w:w="55" w:type="dxa"/>
              <w:left w:w="65" w:type="dxa"/>
              <w:bottom w:w="55" w:type="dxa"/>
              <w:right w:w="65" w:type="dxa"/>
            </w:tcMar>
            <w:vAlign w:val="center"/>
          </w:tcPr>
          <w:p w14:paraId="4793818B" w14:textId="77777777" w:rsidR="00B86945" w:rsidRPr="0026008E" w:rsidRDefault="00000000">
            <w:pPr>
              <w:jc w:val="center"/>
              <w:rPr>
                <w:szCs w:val="28"/>
              </w:rPr>
            </w:pPr>
            <w:r w:rsidRPr="0026008E">
              <w:rPr>
                <w:szCs w:val="28"/>
              </w:rPr>
              <w:t>49</w:t>
            </w:r>
          </w:p>
        </w:tc>
        <w:tc>
          <w:tcPr>
            <w:tcW w:w="1999" w:type="dxa"/>
            <w:tcBorders>
              <w:bottom w:val="single" w:sz="4" w:space="0" w:color="auto"/>
            </w:tcBorders>
            <w:shd w:val="clear" w:color="auto" w:fill="FFFFFF" w:themeFill="background1"/>
            <w:tcMar>
              <w:top w:w="55" w:type="dxa"/>
              <w:left w:w="65" w:type="dxa"/>
              <w:bottom w:w="55" w:type="dxa"/>
              <w:right w:w="65" w:type="dxa"/>
            </w:tcMar>
            <w:vAlign w:val="center"/>
          </w:tcPr>
          <w:p w14:paraId="00DD844C" w14:textId="77777777" w:rsidR="00B86945" w:rsidRPr="0026008E" w:rsidRDefault="00000000">
            <w:pPr>
              <w:jc w:val="center"/>
              <w:rPr>
                <w:szCs w:val="28"/>
              </w:rPr>
            </w:pPr>
            <w:r w:rsidRPr="0026008E">
              <w:rPr>
                <w:szCs w:val="28"/>
              </w:rPr>
              <w:t>712/1,000 (71.2%)</w:t>
            </w:r>
          </w:p>
        </w:tc>
        <w:tc>
          <w:tcPr>
            <w:tcW w:w="1999" w:type="dxa"/>
            <w:tcBorders>
              <w:bottom w:val="single" w:sz="4" w:space="0" w:color="auto"/>
            </w:tcBorders>
            <w:shd w:val="clear" w:color="auto" w:fill="FFFFFF" w:themeFill="background1"/>
            <w:tcMar>
              <w:top w:w="55" w:type="dxa"/>
              <w:left w:w="65" w:type="dxa"/>
              <w:bottom w:w="55" w:type="dxa"/>
              <w:right w:w="65" w:type="dxa"/>
            </w:tcMar>
            <w:vAlign w:val="center"/>
          </w:tcPr>
          <w:p w14:paraId="4D290012" w14:textId="77777777" w:rsidR="00B86945" w:rsidRPr="0026008E" w:rsidRDefault="00000000">
            <w:pPr>
              <w:jc w:val="center"/>
              <w:rPr>
                <w:szCs w:val="28"/>
              </w:rPr>
            </w:pPr>
            <w:r w:rsidRPr="0026008E">
              <w:rPr>
                <w:szCs w:val="28"/>
              </w:rPr>
              <w:t>719/1,000 (71.9%; +0.7 pp)</w:t>
            </w:r>
          </w:p>
        </w:tc>
        <w:tc>
          <w:tcPr>
            <w:tcW w:w="1999" w:type="dxa"/>
            <w:tcBorders>
              <w:bottom w:val="single" w:sz="4" w:space="0" w:color="auto"/>
            </w:tcBorders>
            <w:shd w:val="clear" w:color="auto" w:fill="FFFFFF" w:themeFill="background1"/>
            <w:tcMar>
              <w:top w:w="55" w:type="dxa"/>
              <w:left w:w="65" w:type="dxa"/>
              <w:bottom w:w="55" w:type="dxa"/>
              <w:right w:w="65" w:type="dxa"/>
            </w:tcMar>
            <w:vAlign w:val="center"/>
          </w:tcPr>
          <w:p w14:paraId="38F48FAD" w14:textId="77777777" w:rsidR="00B86945" w:rsidRPr="0026008E" w:rsidRDefault="00000000">
            <w:pPr>
              <w:jc w:val="center"/>
              <w:rPr>
                <w:szCs w:val="28"/>
              </w:rPr>
            </w:pPr>
            <w:r w:rsidRPr="0026008E">
              <w:rPr>
                <w:szCs w:val="28"/>
              </w:rPr>
              <w:t>716/1,000 (71.6%; +0.4 pp)</w:t>
            </w:r>
          </w:p>
        </w:tc>
      </w:tr>
    </w:tbl>
    <w:p w14:paraId="30AB6170" w14:textId="77777777" w:rsidR="00B86945" w:rsidRDefault="00B86945">
      <w:pPr>
        <w:spacing w:after="20"/>
      </w:pPr>
    </w:p>
    <w:p w14:paraId="39C5D3B0" w14:textId="77777777" w:rsidR="00B86945" w:rsidRDefault="00000000">
      <w:pPr>
        <w:spacing w:after="100" w:line="259" w:lineRule="auto"/>
      </w:pPr>
      <w:r>
        <w:t>Throughput uses measured full-model calls at batch size 64, rather than operator-only timing or simulated estimates. At ViT-B/16 AugReg, B=98, q=16 reaches 73.7% Top-1 at 263.28 images/s, compared with 73.6% at 297.14 images/s for Hybrid Group Mean. This is a narrow measured accuracy–throughput tradeoff for one architecture and budget.</w:t>
      </w:r>
    </w:p>
    <w:p w14:paraId="7556E425" w14:textId="77777777" w:rsidR="00B86945" w:rsidRDefault="00000000">
      <w:pPr>
        <w:pStyle w:val="Heading2"/>
      </w:pPr>
      <w:r>
        <w:rPr>
          <w:rFonts w:ascii="Times New Roman" w:hAnsi="Times New Roman"/>
        </w:rPr>
        <w:t>S13.3 Selective Gating and Scope</w:t>
      </w:r>
    </w:p>
    <w:p w14:paraId="217B5E26" w14:textId="77777777" w:rsidR="00B86945" w:rsidRDefault="00000000">
      <w:pPr>
        <w:spacing w:after="100" w:line="259" w:lineRule="auto"/>
      </w:pPr>
      <w:r>
        <w:t>The selective classifier gate applies the frozen q=16 correction only when a calibration-frozen score based on the normalized within-group residual exceeds a threshold estimated on the calibration set. It reaches 75.8% versus 76.4% for Hybrid Group Mean at DeiT-Small B=98, and 58.5% versus 61.3% at DINOv2 B=42. A separate exploratory operator-space risk score has an area under the receiver operating characteristic curve (AUROC) of 0.784 and Top-30 recall of 0.60 on N=100 operator-space cases; this is not classifier-level evidence. Other dynamic-alpha and MLP predictor variants are summarized in Supplementary Section S8 and the operator-space prediction audit in outputs/</w:t>
      </w:r>
      <m:oMath>
        <m:sSub>
          <m:sSubPr>
            <m:ctrlPr>
              <w:rPr>
                <w:rFonts w:ascii="Cambria Math" w:hAnsi="Cambria Math"/>
              </w:rPr>
            </m:ctrlPr>
          </m:sSubPr>
          <m:e>
            <m:r>
              <w:rPr>
                <w:rFonts w:ascii="Cambria Math" w:hAnsi="Cambria Math"/>
              </w:rPr>
              <m:t>fungibility</m:t>
            </m:r>
          </m:e>
          <m:sub>
            <m:r>
              <w:rPr>
                <w:rFonts w:ascii="Cambria Math" w:hAnsi="Cambria Math"/>
              </w:rPr>
              <m:t>i</m:t>
            </m:r>
          </m:sub>
        </m:sSub>
        <m:sSub>
          <m:sSubPr>
            <m:ctrlPr>
              <w:rPr>
                <w:rFonts w:ascii="Cambria Math" w:hAnsi="Cambria Math"/>
              </w:rPr>
            </m:ctrlPr>
          </m:sSubPr>
          <m:e>
            <m:r>
              <w:rPr>
                <w:rFonts w:ascii="Cambria Math" w:hAnsi="Cambria Math"/>
              </w:rPr>
              <m:t>mplicit</m:t>
            </m:r>
          </m:e>
          <m:sub>
            <m:r>
              <w:rPr>
                <w:rFonts w:ascii="Cambria Math" w:hAnsi="Cambria Math"/>
              </w:rPr>
              <m:t>c</m:t>
            </m:r>
          </m:sub>
        </m:sSub>
        <m:sSub>
          <m:sSubPr>
            <m:ctrlPr>
              <w:rPr>
                <w:rFonts w:ascii="Cambria Math" w:hAnsi="Cambria Math"/>
              </w:rPr>
            </m:ctrlPr>
          </m:sSubPr>
          <m:e>
            <m:r>
              <w:rPr>
                <w:rFonts w:ascii="Cambria Math" w:hAnsi="Cambria Math"/>
              </w:rPr>
              <m:t>arrier</m:t>
            </m:r>
          </m:e>
          <m:sub>
            <m:r>
              <w:rPr>
                <w:rFonts w:ascii="Cambria Math" w:hAnsi="Cambria Math"/>
              </w:rPr>
              <m:t>o</m:t>
            </m:r>
          </m:sub>
        </m:sSub>
        <m:sSub>
          <m:sSubPr>
            <m:ctrlPr>
              <w:rPr>
                <w:rFonts w:ascii="Cambria Math" w:hAnsi="Cambria Math"/>
              </w:rPr>
            </m:ctrlPr>
          </m:sSubPr>
          <m:e>
            <m:r>
              <w:rPr>
                <w:rFonts w:ascii="Cambria Math" w:hAnsi="Cambria Math"/>
              </w:rPr>
              <m:t>perator</m:t>
            </m:r>
          </m:e>
          <m:sub>
            <m:r>
              <w:rPr>
                <w:rFonts w:ascii="Cambria Math" w:hAnsi="Cambria Math"/>
              </w:rPr>
              <m:t>a</m:t>
            </m:r>
          </m:sub>
        </m:sSub>
      </m:oMath>
      <w:r>
        <w:t>udit/</w:t>
      </w:r>
      <m:oMath>
        <m:sSub>
          <m:sSubPr>
            <m:ctrlPr>
              <w:rPr>
                <w:rFonts w:ascii="Cambria Math" w:hAnsi="Cambria Math"/>
              </w:rPr>
            </m:ctrlPr>
          </m:sSubPr>
          <m:e>
            <m:r>
              <w:rPr>
                <w:rFonts w:ascii="Cambria Math" w:hAnsi="Cambria Math"/>
              </w:rPr>
              <m:t>predicted</m:t>
            </m:r>
          </m:e>
          <m:sub>
            <m:r>
              <w:rPr>
                <w:rFonts w:ascii="Cambria Math" w:hAnsi="Cambria Math"/>
              </w:rPr>
              <m:t>a</m:t>
            </m:r>
          </m:sub>
        </m:sSub>
        <m:sSub>
          <m:sSubPr>
            <m:ctrlPr>
              <w:rPr>
                <w:rFonts w:ascii="Cambria Math" w:hAnsi="Cambria Math"/>
              </w:rPr>
            </m:ctrlPr>
          </m:sSubPr>
          <m:e>
            <m:r>
              <w:rPr>
                <w:rFonts w:ascii="Cambria Math" w:hAnsi="Cambria Math"/>
              </w:rPr>
              <m:t>lpha</m:t>
            </m:r>
          </m:e>
          <m:sub>
            <m:r>
              <w:rPr>
                <w:rFonts w:ascii="Cambria Math" w:hAnsi="Cambria Math"/>
              </w:rPr>
              <m:t>a</m:t>
            </m:r>
          </m:sub>
        </m:sSub>
      </m:oMath>
      <w:r>
        <w:t>udit.csv.</w:t>
      </w:r>
    </w:p>
    <w:p w14:paraId="14D79147" w14:textId="77777777" w:rsidR="00B86945" w:rsidRDefault="00000000">
      <w:pPr>
        <w:spacing w:after="100" w:line="259" w:lineRule="auto"/>
      </w:pPr>
      <w:r>
        <w:t>Across the tested architectures and budgets, the static and selective approximations have not established a consistent accuracy–throughput improvement. These results delimit the evaluated implementations and do not establish a fundamental limit on carrier corrections or the underlying functional geometry.</w:t>
      </w:r>
    </w:p>
    <w:p w14:paraId="2CED107C" w14:textId="77777777" w:rsidR="00B86945" w:rsidRDefault="00000000">
      <w:pPr>
        <w:pStyle w:val="Heading1"/>
      </w:pPr>
      <w:r>
        <w:rPr>
          <w:rFonts w:ascii="Times New Roman" w:hAnsi="Times New Roman"/>
        </w:rPr>
        <w:t>S14. Code and data availability</w:t>
      </w:r>
    </w:p>
    <w:p w14:paraId="1D9E27A9" w14:textId="77777777" w:rsidR="00B86945" w:rsidRDefault="00000000">
      <w:pPr>
        <w:spacing w:after="100" w:line="259" w:lineRule="auto"/>
      </w:pPr>
      <w:r>
        <w:t>The repository provides the experiment protocols, frozen split manifests, per-image results, seed-level summaries, validation manifests, and figure-generation sources. Publication-facing results are traceable through the main-text claims and number maps; experiment-specific seed IDs and statistical procedures are listed in Supplementary Section S10.</w:t>
      </w:r>
    </w:p>
    <w:p w14:paraId="5764443A" w14:textId="77777777" w:rsidR="00B86945" w:rsidRDefault="00000000">
      <w:pPr>
        <w:pStyle w:val="Heading1"/>
      </w:pPr>
      <w:r>
        <w:rPr>
          <w:rFonts w:ascii="Times New Roman" w:hAnsi="Times New Roman"/>
        </w:rPr>
        <w:t>S15. Regularization Sensitivity of Operator-Aware Carriers</w:t>
      </w:r>
    </w:p>
    <w:p w14:paraId="3C9A4A00" w14:textId="77777777" w:rsidR="00B86945" w:rsidRDefault="00000000">
      <w:pPr>
        <w:spacing w:after="100" w:line="259" w:lineRule="auto"/>
      </w:pPr>
      <w:r>
        <w:t xml:space="preserve">This post-hoc sensitivity analysis evaluates the trace-normalized regularization in Equation (8) without changing the confirmatory solver or its archived results. For a dimensionless candidate factor </w:t>
      </w:r>
      <m:oMath>
        <m:r>
          <w:rPr>
            <w:rFonts w:ascii="Cambria Math" w:hAnsi="Cambria Math"/>
          </w:rPr>
          <m:t>f</m:t>
        </m:r>
      </m:oMath>
      <w:r>
        <w:t>, the effective regularization is</w:t>
      </w:r>
    </w:p>
    <w:tbl>
      <w:tblPr>
        <w:tblW w:w="9994" w:type="dxa"/>
        <w:jc w:val="center"/>
        <w:tblBorders>
          <w:top w:val="nil"/>
          <w:left w:val="nil"/>
          <w:bottom w:val="nil"/>
          <w:right w:val="nil"/>
          <w:insideH w:val="nil"/>
          <w:insideV w:val="nil"/>
        </w:tblBorders>
        <w:tblLayout w:type="fixed"/>
        <w:tblLook w:val="04A0" w:firstRow="1" w:lastRow="0" w:firstColumn="1" w:lastColumn="0" w:noHBand="0" w:noVBand="1"/>
      </w:tblPr>
      <w:tblGrid>
        <w:gridCol w:w="518"/>
        <w:gridCol w:w="8958"/>
        <w:gridCol w:w="518"/>
      </w:tblGrid>
      <w:tr w:rsidR="00B86945" w14:paraId="282DEC89" w14:textId="77777777">
        <w:trPr>
          <w:cantSplit/>
          <w:jc w:val="center"/>
        </w:trPr>
        <w:tc>
          <w:tcPr>
            <w:tcW w:w="518" w:type="dxa"/>
            <w:tcMar>
              <w:top w:w="0" w:type="dxa"/>
              <w:left w:w="0" w:type="dxa"/>
              <w:bottom w:w="0" w:type="dxa"/>
              <w:right w:w="0" w:type="dxa"/>
            </w:tcMar>
            <w:vAlign w:val="center"/>
          </w:tcPr>
          <w:p w14:paraId="0615AF2E" w14:textId="77777777" w:rsidR="00B86945" w:rsidRDefault="00B86945">
            <w:pPr>
              <w:keepLines/>
              <w:spacing w:before="40" w:after="80" w:line="240" w:lineRule="auto"/>
            </w:pPr>
          </w:p>
        </w:tc>
        <w:tc>
          <w:tcPr>
            <w:tcW w:w="8957" w:type="dxa"/>
            <w:tcMar>
              <w:top w:w="0" w:type="dxa"/>
              <w:left w:w="0" w:type="dxa"/>
              <w:bottom w:w="0" w:type="dxa"/>
              <w:right w:w="0" w:type="dxa"/>
            </w:tcMar>
            <w:vAlign w:val="center"/>
          </w:tcPr>
          <w:p w14:paraId="08EE2EA3" w14:textId="77777777" w:rsidR="00B86945" w:rsidRDefault="00000000">
            <w:pPr>
              <w:keepLines/>
              <w:spacing w:after="0" w:line="240" w:lineRule="auto"/>
              <w:jc w:val="center"/>
            </w:pPr>
            <m:oMathPara>
              <m:oMath>
                <m:sSub>
                  <m:sSubPr>
                    <m:ctrlPr>
                      <w:rPr>
                        <w:rFonts w:ascii="Cambria Math" w:hAnsi="Cambria Math"/>
                      </w:rPr>
                    </m:ctrlPr>
                  </m:sSubPr>
                  <m:e>
                    <m:r>
                      <w:rPr>
                        <w:rFonts w:ascii="Cambria Math" w:hAnsi="Cambria Math"/>
                      </w:rPr>
                      <m:t>λ</m:t>
                    </m:r>
                  </m:e>
                  <m:sub>
                    <m:r>
                      <w:rPr>
                        <w:rFonts w:ascii="Cambria Math" w:hAnsi="Cambria Math"/>
                      </w:rPr>
                      <m:t>{abs}</m:t>
                    </m:r>
                  </m:sub>
                </m:sSub>
                <m:r>
                  <w:rPr>
                    <w:rFonts w:ascii="Cambria Math" w:hAnsi="Cambria Math"/>
                  </w:rPr>
                  <m:t>=f\, {tr}(</m:t>
                </m:r>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 xml:space="preserve">, </m:t>
                </m:r>
              </m:oMath>
            </m:oMathPara>
          </w:p>
        </w:tc>
        <w:tc>
          <w:tcPr>
            <w:tcW w:w="518" w:type="dxa"/>
            <w:tcMar>
              <w:top w:w="0" w:type="dxa"/>
              <w:left w:w="0" w:type="dxa"/>
              <w:bottom w:w="0" w:type="dxa"/>
              <w:right w:w="0" w:type="dxa"/>
            </w:tcMar>
            <w:vAlign w:val="center"/>
          </w:tcPr>
          <w:p w14:paraId="347FDC29" w14:textId="77777777" w:rsidR="00B86945" w:rsidRDefault="00000000">
            <w:pPr>
              <w:keepLines/>
              <w:spacing w:before="40" w:after="80" w:line="240" w:lineRule="auto"/>
              <w:jc w:val="right"/>
            </w:pPr>
            <w:r>
              <w:rPr>
                <w:sz w:val="18"/>
              </w:rPr>
              <w:t>(1)</w:t>
            </w:r>
          </w:p>
        </w:tc>
      </w:tr>
    </w:tbl>
    <w:p w14:paraId="04D7FCDE" w14:textId="77777777" w:rsidR="00B86945" w:rsidRDefault="00000000">
      <w:pPr>
        <w:spacing w:after="100" w:line="259" w:lineRule="auto"/>
      </w:pPr>
      <w:r>
        <w:t xml:space="preserve">with </w:t>
      </w:r>
      <m:oMath>
        <m:r>
          <w:rPr>
            <w:rFonts w:ascii="Cambria Math" w:hAnsi="Cambria Math"/>
          </w:rPr>
          <m:t>f∈{0.01,0.1,1,3,10,30,100}</m:t>
        </m:r>
      </m:oMath>
      <w:r>
        <w:t>. The calibration cohort was constructed from the canonical 1,000-image, 1,000-class calibration split with seed 9101. We sampled 200 distinct class labels uniformly without replacement using independent fixed seed 61327 and used the corresponding image IDs for every model, budget, and factor. All IDs are in the canonical calibration split and disjoint from the seed-9201 confirmatory evaluation IDs; evaluation images and outcomes were not used. The cohort hash and selected labels and global image indices are recorded in the v2 manifest and selected cohort CSV.</w:t>
      </w:r>
    </w:p>
    <w:p w14:paraId="6D0C93DB" w14:textId="77777777" w:rsidR="00B86945" w:rsidRDefault="00000000">
      <w:pPr>
        <w:spacing w:after="100" w:line="259" w:lineRule="auto"/>
      </w:pPr>
      <w:r>
        <w:t xml:space="preserve">We evaluated frozen DeiT-Tiny, DeiT-Small, and ViT-B/16 AugReg at retained-token budgets </w:t>
      </w:r>
      <m:oMath>
        <m:r>
          <w:rPr>
            <w:rFonts w:ascii="Cambria Math" w:hAnsi="Cambria Math"/>
          </w:rPr>
          <m:t>B∈{32,98}</m:t>
        </m:r>
      </m:oMath>
      <w:r>
        <w:t xml:space="preserve">, and DINOv2 ViT-S/14 at </w:t>
      </w:r>
      <m:oMath>
        <m:r>
          <w:rPr>
            <w:rFonts w:ascii="Cambria Math" w:hAnsi="Cambria Math"/>
          </w:rPr>
          <m:t>B∈{42,128}</m:t>
        </m:r>
      </m:oMath>
      <w:r>
        <w:t xml:space="preserve">. Feature-similarity grouping and the existing exact per-image Jacobian solver were used. Each image's Jacobian was reused across all factors and both budgets. Grouping was constructed separately for each budget and held fixed across that budget's factors; the multiplicity-aware downstream forward was unchanged. Each model–budget cell therefore contains the same </w:t>
      </w:r>
      <m:oMath>
        <m:r>
          <w:rPr>
            <w:rFonts w:ascii="Cambria Math" w:hAnsi="Cambria Math"/>
          </w:rPr>
          <m:t>N=200</m:t>
        </m:r>
      </m:oMath>
      <w:r>
        <w:t xml:space="preserve"> calibration images for every factor and for the common Group Mean baseline. The per-image CSV records nonlinear Top-1 correctness, clean-to-compressed final-logit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damage, true-class margin change, linearized residual </w:t>
      </w:r>
      <m:oMath>
        <m:r>
          <w:rPr>
            <w:rFonts w:ascii="Cambria Math" w:hAnsi="Cambria Math"/>
          </w:rPr>
          <m:t>||JE||</m:t>
        </m:r>
      </m:oMath>
      <w:r>
        <w:t xml:space="preserve">, carrier displacement </w:t>
      </w:r>
      <m:oMath>
        <m:sSub>
          <m:sSubPr>
            <m:ctrlPr>
              <w:rPr>
                <w:rFonts w:ascii="Cambria Math" w:hAnsi="Cambria Math"/>
              </w:rPr>
            </m:ctrlPr>
          </m:sSubPr>
          <m:e>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opt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mean</m:t>
                </m:r>
              </m:sub>
            </m:sSub>
            <m:r>
              <w:rPr>
                <w:rFonts w:ascii="Cambria Math" w:hAnsi="Cambria Math"/>
              </w:rPr>
              <m:t>||</m:t>
            </m:r>
          </m:e>
          <m:sub>
            <m:r>
              <w:rPr>
                <w:rFonts w:ascii="Cambria Math" w:hAnsi="Cambria Math"/>
              </w:rPr>
              <m:t>F</m:t>
            </m:r>
          </m:sub>
        </m:sSub>
      </m:oMath>
      <w:r>
        <w:t xml:space="preserve">, </w:t>
      </w:r>
      <m:oMath>
        <m:r>
          <w:rPr>
            <w:rFonts w:ascii="Cambria Math" w:hAnsi="Cambria Math"/>
          </w:rPr>
          <m:t>{tr}(</m:t>
        </m:r>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oMath>
      <w:r>
        <w:t>, and effective absolute regularization.</w:t>
      </w:r>
    </w:p>
    <w:p w14:paraId="16913624" w14:textId="77777777" w:rsidR="00000000" w:rsidRDefault="00000000">
      <w:pPr>
        <w:spacing w:after="100" w:line="259" w:lineRule="auto"/>
      </w:pPr>
      <w:r>
        <w:t>The calibration-cohort Top-1 summary appears in Table S6.</w:t>
      </w:r>
    </w:p>
    <w:p w14:paraId="5BD6C709" w14:textId="77777777" w:rsidR="00B86945" w:rsidRDefault="00000000">
      <w:pPr>
        <w:keepLines/>
        <w:spacing w:after="80"/>
        <w:jc w:val="center"/>
      </w:pPr>
      <w:r>
        <w:rPr>
          <w:i/>
          <w:color w:val="4C5963"/>
          <w:sz w:val="17"/>
        </w:rPr>
        <w:t>Table S6. Calibration-cohort Top-1 sensitivity across regularization factors.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666"/>
        <w:gridCol w:w="1666"/>
        <w:gridCol w:w="1666"/>
        <w:gridCol w:w="1666"/>
        <w:gridCol w:w="1666"/>
        <w:gridCol w:w="1666"/>
      </w:tblGrid>
      <w:tr w:rsidR="00B86945" w:rsidRPr="0026008E" w14:paraId="2B5B9437" w14:textId="77777777" w:rsidTr="0026008E">
        <w:trPr>
          <w:tblHeader/>
        </w:trPr>
        <w:tc>
          <w:tcPr>
            <w:tcW w:w="1666" w:type="dxa"/>
            <w:tcBorders>
              <w:top w:val="single" w:sz="4" w:space="0" w:color="auto"/>
              <w:bottom w:val="single" w:sz="4" w:space="0" w:color="auto"/>
            </w:tcBorders>
            <w:shd w:val="clear" w:color="auto" w:fill="FFFFFF" w:themeFill="background1"/>
            <w:tcMar>
              <w:top w:w="55" w:type="dxa"/>
              <w:left w:w="65" w:type="dxa"/>
              <w:bottom w:w="55" w:type="dxa"/>
              <w:right w:w="65" w:type="dxa"/>
            </w:tcMar>
            <w:vAlign w:val="center"/>
          </w:tcPr>
          <w:p w14:paraId="599E9ACE" w14:textId="77777777" w:rsidR="00B86945" w:rsidRPr="0026008E" w:rsidRDefault="00000000">
            <w:pPr>
              <w:jc w:val="center"/>
              <w:rPr>
                <w:szCs w:val="20"/>
              </w:rPr>
            </w:pPr>
            <w:r w:rsidRPr="0026008E">
              <w:rPr>
                <w:b/>
                <w:color w:val="17232D"/>
                <w:szCs w:val="20"/>
              </w:rPr>
              <w:t>Architecture</w:t>
            </w:r>
          </w:p>
        </w:tc>
        <w:tc>
          <w:tcPr>
            <w:tcW w:w="1666" w:type="dxa"/>
            <w:tcBorders>
              <w:top w:val="single" w:sz="4" w:space="0" w:color="auto"/>
              <w:bottom w:val="single" w:sz="4" w:space="0" w:color="auto"/>
            </w:tcBorders>
            <w:shd w:val="clear" w:color="auto" w:fill="FFFFFF" w:themeFill="background1"/>
            <w:tcMar>
              <w:top w:w="55" w:type="dxa"/>
              <w:left w:w="65" w:type="dxa"/>
              <w:bottom w:w="55" w:type="dxa"/>
              <w:right w:w="65" w:type="dxa"/>
            </w:tcMar>
            <w:vAlign w:val="center"/>
          </w:tcPr>
          <w:p w14:paraId="34A5B850" w14:textId="77777777" w:rsidR="00B86945" w:rsidRPr="0026008E" w:rsidRDefault="00000000">
            <w:pPr>
              <w:jc w:val="center"/>
              <w:rPr>
                <w:szCs w:val="20"/>
              </w:rPr>
            </w:pPr>
            <w:r w:rsidRPr="0026008E">
              <w:rPr>
                <w:b/>
                <w:color w:val="17232D"/>
                <w:szCs w:val="20"/>
              </w:rPr>
              <w:t>Budget (B)</w:t>
            </w:r>
          </w:p>
        </w:tc>
        <w:tc>
          <w:tcPr>
            <w:tcW w:w="1666" w:type="dxa"/>
            <w:tcBorders>
              <w:top w:val="single" w:sz="4" w:space="0" w:color="auto"/>
              <w:bottom w:val="single" w:sz="4" w:space="0" w:color="auto"/>
            </w:tcBorders>
            <w:shd w:val="clear" w:color="auto" w:fill="FFFFFF" w:themeFill="background1"/>
            <w:tcMar>
              <w:top w:w="55" w:type="dxa"/>
              <w:left w:w="65" w:type="dxa"/>
              <w:bottom w:w="55" w:type="dxa"/>
              <w:right w:w="65" w:type="dxa"/>
            </w:tcMar>
            <w:vAlign w:val="center"/>
          </w:tcPr>
          <w:p w14:paraId="549CA8FB" w14:textId="77777777" w:rsidR="00B86945" w:rsidRPr="0026008E" w:rsidRDefault="00000000">
            <w:pPr>
              <w:jc w:val="center"/>
              <w:rPr>
                <w:szCs w:val="20"/>
              </w:rPr>
            </w:pPr>
            <w:r w:rsidRPr="0026008E">
              <w:rPr>
                <w:b/>
                <w:color w:val="17232D"/>
                <w:szCs w:val="20"/>
              </w:rPr>
              <w:t>Factor 10 Top-1 (%)</w:t>
            </w:r>
          </w:p>
        </w:tc>
        <w:tc>
          <w:tcPr>
            <w:tcW w:w="1666" w:type="dxa"/>
            <w:tcBorders>
              <w:top w:val="single" w:sz="4" w:space="0" w:color="auto"/>
              <w:bottom w:val="single" w:sz="4" w:space="0" w:color="auto"/>
            </w:tcBorders>
            <w:shd w:val="clear" w:color="auto" w:fill="FFFFFF" w:themeFill="background1"/>
            <w:tcMar>
              <w:top w:w="55" w:type="dxa"/>
              <w:left w:w="65" w:type="dxa"/>
              <w:bottom w:w="55" w:type="dxa"/>
              <w:right w:w="65" w:type="dxa"/>
            </w:tcMar>
            <w:vAlign w:val="center"/>
          </w:tcPr>
          <w:p w14:paraId="190B8FCF" w14:textId="77777777" w:rsidR="00B86945" w:rsidRPr="0026008E" w:rsidRDefault="00000000">
            <w:pPr>
              <w:jc w:val="center"/>
              <w:rPr>
                <w:szCs w:val="20"/>
              </w:rPr>
            </w:pPr>
            <w:r w:rsidRPr="0026008E">
              <w:rPr>
                <w:b/>
                <w:color w:val="17232D"/>
                <w:szCs w:val="20"/>
              </w:rPr>
              <w:t>Cell maximum (%)</w:t>
            </w:r>
          </w:p>
        </w:tc>
        <w:tc>
          <w:tcPr>
            <w:tcW w:w="1666" w:type="dxa"/>
            <w:tcBorders>
              <w:top w:val="single" w:sz="4" w:space="0" w:color="auto"/>
              <w:bottom w:val="single" w:sz="4" w:space="0" w:color="auto"/>
            </w:tcBorders>
            <w:shd w:val="clear" w:color="auto" w:fill="FFFFFF" w:themeFill="background1"/>
            <w:tcMar>
              <w:top w:w="55" w:type="dxa"/>
              <w:left w:w="65" w:type="dxa"/>
              <w:bottom w:w="55" w:type="dxa"/>
              <w:right w:w="65" w:type="dxa"/>
            </w:tcMar>
            <w:vAlign w:val="center"/>
          </w:tcPr>
          <w:p w14:paraId="6B98BDE1" w14:textId="77777777" w:rsidR="00B86945" w:rsidRPr="0026008E" w:rsidRDefault="00000000">
            <w:pPr>
              <w:jc w:val="center"/>
              <w:rPr>
                <w:szCs w:val="20"/>
              </w:rPr>
            </w:pPr>
            <w:r w:rsidRPr="0026008E">
              <w:rPr>
                <w:b/>
                <w:color w:val="17232D"/>
                <w:szCs w:val="20"/>
              </w:rPr>
              <w:t>Factor(s) at maximum</w:t>
            </w:r>
          </w:p>
        </w:tc>
        <w:tc>
          <w:tcPr>
            <w:tcW w:w="1666" w:type="dxa"/>
            <w:tcBorders>
              <w:top w:val="single" w:sz="4" w:space="0" w:color="auto"/>
              <w:bottom w:val="single" w:sz="4" w:space="0" w:color="auto"/>
            </w:tcBorders>
            <w:shd w:val="clear" w:color="auto" w:fill="FFFFFF" w:themeFill="background1"/>
            <w:tcMar>
              <w:top w:w="55" w:type="dxa"/>
              <w:left w:w="65" w:type="dxa"/>
              <w:bottom w:w="55" w:type="dxa"/>
              <w:right w:w="65" w:type="dxa"/>
            </w:tcMar>
            <w:vAlign w:val="center"/>
          </w:tcPr>
          <w:p w14:paraId="5DB95E18" w14:textId="77777777" w:rsidR="00B86945" w:rsidRPr="0026008E" w:rsidRDefault="00000000">
            <w:pPr>
              <w:jc w:val="center"/>
              <w:rPr>
                <w:szCs w:val="20"/>
              </w:rPr>
            </w:pPr>
            <w:r w:rsidRPr="0026008E">
              <w:rPr>
                <w:b/>
                <w:color w:val="17232D"/>
                <w:szCs w:val="20"/>
              </w:rPr>
              <w:t>Group Mean Top-1 (%)</w:t>
            </w:r>
          </w:p>
        </w:tc>
      </w:tr>
      <w:tr w:rsidR="00B86945" w:rsidRPr="0026008E" w14:paraId="3CA84FBF" w14:textId="77777777" w:rsidTr="0026008E">
        <w:tc>
          <w:tcPr>
            <w:tcW w:w="1666" w:type="dxa"/>
            <w:tcBorders>
              <w:top w:val="single" w:sz="4" w:space="0" w:color="auto"/>
            </w:tcBorders>
            <w:shd w:val="clear" w:color="auto" w:fill="FFFFFF" w:themeFill="background1"/>
            <w:tcMar>
              <w:top w:w="55" w:type="dxa"/>
              <w:left w:w="65" w:type="dxa"/>
              <w:bottom w:w="55" w:type="dxa"/>
              <w:right w:w="65" w:type="dxa"/>
            </w:tcMar>
            <w:vAlign w:val="center"/>
          </w:tcPr>
          <w:p w14:paraId="7351BF1F" w14:textId="77777777" w:rsidR="00B86945" w:rsidRPr="0026008E" w:rsidRDefault="00000000">
            <w:pPr>
              <w:rPr>
                <w:szCs w:val="20"/>
              </w:rPr>
            </w:pPr>
            <w:r w:rsidRPr="0026008E">
              <w:rPr>
                <w:szCs w:val="20"/>
              </w:rPr>
              <w:t>DeiT-Tiny</w:t>
            </w:r>
          </w:p>
        </w:tc>
        <w:tc>
          <w:tcPr>
            <w:tcW w:w="1666" w:type="dxa"/>
            <w:tcBorders>
              <w:top w:val="single" w:sz="4" w:space="0" w:color="auto"/>
            </w:tcBorders>
            <w:shd w:val="clear" w:color="auto" w:fill="FFFFFF" w:themeFill="background1"/>
            <w:tcMar>
              <w:top w:w="55" w:type="dxa"/>
              <w:left w:w="65" w:type="dxa"/>
              <w:bottom w:w="55" w:type="dxa"/>
              <w:right w:w="65" w:type="dxa"/>
            </w:tcMar>
            <w:vAlign w:val="center"/>
          </w:tcPr>
          <w:p w14:paraId="221DEA7F" w14:textId="77777777" w:rsidR="00B86945" w:rsidRPr="0026008E" w:rsidRDefault="00000000">
            <w:pPr>
              <w:jc w:val="center"/>
              <w:rPr>
                <w:szCs w:val="20"/>
              </w:rPr>
            </w:pPr>
            <w:r w:rsidRPr="0026008E">
              <w:rPr>
                <w:szCs w:val="20"/>
              </w:rPr>
              <w:t>32</w:t>
            </w:r>
          </w:p>
        </w:tc>
        <w:tc>
          <w:tcPr>
            <w:tcW w:w="1666" w:type="dxa"/>
            <w:tcBorders>
              <w:top w:val="single" w:sz="4" w:space="0" w:color="auto"/>
            </w:tcBorders>
            <w:shd w:val="clear" w:color="auto" w:fill="FFFFFF" w:themeFill="background1"/>
            <w:tcMar>
              <w:top w:w="55" w:type="dxa"/>
              <w:left w:w="65" w:type="dxa"/>
              <w:bottom w:w="55" w:type="dxa"/>
              <w:right w:w="65" w:type="dxa"/>
            </w:tcMar>
            <w:vAlign w:val="center"/>
          </w:tcPr>
          <w:p w14:paraId="70B9C2B4" w14:textId="77777777" w:rsidR="00B86945" w:rsidRPr="0026008E" w:rsidRDefault="00000000">
            <w:pPr>
              <w:jc w:val="center"/>
              <w:rPr>
                <w:szCs w:val="20"/>
              </w:rPr>
            </w:pPr>
            <w:r w:rsidRPr="0026008E">
              <w:rPr>
                <w:szCs w:val="20"/>
              </w:rPr>
              <w:t>71.0</w:t>
            </w:r>
          </w:p>
        </w:tc>
        <w:tc>
          <w:tcPr>
            <w:tcW w:w="1666" w:type="dxa"/>
            <w:tcBorders>
              <w:top w:val="single" w:sz="4" w:space="0" w:color="auto"/>
            </w:tcBorders>
            <w:shd w:val="clear" w:color="auto" w:fill="FFFFFF" w:themeFill="background1"/>
            <w:tcMar>
              <w:top w:w="55" w:type="dxa"/>
              <w:left w:w="65" w:type="dxa"/>
              <w:bottom w:w="55" w:type="dxa"/>
              <w:right w:w="65" w:type="dxa"/>
            </w:tcMar>
            <w:vAlign w:val="center"/>
          </w:tcPr>
          <w:p w14:paraId="216F78EA" w14:textId="77777777" w:rsidR="00B86945" w:rsidRPr="0026008E" w:rsidRDefault="00000000">
            <w:pPr>
              <w:jc w:val="center"/>
              <w:rPr>
                <w:szCs w:val="20"/>
              </w:rPr>
            </w:pPr>
            <w:r w:rsidRPr="0026008E">
              <w:rPr>
                <w:szCs w:val="20"/>
              </w:rPr>
              <w:t>71.5</w:t>
            </w:r>
          </w:p>
        </w:tc>
        <w:tc>
          <w:tcPr>
            <w:tcW w:w="1666" w:type="dxa"/>
            <w:tcBorders>
              <w:top w:val="single" w:sz="4" w:space="0" w:color="auto"/>
            </w:tcBorders>
            <w:shd w:val="clear" w:color="auto" w:fill="FFFFFF" w:themeFill="background1"/>
            <w:tcMar>
              <w:top w:w="55" w:type="dxa"/>
              <w:left w:w="65" w:type="dxa"/>
              <w:bottom w:w="55" w:type="dxa"/>
              <w:right w:w="65" w:type="dxa"/>
            </w:tcMar>
            <w:vAlign w:val="center"/>
          </w:tcPr>
          <w:p w14:paraId="4C7E76DC" w14:textId="77777777" w:rsidR="00B86945" w:rsidRPr="0026008E" w:rsidRDefault="00000000">
            <w:pPr>
              <w:jc w:val="center"/>
              <w:rPr>
                <w:szCs w:val="20"/>
              </w:rPr>
            </w:pPr>
            <w:r w:rsidRPr="0026008E">
              <w:rPr>
                <w:szCs w:val="20"/>
              </w:rPr>
              <w:t>1, 30</w:t>
            </w:r>
          </w:p>
        </w:tc>
        <w:tc>
          <w:tcPr>
            <w:tcW w:w="1666" w:type="dxa"/>
            <w:tcBorders>
              <w:top w:val="single" w:sz="4" w:space="0" w:color="auto"/>
            </w:tcBorders>
            <w:shd w:val="clear" w:color="auto" w:fill="FFFFFF" w:themeFill="background1"/>
            <w:tcMar>
              <w:top w:w="55" w:type="dxa"/>
              <w:left w:w="65" w:type="dxa"/>
              <w:bottom w:w="55" w:type="dxa"/>
              <w:right w:w="65" w:type="dxa"/>
            </w:tcMar>
            <w:vAlign w:val="center"/>
          </w:tcPr>
          <w:p w14:paraId="2AA2A533" w14:textId="77777777" w:rsidR="00B86945" w:rsidRPr="0026008E" w:rsidRDefault="00000000">
            <w:pPr>
              <w:jc w:val="center"/>
              <w:rPr>
                <w:szCs w:val="20"/>
              </w:rPr>
            </w:pPr>
            <w:r w:rsidRPr="0026008E">
              <w:rPr>
                <w:szCs w:val="20"/>
              </w:rPr>
              <w:t>70.5</w:t>
            </w:r>
          </w:p>
        </w:tc>
      </w:tr>
      <w:tr w:rsidR="00B86945" w:rsidRPr="0026008E" w14:paraId="55E0E50C" w14:textId="77777777" w:rsidTr="0026008E">
        <w:tc>
          <w:tcPr>
            <w:tcW w:w="1666" w:type="dxa"/>
            <w:shd w:val="clear" w:color="auto" w:fill="FFFFFF" w:themeFill="background1"/>
            <w:tcMar>
              <w:top w:w="55" w:type="dxa"/>
              <w:left w:w="65" w:type="dxa"/>
              <w:bottom w:w="55" w:type="dxa"/>
              <w:right w:w="65" w:type="dxa"/>
            </w:tcMar>
            <w:vAlign w:val="center"/>
          </w:tcPr>
          <w:p w14:paraId="20083166" w14:textId="77777777" w:rsidR="00B86945" w:rsidRPr="0026008E" w:rsidRDefault="00000000">
            <w:pPr>
              <w:rPr>
                <w:szCs w:val="20"/>
              </w:rPr>
            </w:pPr>
            <w:r w:rsidRPr="0026008E">
              <w:rPr>
                <w:szCs w:val="20"/>
              </w:rPr>
              <w:t>DeiT-Tiny</w:t>
            </w:r>
          </w:p>
        </w:tc>
        <w:tc>
          <w:tcPr>
            <w:tcW w:w="1666" w:type="dxa"/>
            <w:shd w:val="clear" w:color="auto" w:fill="FFFFFF" w:themeFill="background1"/>
            <w:tcMar>
              <w:top w:w="55" w:type="dxa"/>
              <w:left w:w="65" w:type="dxa"/>
              <w:bottom w:w="55" w:type="dxa"/>
              <w:right w:w="65" w:type="dxa"/>
            </w:tcMar>
            <w:vAlign w:val="center"/>
          </w:tcPr>
          <w:p w14:paraId="755BD5D1" w14:textId="77777777" w:rsidR="00B86945" w:rsidRPr="0026008E" w:rsidRDefault="00000000">
            <w:pPr>
              <w:jc w:val="center"/>
              <w:rPr>
                <w:szCs w:val="20"/>
              </w:rPr>
            </w:pPr>
            <w:r w:rsidRPr="0026008E">
              <w:rPr>
                <w:szCs w:val="20"/>
              </w:rPr>
              <w:t>98</w:t>
            </w:r>
          </w:p>
        </w:tc>
        <w:tc>
          <w:tcPr>
            <w:tcW w:w="1666" w:type="dxa"/>
            <w:shd w:val="clear" w:color="auto" w:fill="FFFFFF" w:themeFill="background1"/>
            <w:tcMar>
              <w:top w:w="55" w:type="dxa"/>
              <w:left w:w="65" w:type="dxa"/>
              <w:bottom w:w="55" w:type="dxa"/>
              <w:right w:w="65" w:type="dxa"/>
            </w:tcMar>
            <w:vAlign w:val="center"/>
          </w:tcPr>
          <w:p w14:paraId="5F26A2DE" w14:textId="77777777" w:rsidR="00B86945" w:rsidRPr="0026008E" w:rsidRDefault="00000000">
            <w:pPr>
              <w:jc w:val="center"/>
              <w:rPr>
                <w:szCs w:val="20"/>
              </w:rPr>
            </w:pPr>
            <w:r w:rsidRPr="0026008E">
              <w:rPr>
                <w:szCs w:val="20"/>
              </w:rPr>
              <w:t>72.0</w:t>
            </w:r>
          </w:p>
        </w:tc>
        <w:tc>
          <w:tcPr>
            <w:tcW w:w="1666" w:type="dxa"/>
            <w:shd w:val="clear" w:color="auto" w:fill="FFFFFF" w:themeFill="background1"/>
            <w:tcMar>
              <w:top w:w="55" w:type="dxa"/>
              <w:left w:w="65" w:type="dxa"/>
              <w:bottom w:w="55" w:type="dxa"/>
              <w:right w:w="65" w:type="dxa"/>
            </w:tcMar>
            <w:vAlign w:val="center"/>
          </w:tcPr>
          <w:p w14:paraId="684306DF" w14:textId="77777777" w:rsidR="00B86945" w:rsidRPr="0026008E" w:rsidRDefault="00000000">
            <w:pPr>
              <w:jc w:val="center"/>
              <w:rPr>
                <w:szCs w:val="20"/>
              </w:rPr>
            </w:pPr>
            <w:r w:rsidRPr="0026008E">
              <w:rPr>
                <w:szCs w:val="20"/>
              </w:rPr>
              <w:t>72.5</w:t>
            </w:r>
          </w:p>
        </w:tc>
        <w:tc>
          <w:tcPr>
            <w:tcW w:w="1666" w:type="dxa"/>
            <w:shd w:val="clear" w:color="auto" w:fill="FFFFFF" w:themeFill="background1"/>
            <w:tcMar>
              <w:top w:w="55" w:type="dxa"/>
              <w:left w:w="65" w:type="dxa"/>
              <w:bottom w:w="55" w:type="dxa"/>
              <w:right w:w="65" w:type="dxa"/>
            </w:tcMar>
            <w:vAlign w:val="center"/>
          </w:tcPr>
          <w:p w14:paraId="6E6B8C40" w14:textId="77777777" w:rsidR="00B86945" w:rsidRPr="0026008E" w:rsidRDefault="00000000">
            <w:pPr>
              <w:jc w:val="center"/>
              <w:rPr>
                <w:szCs w:val="20"/>
              </w:rPr>
            </w:pPr>
            <w:r w:rsidRPr="0026008E">
              <w:rPr>
                <w:szCs w:val="20"/>
              </w:rPr>
              <w:t>1, 3</w:t>
            </w:r>
          </w:p>
        </w:tc>
        <w:tc>
          <w:tcPr>
            <w:tcW w:w="1666" w:type="dxa"/>
            <w:shd w:val="clear" w:color="auto" w:fill="FFFFFF" w:themeFill="background1"/>
            <w:tcMar>
              <w:top w:w="55" w:type="dxa"/>
              <w:left w:w="65" w:type="dxa"/>
              <w:bottom w:w="55" w:type="dxa"/>
              <w:right w:w="65" w:type="dxa"/>
            </w:tcMar>
            <w:vAlign w:val="center"/>
          </w:tcPr>
          <w:p w14:paraId="2EF05B07" w14:textId="77777777" w:rsidR="00B86945" w:rsidRPr="0026008E" w:rsidRDefault="00000000">
            <w:pPr>
              <w:jc w:val="center"/>
              <w:rPr>
                <w:szCs w:val="20"/>
              </w:rPr>
            </w:pPr>
            <w:r w:rsidRPr="0026008E">
              <w:rPr>
                <w:szCs w:val="20"/>
              </w:rPr>
              <w:t>72.0</w:t>
            </w:r>
          </w:p>
        </w:tc>
      </w:tr>
      <w:tr w:rsidR="00B86945" w:rsidRPr="0026008E" w14:paraId="4F5CEB9D" w14:textId="77777777" w:rsidTr="0026008E">
        <w:tc>
          <w:tcPr>
            <w:tcW w:w="1666" w:type="dxa"/>
            <w:shd w:val="clear" w:color="auto" w:fill="FFFFFF" w:themeFill="background1"/>
            <w:tcMar>
              <w:top w:w="55" w:type="dxa"/>
              <w:left w:w="65" w:type="dxa"/>
              <w:bottom w:w="55" w:type="dxa"/>
              <w:right w:w="65" w:type="dxa"/>
            </w:tcMar>
            <w:vAlign w:val="center"/>
          </w:tcPr>
          <w:p w14:paraId="2FBFDE78" w14:textId="77777777" w:rsidR="00B86945" w:rsidRPr="0026008E" w:rsidRDefault="00000000">
            <w:pPr>
              <w:rPr>
                <w:szCs w:val="20"/>
              </w:rPr>
            </w:pPr>
            <w:r w:rsidRPr="0026008E">
              <w:rPr>
                <w:szCs w:val="20"/>
              </w:rPr>
              <w:t>DeiT-Small</w:t>
            </w:r>
          </w:p>
        </w:tc>
        <w:tc>
          <w:tcPr>
            <w:tcW w:w="1666" w:type="dxa"/>
            <w:shd w:val="clear" w:color="auto" w:fill="FFFFFF" w:themeFill="background1"/>
            <w:tcMar>
              <w:top w:w="55" w:type="dxa"/>
              <w:left w:w="65" w:type="dxa"/>
              <w:bottom w:w="55" w:type="dxa"/>
              <w:right w:w="65" w:type="dxa"/>
            </w:tcMar>
            <w:vAlign w:val="center"/>
          </w:tcPr>
          <w:p w14:paraId="6EC664A7" w14:textId="77777777" w:rsidR="00B86945" w:rsidRPr="0026008E" w:rsidRDefault="00000000">
            <w:pPr>
              <w:jc w:val="center"/>
              <w:rPr>
                <w:szCs w:val="20"/>
              </w:rPr>
            </w:pPr>
            <w:r w:rsidRPr="0026008E">
              <w:rPr>
                <w:szCs w:val="20"/>
              </w:rPr>
              <w:t>32</w:t>
            </w:r>
          </w:p>
        </w:tc>
        <w:tc>
          <w:tcPr>
            <w:tcW w:w="1666" w:type="dxa"/>
            <w:shd w:val="clear" w:color="auto" w:fill="FFFFFF" w:themeFill="background1"/>
            <w:tcMar>
              <w:top w:w="55" w:type="dxa"/>
              <w:left w:w="65" w:type="dxa"/>
              <w:bottom w:w="55" w:type="dxa"/>
              <w:right w:w="65" w:type="dxa"/>
            </w:tcMar>
            <w:vAlign w:val="center"/>
          </w:tcPr>
          <w:p w14:paraId="4C104A50" w14:textId="77777777" w:rsidR="00B86945" w:rsidRPr="0026008E" w:rsidRDefault="00000000">
            <w:pPr>
              <w:jc w:val="center"/>
              <w:rPr>
                <w:szCs w:val="20"/>
              </w:rPr>
            </w:pPr>
            <w:r w:rsidRPr="0026008E">
              <w:rPr>
                <w:szCs w:val="20"/>
              </w:rPr>
              <w:t>80.5</w:t>
            </w:r>
          </w:p>
        </w:tc>
        <w:tc>
          <w:tcPr>
            <w:tcW w:w="1666" w:type="dxa"/>
            <w:shd w:val="clear" w:color="auto" w:fill="FFFFFF" w:themeFill="background1"/>
            <w:tcMar>
              <w:top w:w="55" w:type="dxa"/>
              <w:left w:w="65" w:type="dxa"/>
              <w:bottom w:w="55" w:type="dxa"/>
              <w:right w:w="65" w:type="dxa"/>
            </w:tcMar>
            <w:vAlign w:val="center"/>
          </w:tcPr>
          <w:p w14:paraId="27FFAB6B" w14:textId="77777777" w:rsidR="00B86945" w:rsidRPr="0026008E" w:rsidRDefault="00000000">
            <w:pPr>
              <w:jc w:val="center"/>
              <w:rPr>
                <w:szCs w:val="20"/>
              </w:rPr>
            </w:pPr>
            <w:r w:rsidRPr="0026008E">
              <w:rPr>
                <w:szCs w:val="20"/>
              </w:rPr>
              <w:t>81.0</w:t>
            </w:r>
          </w:p>
        </w:tc>
        <w:tc>
          <w:tcPr>
            <w:tcW w:w="1666" w:type="dxa"/>
            <w:shd w:val="clear" w:color="auto" w:fill="FFFFFF" w:themeFill="background1"/>
            <w:tcMar>
              <w:top w:w="55" w:type="dxa"/>
              <w:left w:w="65" w:type="dxa"/>
              <w:bottom w:w="55" w:type="dxa"/>
              <w:right w:w="65" w:type="dxa"/>
            </w:tcMar>
            <w:vAlign w:val="center"/>
          </w:tcPr>
          <w:p w14:paraId="165FDEDF" w14:textId="77777777" w:rsidR="00B86945" w:rsidRPr="0026008E" w:rsidRDefault="00000000">
            <w:pPr>
              <w:jc w:val="center"/>
              <w:rPr>
                <w:szCs w:val="20"/>
              </w:rPr>
            </w:pPr>
            <w:r w:rsidRPr="0026008E">
              <w:rPr>
                <w:szCs w:val="20"/>
              </w:rPr>
              <w:t>3</w:t>
            </w:r>
          </w:p>
        </w:tc>
        <w:tc>
          <w:tcPr>
            <w:tcW w:w="1666" w:type="dxa"/>
            <w:shd w:val="clear" w:color="auto" w:fill="FFFFFF" w:themeFill="background1"/>
            <w:tcMar>
              <w:top w:w="55" w:type="dxa"/>
              <w:left w:w="65" w:type="dxa"/>
              <w:bottom w:w="55" w:type="dxa"/>
              <w:right w:w="65" w:type="dxa"/>
            </w:tcMar>
            <w:vAlign w:val="center"/>
          </w:tcPr>
          <w:p w14:paraId="76F5D0EC" w14:textId="77777777" w:rsidR="00B86945" w:rsidRPr="0026008E" w:rsidRDefault="00000000">
            <w:pPr>
              <w:jc w:val="center"/>
              <w:rPr>
                <w:szCs w:val="20"/>
              </w:rPr>
            </w:pPr>
            <w:r w:rsidRPr="0026008E">
              <w:rPr>
                <w:szCs w:val="20"/>
              </w:rPr>
              <w:t>77.5</w:t>
            </w:r>
          </w:p>
        </w:tc>
      </w:tr>
      <w:tr w:rsidR="00B86945" w:rsidRPr="0026008E" w14:paraId="5B16D1A0" w14:textId="77777777" w:rsidTr="0026008E">
        <w:tc>
          <w:tcPr>
            <w:tcW w:w="1666" w:type="dxa"/>
            <w:shd w:val="clear" w:color="auto" w:fill="FFFFFF" w:themeFill="background1"/>
            <w:tcMar>
              <w:top w:w="55" w:type="dxa"/>
              <w:left w:w="65" w:type="dxa"/>
              <w:bottom w:w="55" w:type="dxa"/>
              <w:right w:w="65" w:type="dxa"/>
            </w:tcMar>
            <w:vAlign w:val="center"/>
          </w:tcPr>
          <w:p w14:paraId="3AC7C5DE" w14:textId="77777777" w:rsidR="00B86945" w:rsidRPr="0026008E" w:rsidRDefault="00000000">
            <w:pPr>
              <w:rPr>
                <w:szCs w:val="20"/>
              </w:rPr>
            </w:pPr>
            <w:r w:rsidRPr="0026008E">
              <w:rPr>
                <w:szCs w:val="20"/>
              </w:rPr>
              <w:t>DeiT-Small</w:t>
            </w:r>
          </w:p>
        </w:tc>
        <w:tc>
          <w:tcPr>
            <w:tcW w:w="1666" w:type="dxa"/>
            <w:shd w:val="clear" w:color="auto" w:fill="FFFFFF" w:themeFill="background1"/>
            <w:tcMar>
              <w:top w:w="55" w:type="dxa"/>
              <w:left w:w="65" w:type="dxa"/>
              <w:bottom w:w="55" w:type="dxa"/>
              <w:right w:w="65" w:type="dxa"/>
            </w:tcMar>
            <w:vAlign w:val="center"/>
          </w:tcPr>
          <w:p w14:paraId="1CFEBBB4" w14:textId="77777777" w:rsidR="00B86945" w:rsidRPr="0026008E" w:rsidRDefault="00000000">
            <w:pPr>
              <w:jc w:val="center"/>
              <w:rPr>
                <w:szCs w:val="20"/>
              </w:rPr>
            </w:pPr>
            <w:r w:rsidRPr="0026008E">
              <w:rPr>
                <w:szCs w:val="20"/>
              </w:rPr>
              <w:t>98</w:t>
            </w:r>
          </w:p>
        </w:tc>
        <w:tc>
          <w:tcPr>
            <w:tcW w:w="1666" w:type="dxa"/>
            <w:shd w:val="clear" w:color="auto" w:fill="FFFFFF" w:themeFill="background1"/>
            <w:tcMar>
              <w:top w:w="55" w:type="dxa"/>
              <w:left w:w="65" w:type="dxa"/>
              <w:bottom w:w="55" w:type="dxa"/>
              <w:right w:w="65" w:type="dxa"/>
            </w:tcMar>
            <w:vAlign w:val="center"/>
          </w:tcPr>
          <w:p w14:paraId="7373AB00" w14:textId="77777777" w:rsidR="00B86945" w:rsidRPr="0026008E" w:rsidRDefault="00000000">
            <w:pPr>
              <w:jc w:val="center"/>
              <w:rPr>
                <w:szCs w:val="20"/>
              </w:rPr>
            </w:pPr>
            <w:r w:rsidRPr="0026008E">
              <w:rPr>
                <w:szCs w:val="20"/>
              </w:rPr>
              <w:t>81.0</w:t>
            </w:r>
          </w:p>
        </w:tc>
        <w:tc>
          <w:tcPr>
            <w:tcW w:w="1666" w:type="dxa"/>
            <w:shd w:val="clear" w:color="auto" w:fill="FFFFFF" w:themeFill="background1"/>
            <w:tcMar>
              <w:top w:w="55" w:type="dxa"/>
              <w:left w:w="65" w:type="dxa"/>
              <w:bottom w:w="55" w:type="dxa"/>
              <w:right w:w="65" w:type="dxa"/>
            </w:tcMar>
            <w:vAlign w:val="center"/>
          </w:tcPr>
          <w:p w14:paraId="37740B33" w14:textId="77777777" w:rsidR="00B86945" w:rsidRPr="0026008E" w:rsidRDefault="00000000">
            <w:pPr>
              <w:jc w:val="center"/>
              <w:rPr>
                <w:szCs w:val="20"/>
              </w:rPr>
            </w:pPr>
            <w:r w:rsidRPr="0026008E">
              <w:rPr>
                <w:szCs w:val="20"/>
              </w:rPr>
              <w:t>81.0</w:t>
            </w:r>
          </w:p>
        </w:tc>
        <w:tc>
          <w:tcPr>
            <w:tcW w:w="1666" w:type="dxa"/>
            <w:shd w:val="clear" w:color="auto" w:fill="FFFFFF" w:themeFill="background1"/>
            <w:tcMar>
              <w:top w:w="55" w:type="dxa"/>
              <w:left w:w="65" w:type="dxa"/>
              <w:bottom w:w="55" w:type="dxa"/>
              <w:right w:w="65" w:type="dxa"/>
            </w:tcMar>
            <w:vAlign w:val="center"/>
          </w:tcPr>
          <w:p w14:paraId="79DE6217" w14:textId="77777777" w:rsidR="00B86945" w:rsidRPr="0026008E" w:rsidRDefault="00000000">
            <w:pPr>
              <w:jc w:val="center"/>
              <w:rPr>
                <w:szCs w:val="20"/>
              </w:rPr>
            </w:pPr>
            <w:r w:rsidRPr="0026008E">
              <w:rPr>
                <w:szCs w:val="20"/>
              </w:rPr>
              <w:t>all seven factors</w:t>
            </w:r>
          </w:p>
        </w:tc>
        <w:tc>
          <w:tcPr>
            <w:tcW w:w="1666" w:type="dxa"/>
            <w:shd w:val="clear" w:color="auto" w:fill="FFFFFF" w:themeFill="background1"/>
            <w:tcMar>
              <w:top w:w="55" w:type="dxa"/>
              <w:left w:w="65" w:type="dxa"/>
              <w:bottom w:w="55" w:type="dxa"/>
              <w:right w:w="65" w:type="dxa"/>
            </w:tcMar>
            <w:vAlign w:val="center"/>
          </w:tcPr>
          <w:p w14:paraId="6365FFE5" w14:textId="77777777" w:rsidR="00B86945" w:rsidRPr="0026008E" w:rsidRDefault="00000000">
            <w:pPr>
              <w:jc w:val="center"/>
              <w:rPr>
                <w:szCs w:val="20"/>
              </w:rPr>
            </w:pPr>
            <w:r w:rsidRPr="0026008E">
              <w:rPr>
                <w:szCs w:val="20"/>
              </w:rPr>
              <w:t>80.5</w:t>
            </w:r>
          </w:p>
        </w:tc>
      </w:tr>
      <w:tr w:rsidR="00B86945" w:rsidRPr="0026008E" w14:paraId="3B59B81D" w14:textId="77777777" w:rsidTr="0026008E">
        <w:tc>
          <w:tcPr>
            <w:tcW w:w="1666" w:type="dxa"/>
            <w:shd w:val="clear" w:color="auto" w:fill="FFFFFF" w:themeFill="background1"/>
            <w:tcMar>
              <w:top w:w="55" w:type="dxa"/>
              <w:left w:w="65" w:type="dxa"/>
              <w:bottom w:w="55" w:type="dxa"/>
              <w:right w:w="65" w:type="dxa"/>
            </w:tcMar>
            <w:vAlign w:val="center"/>
          </w:tcPr>
          <w:p w14:paraId="1574D460" w14:textId="77777777" w:rsidR="00B86945" w:rsidRPr="0026008E" w:rsidRDefault="00000000">
            <w:pPr>
              <w:rPr>
                <w:szCs w:val="20"/>
              </w:rPr>
            </w:pPr>
            <w:r w:rsidRPr="0026008E">
              <w:rPr>
                <w:szCs w:val="20"/>
              </w:rPr>
              <w:t>ViT-B/16 AugReg</w:t>
            </w:r>
          </w:p>
        </w:tc>
        <w:tc>
          <w:tcPr>
            <w:tcW w:w="1666" w:type="dxa"/>
            <w:shd w:val="clear" w:color="auto" w:fill="FFFFFF" w:themeFill="background1"/>
            <w:tcMar>
              <w:top w:w="55" w:type="dxa"/>
              <w:left w:w="65" w:type="dxa"/>
              <w:bottom w:w="55" w:type="dxa"/>
              <w:right w:w="65" w:type="dxa"/>
            </w:tcMar>
            <w:vAlign w:val="center"/>
          </w:tcPr>
          <w:p w14:paraId="3E0413E8" w14:textId="77777777" w:rsidR="00B86945" w:rsidRPr="0026008E" w:rsidRDefault="00000000">
            <w:pPr>
              <w:jc w:val="center"/>
              <w:rPr>
                <w:szCs w:val="20"/>
              </w:rPr>
            </w:pPr>
            <w:r w:rsidRPr="0026008E">
              <w:rPr>
                <w:szCs w:val="20"/>
              </w:rPr>
              <w:t>32</w:t>
            </w:r>
          </w:p>
        </w:tc>
        <w:tc>
          <w:tcPr>
            <w:tcW w:w="1666" w:type="dxa"/>
            <w:shd w:val="clear" w:color="auto" w:fill="FFFFFF" w:themeFill="background1"/>
            <w:tcMar>
              <w:top w:w="55" w:type="dxa"/>
              <w:left w:w="65" w:type="dxa"/>
              <w:bottom w:w="55" w:type="dxa"/>
              <w:right w:w="65" w:type="dxa"/>
            </w:tcMar>
            <w:vAlign w:val="center"/>
          </w:tcPr>
          <w:p w14:paraId="3D7C8B7D" w14:textId="77777777" w:rsidR="00B86945" w:rsidRPr="0026008E" w:rsidRDefault="00000000">
            <w:pPr>
              <w:jc w:val="center"/>
              <w:rPr>
                <w:szCs w:val="20"/>
              </w:rPr>
            </w:pPr>
            <w:r w:rsidRPr="0026008E">
              <w:rPr>
                <w:szCs w:val="20"/>
              </w:rPr>
              <w:t>79.5</w:t>
            </w:r>
          </w:p>
        </w:tc>
        <w:tc>
          <w:tcPr>
            <w:tcW w:w="1666" w:type="dxa"/>
            <w:shd w:val="clear" w:color="auto" w:fill="FFFFFF" w:themeFill="background1"/>
            <w:tcMar>
              <w:top w:w="55" w:type="dxa"/>
              <w:left w:w="65" w:type="dxa"/>
              <w:bottom w:w="55" w:type="dxa"/>
              <w:right w:w="65" w:type="dxa"/>
            </w:tcMar>
            <w:vAlign w:val="center"/>
          </w:tcPr>
          <w:p w14:paraId="6E001CF0" w14:textId="77777777" w:rsidR="00B86945" w:rsidRPr="0026008E" w:rsidRDefault="00000000">
            <w:pPr>
              <w:jc w:val="center"/>
              <w:rPr>
                <w:szCs w:val="20"/>
              </w:rPr>
            </w:pPr>
            <w:r w:rsidRPr="0026008E">
              <w:rPr>
                <w:szCs w:val="20"/>
              </w:rPr>
              <w:t>79.5</w:t>
            </w:r>
          </w:p>
        </w:tc>
        <w:tc>
          <w:tcPr>
            <w:tcW w:w="1666" w:type="dxa"/>
            <w:shd w:val="clear" w:color="auto" w:fill="FFFFFF" w:themeFill="background1"/>
            <w:tcMar>
              <w:top w:w="55" w:type="dxa"/>
              <w:left w:w="65" w:type="dxa"/>
              <w:bottom w:w="55" w:type="dxa"/>
              <w:right w:w="65" w:type="dxa"/>
            </w:tcMar>
            <w:vAlign w:val="center"/>
          </w:tcPr>
          <w:p w14:paraId="15631DEC" w14:textId="77777777" w:rsidR="00B86945" w:rsidRPr="0026008E" w:rsidRDefault="00000000">
            <w:pPr>
              <w:jc w:val="center"/>
              <w:rPr>
                <w:szCs w:val="20"/>
              </w:rPr>
            </w:pPr>
            <w:r w:rsidRPr="0026008E">
              <w:rPr>
                <w:szCs w:val="20"/>
              </w:rPr>
              <w:t>10</w:t>
            </w:r>
          </w:p>
        </w:tc>
        <w:tc>
          <w:tcPr>
            <w:tcW w:w="1666" w:type="dxa"/>
            <w:shd w:val="clear" w:color="auto" w:fill="FFFFFF" w:themeFill="background1"/>
            <w:tcMar>
              <w:top w:w="55" w:type="dxa"/>
              <w:left w:w="65" w:type="dxa"/>
              <w:bottom w:w="55" w:type="dxa"/>
              <w:right w:w="65" w:type="dxa"/>
            </w:tcMar>
            <w:vAlign w:val="center"/>
          </w:tcPr>
          <w:p w14:paraId="167FAE98" w14:textId="77777777" w:rsidR="00B86945" w:rsidRPr="0026008E" w:rsidRDefault="00000000">
            <w:pPr>
              <w:jc w:val="center"/>
              <w:rPr>
                <w:szCs w:val="20"/>
              </w:rPr>
            </w:pPr>
            <w:r w:rsidRPr="0026008E">
              <w:rPr>
                <w:szCs w:val="20"/>
              </w:rPr>
              <w:t>78.0</w:t>
            </w:r>
          </w:p>
        </w:tc>
      </w:tr>
      <w:tr w:rsidR="00B86945" w:rsidRPr="0026008E" w14:paraId="47E27965" w14:textId="77777777" w:rsidTr="0026008E">
        <w:tc>
          <w:tcPr>
            <w:tcW w:w="1666" w:type="dxa"/>
            <w:shd w:val="clear" w:color="auto" w:fill="FFFFFF" w:themeFill="background1"/>
            <w:tcMar>
              <w:top w:w="55" w:type="dxa"/>
              <w:left w:w="65" w:type="dxa"/>
              <w:bottom w:w="55" w:type="dxa"/>
              <w:right w:w="65" w:type="dxa"/>
            </w:tcMar>
            <w:vAlign w:val="center"/>
          </w:tcPr>
          <w:p w14:paraId="7BF90188" w14:textId="77777777" w:rsidR="00B86945" w:rsidRPr="0026008E" w:rsidRDefault="00000000">
            <w:pPr>
              <w:rPr>
                <w:szCs w:val="20"/>
              </w:rPr>
            </w:pPr>
            <w:r w:rsidRPr="0026008E">
              <w:rPr>
                <w:szCs w:val="20"/>
              </w:rPr>
              <w:t>ViT-B/16 AugReg</w:t>
            </w:r>
          </w:p>
        </w:tc>
        <w:tc>
          <w:tcPr>
            <w:tcW w:w="1666" w:type="dxa"/>
            <w:shd w:val="clear" w:color="auto" w:fill="FFFFFF" w:themeFill="background1"/>
            <w:tcMar>
              <w:top w:w="55" w:type="dxa"/>
              <w:left w:w="65" w:type="dxa"/>
              <w:bottom w:w="55" w:type="dxa"/>
              <w:right w:w="65" w:type="dxa"/>
            </w:tcMar>
            <w:vAlign w:val="center"/>
          </w:tcPr>
          <w:p w14:paraId="1ABCA5CF" w14:textId="77777777" w:rsidR="00B86945" w:rsidRPr="0026008E" w:rsidRDefault="00000000">
            <w:pPr>
              <w:jc w:val="center"/>
              <w:rPr>
                <w:szCs w:val="20"/>
              </w:rPr>
            </w:pPr>
            <w:r w:rsidRPr="0026008E">
              <w:rPr>
                <w:szCs w:val="20"/>
              </w:rPr>
              <w:t>98</w:t>
            </w:r>
          </w:p>
        </w:tc>
        <w:tc>
          <w:tcPr>
            <w:tcW w:w="1666" w:type="dxa"/>
            <w:shd w:val="clear" w:color="auto" w:fill="FFFFFF" w:themeFill="background1"/>
            <w:tcMar>
              <w:top w:w="55" w:type="dxa"/>
              <w:left w:w="65" w:type="dxa"/>
              <w:bottom w:w="55" w:type="dxa"/>
              <w:right w:w="65" w:type="dxa"/>
            </w:tcMar>
            <w:vAlign w:val="center"/>
          </w:tcPr>
          <w:p w14:paraId="5231C326" w14:textId="77777777" w:rsidR="00B86945" w:rsidRPr="0026008E" w:rsidRDefault="00000000">
            <w:pPr>
              <w:jc w:val="center"/>
              <w:rPr>
                <w:szCs w:val="20"/>
              </w:rPr>
            </w:pPr>
            <w:r w:rsidRPr="0026008E">
              <w:rPr>
                <w:szCs w:val="20"/>
              </w:rPr>
              <w:t>79.0</w:t>
            </w:r>
          </w:p>
        </w:tc>
        <w:tc>
          <w:tcPr>
            <w:tcW w:w="1666" w:type="dxa"/>
            <w:shd w:val="clear" w:color="auto" w:fill="FFFFFF" w:themeFill="background1"/>
            <w:tcMar>
              <w:top w:w="55" w:type="dxa"/>
              <w:left w:w="65" w:type="dxa"/>
              <w:bottom w:w="55" w:type="dxa"/>
              <w:right w:w="65" w:type="dxa"/>
            </w:tcMar>
            <w:vAlign w:val="center"/>
          </w:tcPr>
          <w:p w14:paraId="5A18778C" w14:textId="77777777" w:rsidR="00B86945" w:rsidRPr="0026008E" w:rsidRDefault="00000000">
            <w:pPr>
              <w:jc w:val="center"/>
              <w:rPr>
                <w:szCs w:val="20"/>
              </w:rPr>
            </w:pPr>
            <w:r w:rsidRPr="0026008E">
              <w:rPr>
                <w:szCs w:val="20"/>
              </w:rPr>
              <w:t>79.0</w:t>
            </w:r>
          </w:p>
        </w:tc>
        <w:tc>
          <w:tcPr>
            <w:tcW w:w="1666" w:type="dxa"/>
            <w:shd w:val="clear" w:color="auto" w:fill="FFFFFF" w:themeFill="background1"/>
            <w:tcMar>
              <w:top w:w="55" w:type="dxa"/>
              <w:left w:w="65" w:type="dxa"/>
              <w:bottom w:w="55" w:type="dxa"/>
              <w:right w:w="65" w:type="dxa"/>
            </w:tcMar>
            <w:vAlign w:val="center"/>
          </w:tcPr>
          <w:p w14:paraId="77AF2187" w14:textId="77777777" w:rsidR="00B86945" w:rsidRPr="0026008E" w:rsidRDefault="00000000">
            <w:pPr>
              <w:jc w:val="center"/>
              <w:rPr>
                <w:szCs w:val="20"/>
              </w:rPr>
            </w:pPr>
            <w:r w:rsidRPr="0026008E">
              <w:rPr>
                <w:szCs w:val="20"/>
              </w:rPr>
              <w:t>10, 30</w:t>
            </w:r>
          </w:p>
        </w:tc>
        <w:tc>
          <w:tcPr>
            <w:tcW w:w="1666" w:type="dxa"/>
            <w:shd w:val="clear" w:color="auto" w:fill="FFFFFF" w:themeFill="background1"/>
            <w:tcMar>
              <w:top w:w="55" w:type="dxa"/>
              <w:left w:w="65" w:type="dxa"/>
              <w:bottom w:w="55" w:type="dxa"/>
              <w:right w:w="65" w:type="dxa"/>
            </w:tcMar>
            <w:vAlign w:val="center"/>
          </w:tcPr>
          <w:p w14:paraId="14A638EC" w14:textId="77777777" w:rsidR="00B86945" w:rsidRPr="0026008E" w:rsidRDefault="00000000">
            <w:pPr>
              <w:jc w:val="center"/>
              <w:rPr>
                <w:szCs w:val="20"/>
              </w:rPr>
            </w:pPr>
            <w:r w:rsidRPr="0026008E">
              <w:rPr>
                <w:szCs w:val="20"/>
              </w:rPr>
              <w:t>78.5</w:t>
            </w:r>
          </w:p>
        </w:tc>
      </w:tr>
      <w:tr w:rsidR="00B86945" w:rsidRPr="0026008E" w14:paraId="3434604D" w14:textId="77777777" w:rsidTr="0026008E">
        <w:tc>
          <w:tcPr>
            <w:tcW w:w="1666" w:type="dxa"/>
            <w:shd w:val="clear" w:color="auto" w:fill="FFFFFF" w:themeFill="background1"/>
            <w:tcMar>
              <w:top w:w="55" w:type="dxa"/>
              <w:left w:w="65" w:type="dxa"/>
              <w:bottom w:w="55" w:type="dxa"/>
              <w:right w:w="65" w:type="dxa"/>
            </w:tcMar>
            <w:vAlign w:val="center"/>
          </w:tcPr>
          <w:p w14:paraId="5657F25B" w14:textId="77777777" w:rsidR="00B86945" w:rsidRPr="0026008E" w:rsidRDefault="00000000">
            <w:pPr>
              <w:rPr>
                <w:szCs w:val="20"/>
              </w:rPr>
            </w:pPr>
            <w:r w:rsidRPr="0026008E">
              <w:rPr>
                <w:szCs w:val="20"/>
              </w:rPr>
              <w:t>DINOv2 ViT-S/14</w:t>
            </w:r>
          </w:p>
        </w:tc>
        <w:tc>
          <w:tcPr>
            <w:tcW w:w="1666" w:type="dxa"/>
            <w:shd w:val="clear" w:color="auto" w:fill="FFFFFF" w:themeFill="background1"/>
            <w:tcMar>
              <w:top w:w="55" w:type="dxa"/>
              <w:left w:w="65" w:type="dxa"/>
              <w:bottom w:w="55" w:type="dxa"/>
              <w:right w:w="65" w:type="dxa"/>
            </w:tcMar>
            <w:vAlign w:val="center"/>
          </w:tcPr>
          <w:p w14:paraId="06F95EA9" w14:textId="77777777" w:rsidR="00B86945" w:rsidRPr="0026008E" w:rsidRDefault="00000000">
            <w:pPr>
              <w:jc w:val="center"/>
              <w:rPr>
                <w:szCs w:val="20"/>
              </w:rPr>
            </w:pPr>
            <w:r w:rsidRPr="0026008E">
              <w:rPr>
                <w:szCs w:val="20"/>
              </w:rPr>
              <w:t>42</w:t>
            </w:r>
          </w:p>
        </w:tc>
        <w:tc>
          <w:tcPr>
            <w:tcW w:w="1666" w:type="dxa"/>
            <w:shd w:val="clear" w:color="auto" w:fill="FFFFFF" w:themeFill="background1"/>
            <w:tcMar>
              <w:top w:w="55" w:type="dxa"/>
              <w:left w:w="65" w:type="dxa"/>
              <w:bottom w:w="55" w:type="dxa"/>
              <w:right w:w="65" w:type="dxa"/>
            </w:tcMar>
            <w:vAlign w:val="center"/>
          </w:tcPr>
          <w:p w14:paraId="27B12574" w14:textId="77777777" w:rsidR="00B86945" w:rsidRPr="0026008E" w:rsidRDefault="00000000">
            <w:pPr>
              <w:jc w:val="center"/>
              <w:rPr>
                <w:szCs w:val="20"/>
              </w:rPr>
            </w:pPr>
            <w:r w:rsidRPr="0026008E">
              <w:rPr>
                <w:szCs w:val="20"/>
              </w:rPr>
              <w:t>76.5</w:t>
            </w:r>
          </w:p>
        </w:tc>
        <w:tc>
          <w:tcPr>
            <w:tcW w:w="1666" w:type="dxa"/>
            <w:shd w:val="clear" w:color="auto" w:fill="FFFFFF" w:themeFill="background1"/>
            <w:tcMar>
              <w:top w:w="55" w:type="dxa"/>
              <w:left w:w="65" w:type="dxa"/>
              <w:bottom w:w="55" w:type="dxa"/>
              <w:right w:w="65" w:type="dxa"/>
            </w:tcMar>
            <w:vAlign w:val="center"/>
          </w:tcPr>
          <w:p w14:paraId="51F6A57C" w14:textId="77777777" w:rsidR="00B86945" w:rsidRPr="0026008E" w:rsidRDefault="00000000">
            <w:pPr>
              <w:jc w:val="center"/>
              <w:rPr>
                <w:szCs w:val="20"/>
              </w:rPr>
            </w:pPr>
            <w:r w:rsidRPr="0026008E">
              <w:rPr>
                <w:szCs w:val="20"/>
              </w:rPr>
              <w:t>76.5</w:t>
            </w:r>
          </w:p>
        </w:tc>
        <w:tc>
          <w:tcPr>
            <w:tcW w:w="1666" w:type="dxa"/>
            <w:shd w:val="clear" w:color="auto" w:fill="FFFFFF" w:themeFill="background1"/>
            <w:tcMar>
              <w:top w:w="55" w:type="dxa"/>
              <w:left w:w="65" w:type="dxa"/>
              <w:bottom w:w="55" w:type="dxa"/>
              <w:right w:w="65" w:type="dxa"/>
            </w:tcMar>
            <w:vAlign w:val="center"/>
          </w:tcPr>
          <w:p w14:paraId="7E3777C9" w14:textId="77777777" w:rsidR="00B86945" w:rsidRPr="0026008E" w:rsidRDefault="00000000">
            <w:pPr>
              <w:jc w:val="center"/>
              <w:rPr>
                <w:szCs w:val="20"/>
              </w:rPr>
            </w:pPr>
            <w:r w:rsidRPr="0026008E">
              <w:rPr>
                <w:szCs w:val="20"/>
              </w:rPr>
              <w:t>10</w:t>
            </w:r>
          </w:p>
        </w:tc>
        <w:tc>
          <w:tcPr>
            <w:tcW w:w="1666" w:type="dxa"/>
            <w:shd w:val="clear" w:color="auto" w:fill="FFFFFF" w:themeFill="background1"/>
            <w:tcMar>
              <w:top w:w="55" w:type="dxa"/>
              <w:left w:w="65" w:type="dxa"/>
              <w:bottom w:w="55" w:type="dxa"/>
              <w:right w:w="65" w:type="dxa"/>
            </w:tcMar>
            <w:vAlign w:val="center"/>
          </w:tcPr>
          <w:p w14:paraId="30FB4FE2" w14:textId="77777777" w:rsidR="00B86945" w:rsidRPr="0026008E" w:rsidRDefault="00000000">
            <w:pPr>
              <w:jc w:val="center"/>
              <w:rPr>
                <w:szCs w:val="20"/>
              </w:rPr>
            </w:pPr>
            <w:r w:rsidRPr="0026008E">
              <w:rPr>
                <w:szCs w:val="20"/>
              </w:rPr>
              <w:t>72.0</w:t>
            </w:r>
          </w:p>
        </w:tc>
      </w:tr>
      <w:tr w:rsidR="00B86945" w:rsidRPr="0026008E" w14:paraId="2C51D0FD" w14:textId="77777777" w:rsidTr="0026008E">
        <w:tc>
          <w:tcPr>
            <w:tcW w:w="1666" w:type="dxa"/>
            <w:tcBorders>
              <w:bottom w:val="single" w:sz="4" w:space="0" w:color="auto"/>
            </w:tcBorders>
            <w:shd w:val="clear" w:color="auto" w:fill="FFFFFF" w:themeFill="background1"/>
            <w:tcMar>
              <w:top w:w="55" w:type="dxa"/>
              <w:left w:w="65" w:type="dxa"/>
              <w:bottom w:w="55" w:type="dxa"/>
              <w:right w:w="65" w:type="dxa"/>
            </w:tcMar>
            <w:vAlign w:val="center"/>
          </w:tcPr>
          <w:p w14:paraId="585F4396" w14:textId="77777777" w:rsidR="00B86945" w:rsidRPr="0026008E" w:rsidRDefault="00000000">
            <w:pPr>
              <w:rPr>
                <w:szCs w:val="20"/>
              </w:rPr>
            </w:pPr>
            <w:r w:rsidRPr="0026008E">
              <w:rPr>
                <w:szCs w:val="20"/>
              </w:rPr>
              <w:t>DINOv2 ViT-S/14</w:t>
            </w:r>
          </w:p>
        </w:tc>
        <w:tc>
          <w:tcPr>
            <w:tcW w:w="1666" w:type="dxa"/>
            <w:tcBorders>
              <w:bottom w:val="single" w:sz="4" w:space="0" w:color="auto"/>
            </w:tcBorders>
            <w:shd w:val="clear" w:color="auto" w:fill="FFFFFF" w:themeFill="background1"/>
            <w:tcMar>
              <w:top w:w="55" w:type="dxa"/>
              <w:left w:w="65" w:type="dxa"/>
              <w:bottom w:w="55" w:type="dxa"/>
              <w:right w:w="65" w:type="dxa"/>
            </w:tcMar>
            <w:vAlign w:val="center"/>
          </w:tcPr>
          <w:p w14:paraId="59B0B49F" w14:textId="77777777" w:rsidR="00B86945" w:rsidRPr="0026008E" w:rsidRDefault="00000000">
            <w:pPr>
              <w:jc w:val="center"/>
              <w:rPr>
                <w:szCs w:val="20"/>
              </w:rPr>
            </w:pPr>
            <w:r w:rsidRPr="0026008E">
              <w:rPr>
                <w:szCs w:val="20"/>
              </w:rPr>
              <w:t>128</w:t>
            </w:r>
          </w:p>
        </w:tc>
        <w:tc>
          <w:tcPr>
            <w:tcW w:w="1666" w:type="dxa"/>
            <w:tcBorders>
              <w:bottom w:val="single" w:sz="4" w:space="0" w:color="auto"/>
            </w:tcBorders>
            <w:shd w:val="clear" w:color="auto" w:fill="FFFFFF" w:themeFill="background1"/>
            <w:tcMar>
              <w:top w:w="55" w:type="dxa"/>
              <w:left w:w="65" w:type="dxa"/>
              <w:bottom w:w="55" w:type="dxa"/>
              <w:right w:w="65" w:type="dxa"/>
            </w:tcMar>
            <w:vAlign w:val="center"/>
          </w:tcPr>
          <w:p w14:paraId="6B0E1D83" w14:textId="77777777" w:rsidR="00B86945" w:rsidRPr="0026008E" w:rsidRDefault="00000000">
            <w:pPr>
              <w:jc w:val="center"/>
              <w:rPr>
                <w:szCs w:val="20"/>
              </w:rPr>
            </w:pPr>
            <w:r w:rsidRPr="0026008E">
              <w:rPr>
                <w:szCs w:val="20"/>
              </w:rPr>
              <w:t>78.5</w:t>
            </w:r>
          </w:p>
        </w:tc>
        <w:tc>
          <w:tcPr>
            <w:tcW w:w="1666" w:type="dxa"/>
            <w:tcBorders>
              <w:bottom w:val="single" w:sz="4" w:space="0" w:color="auto"/>
            </w:tcBorders>
            <w:shd w:val="clear" w:color="auto" w:fill="FFFFFF" w:themeFill="background1"/>
            <w:tcMar>
              <w:top w:w="55" w:type="dxa"/>
              <w:left w:w="65" w:type="dxa"/>
              <w:bottom w:w="55" w:type="dxa"/>
              <w:right w:w="65" w:type="dxa"/>
            </w:tcMar>
            <w:vAlign w:val="center"/>
          </w:tcPr>
          <w:p w14:paraId="178F1E0F" w14:textId="77777777" w:rsidR="00B86945" w:rsidRPr="0026008E" w:rsidRDefault="00000000">
            <w:pPr>
              <w:jc w:val="center"/>
              <w:rPr>
                <w:szCs w:val="20"/>
              </w:rPr>
            </w:pPr>
            <w:r w:rsidRPr="0026008E">
              <w:rPr>
                <w:szCs w:val="20"/>
              </w:rPr>
              <w:t>78.5</w:t>
            </w:r>
          </w:p>
        </w:tc>
        <w:tc>
          <w:tcPr>
            <w:tcW w:w="1666" w:type="dxa"/>
            <w:tcBorders>
              <w:bottom w:val="single" w:sz="4" w:space="0" w:color="auto"/>
            </w:tcBorders>
            <w:shd w:val="clear" w:color="auto" w:fill="FFFFFF" w:themeFill="background1"/>
            <w:tcMar>
              <w:top w:w="55" w:type="dxa"/>
              <w:left w:w="65" w:type="dxa"/>
              <w:bottom w:w="55" w:type="dxa"/>
              <w:right w:w="65" w:type="dxa"/>
            </w:tcMar>
            <w:vAlign w:val="center"/>
          </w:tcPr>
          <w:p w14:paraId="6880D57A" w14:textId="77777777" w:rsidR="00B86945" w:rsidRPr="0026008E" w:rsidRDefault="00000000">
            <w:pPr>
              <w:jc w:val="center"/>
              <w:rPr>
                <w:szCs w:val="20"/>
              </w:rPr>
            </w:pPr>
            <w:r w:rsidRPr="0026008E">
              <w:rPr>
                <w:szCs w:val="20"/>
              </w:rPr>
              <w:t>10, 30, 100</w:t>
            </w:r>
          </w:p>
        </w:tc>
        <w:tc>
          <w:tcPr>
            <w:tcW w:w="1666" w:type="dxa"/>
            <w:tcBorders>
              <w:bottom w:val="single" w:sz="4" w:space="0" w:color="auto"/>
            </w:tcBorders>
            <w:shd w:val="clear" w:color="auto" w:fill="FFFFFF" w:themeFill="background1"/>
            <w:tcMar>
              <w:top w:w="55" w:type="dxa"/>
              <w:left w:w="65" w:type="dxa"/>
              <w:bottom w:w="55" w:type="dxa"/>
              <w:right w:w="65" w:type="dxa"/>
            </w:tcMar>
            <w:vAlign w:val="center"/>
          </w:tcPr>
          <w:p w14:paraId="318A93B8" w14:textId="77777777" w:rsidR="00B86945" w:rsidRPr="0026008E" w:rsidRDefault="00000000">
            <w:pPr>
              <w:jc w:val="center"/>
              <w:rPr>
                <w:szCs w:val="20"/>
              </w:rPr>
            </w:pPr>
            <w:r w:rsidRPr="0026008E">
              <w:rPr>
                <w:szCs w:val="20"/>
              </w:rPr>
              <w:t>79.0</w:t>
            </w:r>
          </w:p>
        </w:tc>
      </w:tr>
    </w:tbl>
    <w:p w14:paraId="59CB36E7" w14:textId="77777777" w:rsidR="00B86945" w:rsidRDefault="00B86945">
      <w:pPr>
        <w:spacing w:after="20"/>
      </w:pPr>
    </w:p>
    <w:p w14:paraId="64061036" w14:textId="77777777" w:rsidR="00B86945" w:rsidRDefault="00000000">
      <w:pPr>
        <w:spacing w:after="100" w:line="259" w:lineRule="auto"/>
      </w:pPr>
      <w:r>
        <w:t xml:space="preserve">Factor 10 was at the cell maximum or tied in five of eight configurations and within 0.5 percentage points of the cell maximum in the other three. It attained the maximum uniquely in two cells, tied in three, and the maximum factor was not universal. Mean nonlinear logit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damage at factor 10 was lower than Group Mean in all eight cells. At factor 10, the cell-mean </w:t>
      </w:r>
      <m:oMath>
        <m:r>
          <w:rPr>
            <w:rFonts w:ascii="Cambria Math" w:hAnsi="Cambria Math"/>
          </w:rPr>
          <m:t>{tr}(</m:t>
        </m:r>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oMath>
      <w:r>
        <w:t xml:space="preserve"> ranged from 0.00914 to 34.6746 and the effective absolute lambda ranged from 0.0914 to 346.746; absolute values are model- and budget-dependent because of the trace scaling.</w:t>
      </w:r>
    </w:p>
    <w:p w14:paraId="57A8CEB8" w14:textId="77777777" w:rsidR="00B86945" w:rsidRDefault="00000000">
      <w:pPr>
        <w:spacing w:after="100" w:line="259" w:lineRule="auto"/>
      </w:pPr>
      <w:r>
        <w:t xml:space="preserve">Across all eight cells, decreasing </w:t>
      </w:r>
      <m:oMath>
        <m:r>
          <w:rPr>
            <w:rFonts w:ascii="Cambria Math" w:hAnsi="Cambria Math"/>
          </w:rPr>
          <m:t>f</m:t>
        </m:r>
      </m:oMath>
      <w:r>
        <w:t xml:space="preserve"> reduced mean </w:t>
      </w:r>
      <m:oMath>
        <m:r>
          <w:rPr>
            <w:rFonts w:ascii="Cambria Math" w:hAnsi="Cambria Math"/>
          </w:rPr>
          <m:t>||JE||</m:t>
        </m:r>
      </m:oMath>
      <w:r>
        <w:t xml:space="preserve"> and increased mean carrier displacement; increasing </w:t>
      </w:r>
      <m:oMath>
        <m:r>
          <w:rPr>
            <w:rFonts w:ascii="Cambria Math" w:hAnsi="Cambria Math"/>
          </w:rPr>
          <m:t>f</m:t>
        </m:r>
      </m:oMath>
      <w:r>
        <w:t xml:space="preserve"> moved the solution toward Group Mean. The lowest linearized residual therefore did not consistently correspond to the highest nonlinear Top-1. Figure S15 shows all seven factors for Top-1, logit damage, operator residual, and carrier displacement; the exact means and standard deviations for every endpoint and factor are retained in the aggregated CSV, with per-image values in the raw CSV.</w:t>
      </w:r>
    </w:p>
    <w:p w14:paraId="020F404A" w14:textId="77777777" w:rsidR="00B86945" w:rsidRDefault="00000000">
      <w:pPr>
        <w:spacing w:after="100" w:line="259" w:lineRule="auto"/>
      </w:pPr>
      <w:r>
        <w:t xml:space="preserve">Paired comparisons use images as the unit and compare factor 10 with 3 and 30 within each model–budget cell. Across cells, mean paired Top-1 differences were −0.5 to +2.5 percentage points for 10 versus 3 and −0.5 to +1.5 points for 10 versus 30; paired-difference SDs ranged from 0 to 27.3 and 0 to 15.8 percentage points, respectively, and every 95% interval included zero. No exact McNemar test had an unadjusted </w:t>
      </w:r>
      <m:oMath>
        <m:r>
          <w:rPr>
            <w:rFonts w:ascii="Cambria Math" w:hAnsi="Cambria Math"/>
          </w:rPr>
          <m:t>p&lt;0.05</m:t>
        </m:r>
      </m:oMath>
      <w:r>
        <w:t xml:space="preserve"> among the 16 contrasts. These results do not establish equivalence. Images are reused across factors and budgets, so the cellwise comparisons are dependent and are not treated as independent replications.</w:t>
      </w:r>
    </w:p>
    <w:p w14:paraId="1E220963" w14:textId="77777777" w:rsidR="00B86945" w:rsidRDefault="00000000">
      <w:pPr>
        <w:spacing w:after="100" w:line="259" w:lineRule="auto"/>
      </w:pPr>
      <w:r>
        <w:t>The original exploratory cohort selected the first 200 sorted class labels. The cohorts share only 32 image IDs, so this is a descriptive cohort comparison, not a paired comparison. Factor-10 Top-1 was 1.0–7.5 points higher and Group Mean Top-1 was 5.0–9.0 points higher on the original subset; the factor attaining the Top-1 maximum also changed across most cells. The monotone residual–displacement tradeoff replicated, but absolute accuracy and factor ranking showed class-composition sensitivity. The corrected study supports factor 10 as a reasonable empirical middle setting for these measurements, not as a global optimum or proof of preregistered historical selection. This analysis is post-hoc and does not revise the held-out confirmatory benchmark.</w:t>
      </w:r>
    </w:p>
    <w:p w14:paraId="1ACEDEC8" w14:textId="77777777" w:rsidR="00B86945" w:rsidRDefault="00000000">
      <w:pPr>
        <w:keepNext/>
        <w:keepLines/>
        <w:spacing w:after="20"/>
        <w:jc w:val="center"/>
      </w:pPr>
      <w:r>
        <w:rPr>
          <w:noProof/>
        </w:rPr>
        <w:lastRenderedPageBreak/>
        <w:drawing>
          <wp:inline distT="0" distB="0" distL="0" distR="0" wp14:anchorId="6F17EA43" wp14:editId="03830641">
            <wp:extent cx="6172200" cy="47148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5_regularization_sensitivity.png"/>
                    <pic:cNvPicPr/>
                  </pic:nvPicPr>
                  <pic:blipFill>
                    <a:blip r:embed="rId20"/>
                    <a:stretch>
                      <a:fillRect/>
                    </a:stretch>
                  </pic:blipFill>
                  <pic:spPr>
                    <a:xfrm>
                      <a:off x="0" y="0"/>
                      <a:ext cx="6172200" cy="4714875"/>
                    </a:xfrm>
                    <a:prstGeom prst="rect">
                      <a:avLst/>
                    </a:prstGeom>
                  </pic:spPr>
                </pic:pic>
              </a:graphicData>
            </a:graphic>
          </wp:inline>
        </w:drawing>
      </w:r>
    </w:p>
    <w:p w14:paraId="0D455189" w14:textId="77777777" w:rsidR="00B86945" w:rsidRDefault="00000000">
      <w:pPr>
        <w:keepLines/>
        <w:spacing w:after="100" w:line="259" w:lineRule="auto"/>
      </w:pPr>
      <w:r>
        <w:rPr>
          <w:b/>
        </w:rPr>
        <w:t>Supplementary Figure S15.</w:t>
      </w:r>
      <w:r>
        <w:t xml:space="preserve"> Calibration-cohort means across the seven dimensionless regularization factors. Panels show (a) nonlinear Top-1 accuracy, (b) clean-to-compressed final-logit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damage, (c) linearized operator residual </w:t>
      </w:r>
      <m:oMath>
        <m:r>
          <w:rPr>
            <w:rFonts w:ascii="Cambria Math" w:hAnsi="Cambria Math"/>
          </w:rPr>
          <m:t>||JE||</m:t>
        </m:r>
      </m:oMath>
      <w:r>
        <w:t xml:space="preserve">, and (d) carrier displacement </w:t>
      </w:r>
      <m:oMath>
        <m:sSub>
          <m:sSubPr>
            <m:ctrlPr>
              <w:rPr>
                <w:rFonts w:ascii="Cambria Math" w:hAnsi="Cambria Math"/>
              </w:rPr>
            </m:ctrlPr>
          </m:sSubPr>
          <m:e>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opt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mean</m:t>
                </m:r>
              </m:sub>
            </m:sSub>
            <m:r>
              <w:rPr>
                <w:rFonts w:ascii="Cambria Math" w:hAnsi="Cambria Math"/>
              </w:rPr>
              <m:t>||</m:t>
            </m:r>
          </m:e>
          <m:sub>
            <m:r>
              <w:rPr>
                <w:rFonts w:ascii="Cambria Math" w:hAnsi="Cambria Math"/>
              </w:rPr>
              <m:t>F</m:t>
            </m:r>
          </m:sub>
        </m:sSub>
      </m:oMath>
      <w:r>
        <w:t>. Colors identify architecture and solid/dashed lines identify the two model-specific token budgets. Each point uses the same 200 calibration images within its model–budget cell; the figure is descriptive and does not treat factors or budgets as independent samples. Data are from the corrected v2 class-randomized cohort; Group Mean is tabulated in Table S6 but is not a regularization-factor curve.</w:t>
      </w:r>
    </w:p>
    <w:sectPr w:rsidR="00B86945"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95544">
    <w:abstractNumId w:val="8"/>
  </w:num>
  <w:num w:numId="2" w16cid:durableId="400979308">
    <w:abstractNumId w:val="6"/>
  </w:num>
  <w:num w:numId="3" w16cid:durableId="1772893832">
    <w:abstractNumId w:val="5"/>
  </w:num>
  <w:num w:numId="4" w16cid:durableId="1154024811">
    <w:abstractNumId w:val="4"/>
  </w:num>
  <w:num w:numId="5" w16cid:durableId="2009015638">
    <w:abstractNumId w:val="7"/>
  </w:num>
  <w:num w:numId="6" w16cid:durableId="1958297047">
    <w:abstractNumId w:val="3"/>
  </w:num>
  <w:num w:numId="7" w16cid:durableId="1269657825">
    <w:abstractNumId w:val="2"/>
  </w:num>
  <w:num w:numId="8" w16cid:durableId="1759713593">
    <w:abstractNumId w:val="1"/>
  </w:num>
  <w:num w:numId="9" w16cid:durableId="1996837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08E"/>
    <w:rsid w:val="0029639D"/>
    <w:rsid w:val="00326F90"/>
    <w:rsid w:val="00AA1D8D"/>
    <w:rsid w:val="00B47730"/>
    <w:rsid w:val="00B86945"/>
    <w:rsid w:val="00CB0664"/>
    <w:rsid w:val="00DB3D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9E67D4"/>
  <w14:defaultImageDpi w14:val="300"/>
  <w15:docId w15:val="{C4A4EB4A-8CB7-4B7C-A36F-BC858F7CD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202A32"/>
      <w:sz w:val="20"/>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6583</Words>
  <Characters>37524</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for: Patch-Content Fungibility: Geometry, Functional Transmission, and Operator-Aware Token Compression</dc:title>
  <dc:subject>Supplementary figures, tables, and reproducibility details</dc:subject>
  <dc:creator>python-docx</dc:creator>
  <cp:keywords/>
  <dc:description>generated by python-docx</dc:description>
  <cp:lastModifiedBy>Minh Nhật</cp:lastModifiedBy>
  <cp:revision>2</cp:revision>
  <dcterms:created xsi:type="dcterms:W3CDTF">2013-12-23T23:15:00Z</dcterms:created>
  <dcterms:modified xsi:type="dcterms:W3CDTF">2026-10-11T12:00:00Z</dcterms:modified>
  <cp:category/>
</cp:coreProperties>
</file>