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9F79"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0758C9F7" w14:textId="77777777" w:rsidR="004C250E" w:rsidRDefault="00000000">
      <w:pPr>
        <w:spacing w:after="100" w:line="259" w:lineRule="auto"/>
      </w:pPr>
      <w:r>
        <w:t>Anonymous Authors</w:t>
      </w:r>
    </w:p>
    <w:p w14:paraId="7448B682" w14:textId="77777777" w:rsidR="004C250E" w:rsidRDefault="00000000">
      <w:pPr>
        <w:spacing w:after="100" w:line="259" w:lineRule="auto"/>
      </w:pPr>
      <w:r>
        <w:t>Under review</w:t>
      </w:r>
    </w:p>
    <w:p w14:paraId="248E98C2" w14:textId="77777777" w:rsidR="004C250E" w:rsidRDefault="00000000">
      <w:pPr>
        <w:pStyle w:val="Heading1"/>
      </w:pPr>
      <w:r>
        <w:rPr>
          <w:rFonts w:ascii="Times New Roman" w:hAnsi="Times New Roman"/>
        </w:rPr>
        <w:t>Abstract</w:t>
      </w:r>
    </w:p>
    <w:p w14:paraId="0D8703F3" w14:textId="77777777" w:rsidR="004C250E" w:rsidRDefault="00000000">
      <w:pPr>
        <w:spacing w:after="100" w:line="259" w:lineRule="auto"/>
      </w:pPr>
      <w:r>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near-null expansion at the primary threshold is evident in three models but small in DINOv2. As a bounded application, we evaluate operator-aware compression using an offline, per-image downstream-Jacobian oracle on 1,000 held-out images per architecture. At the most aggressive tested budgets, operator-aware variants improve Top-1 by 4.2–12.0 percentage points over the strongest pruning baseline, but ToMe remains competitive and Full-J is not uniformly better than Group Mean or ToMe. In a separate held-out classifier-carrier study, calibration-frozen feature-subspace corrections yield architecture-dependent outcomes, including losses for DeiT-Small and DINOv2 and a modest gain in one tested architecture; measured full-model throughput adds only one narrow frontier point among the tested architectures. The evidence supports Patch-Content Fungibility as a mechanistic account and an oracle-level compression opportunity, but does not establish a general deployment advantage.</w:t>
      </w:r>
    </w:p>
    <w:p w14:paraId="0FAF40F8" w14:textId="77777777" w:rsidR="004C250E" w:rsidRDefault="00000000">
      <w:pPr>
        <w:pStyle w:val="Heading1"/>
      </w:pPr>
      <w:r>
        <w:rPr>
          <w:rFonts w:ascii="Times New Roman" w:hAnsi="Times New Roman"/>
        </w:rPr>
        <w:t>1. Introduction</w:t>
      </w:r>
    </w:p>
    <w:p w14:paraId="515C2CB4"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582BE196"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267A1C6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5A12869"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0298216F"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jointly bound replacement tolerance; and whether those mechanisms can inform operator-aware compression, including where the translation fails. We study these questions as a ViT-specific account of Patch-Content Fungibility (PCF). The argument proceeds from fixed-slot causal replacement, through geometric and functional mechanisms, to compression as a bounded application whose nonlinear classification and measured throughput must be assessed separately.</w:t>
      </w:r>
    </w:p>
    <w:p w14:paraId="21475846" w14:textId="77777777" w:rsidR="004C250E" w:rsidRDefault="00000000">
      <w:pPr>
        <w:pStyle w:val="Heading1"/>
      </w:pPr>
      <w:r>
        <w:rPr>
          <w:rFonts w:ascii="Times New Roman" w:hAnsi="Times New Roman"/>
        </w:rPr>
        <w:t>2. Related Work</w:t>
      </w:r>
    </w:p>
    <w:p w14:paraId="49122AB5"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groups patches into B carriers and shortens the sequence for subsequent computation.</w:t>
      </w:r>
    </w:p>
    <w:p w14:paraId="58FD31DA" w14:textId="77777777" w:rsidR="004C250E" w:rsidRDefault="00000000">
      <w:pPr>
        <w:spacing w:after="100" w:line="259" w:lineRule="auto"/>
      </w:pPr>
      <w:r>
        <w:t>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it does not claim to introduce surrogate replacement [42].</w:t>
      </w:r>
    </w:p>
    <w:p w14:paraId="046E58B5"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[43], [44]. A recent public preprint, Output-aware Residual Stream Pruning, couples activation statistics with output sensitivity to prune LLM residual-stream dimensions [45].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84DC96F" w14:textId="77777777" w:rsidR="004C250E" w:rsidRDefault="00000000">
      <w:pPr>
        <w:spacing w:after="100" w:line="259" w:lineRule="auto"/>
      </w:pPr>
      <w:r>
        <w:lastRenderedPageBreak/>
        <w:t>Interpretability research cautions that attention weights alone need not explain a model's decision. Controlled studies examine whether attention is explanation and how explanation changes under interventions [46]–[48]. Attention flow, Integrated Gradients, saliency-map sanity checks, and transformer-specific relevance propagation provide complementary methods for tracing or attributing model behavior [49]–[52]. Causal abstraction offers a framework for connecting interventions to model-level causal structure [53]. Our evidence uses direct activation interventions and held-out prediction of perturbation damage; it is bounded to the tested models, readouts, and cohorts.</w:t>
      </w:r>
    </w:p>
    <w:p w14:paraId="7B356B35" w14:textId="77777777" w:rsidR="004C250E" w:rsidRDefault="00000000">
      <w:pPr>
        <w:pStyle w:val="Heading1"/>
      </w:pPr>
      <w:r>
        <w:rPr>
          <w:rFonts w:ascii="Times New Roman" w:hAnsi="Times New Roman"/>
        </w:rPr>
        <w:t>3. Experimental Setup and Interventions</w:t>
      </w:r>
    </w:p>
    <w:p w14:paraId="4B5EBFD2"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operator-space, and perturbation cohorts remain distinct and are never pooled.</w:t>
      </w:r>
    </w:p>
    <w:p w14:paraId="0CF1C6F7" w14:textId="77777777" w:rsidR="004C250E" w:rsidRDefault="00000000">
      <w:pPr>
        <w:spacing w:after="100" w:line="259" w:lineRule="auto"/>
      </w:pPr>
      <w:r>
        <w:t>TABLE I</w:t>
      </w:r>
    </w:p>
    <w:p w14:paraId="326AA5E2" w14:textId="77777777" w:rsidR="004C250E" w:rsidRDefault="00000000">
      <w:pPr>
        <w:spacing w:after="100" w:line="259" w:lineRule="auto"/>
      </w:pPr>
      <w:r>
        <w:t>PRIMARY RESULTS AND EVIDENCE SCOPE</w:t>
      </w:r>
    </w:p>
    <w:p w14:paraId="406A92C3" w14:textId="77777777" w:rsidR="004C250E" w:rsidRDefault="00000000">
      <w:pPr>
        <w:spacing w:after="100" w:line="259" w:lineRule="auto"/>
      </w:pPr>
      <w:r>
        <w:t>Summary of the primary study families, evaluation units, controls, and main findings. Cohorts and endpoints remain distinct: the multi-block unit counts held-out perturbations, while classifier-carrier and operator-space analyses use separate units.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22BBFBD0"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38D1D81"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67B1AF75"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A5144A"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082D3B" w14:textId="77777777" w:rsidR="004C250E" w:rsidRPr="005D5368" w:rsidRDefault="00000000">
            <w:pPr>
              <w:jc w:val="center"/>
              <w:rPr>
                <w:szCs w:val="28"/>
              </w:rPr>
            </w:pPr>
            <w:r w:rsidRPr="005D5368">
              <w:rPr>
                <w:b/>
                <w:color w:val="17232D"/>
                <w:szCs w:val="28"/>
              </w:rPr>
              <w:t>Main finding</w:t>
            </w:r>
          </w:p>
        </w:tc>
      </w:tr>
      <w:tr w:rsidR="004C250E" w:rsidRPr="005D5368" w14:paraId="49786EDE" w14:textId="77777777" w:rsidTr="005D5368">
        <w:tc>
          <w:tcPr>
            <w:tcW w:w="2498" w:type="dxa"/>
            <w:tcBorders>
              <w:top w:val="single" w:sz="4" w:space="0" w:color="auto"/>
            </w:tcBorders>
            <w:tcMar>
              <w:top w:w="55" w:type="dxa"/>
              <w:left w:w="65" w:type="dxa"/>
              <w:bottom w:w="55" w:type="dxa"/>
              <w:right w:w="65" w:type="dxa"/>
            </w:tcMar>
            <w:vAlign w:val="center"/>
          </w:tcPr>
          <w:p w14:paraId="20B82A10"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543276F0"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2F09A7D6"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20787DA2"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2F63991B" w14:textId="77777777" w:rsidTr="005D5368">
        <w:tc>
          <w:tcPr>
            <w:tcW w:w="2498" w:type="dxa"/>
            <w:tcMar>
              <w:top w:w="55" w:type="dxa"/>
              <w:left w:w="65" w:type="dxa"/>
              <w:bottom w:w="55" w:type="dxa"/>
              <w:right w:w="65" w:type="dxa"/>
            </w:tcMar>
            <w:vAlign w:val="center"/>
          </w:tcPr>
          <w:p w14:paraId="2C420B46"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CB740FC"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450B78"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7CD5C13F"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637B7E48" w14:textId="77777777" w:rsidTr="005D5368">
        <w:tc>
          <w:tcPr>
            <w:tcW w:w="2498" w:type="dxa"/>
            <w:tcMar>
              <w:top w:w="55" w:type="dxa"/>
              <w:left w:w="65" w:type="dxa"/>
              <w:bottom w:w="55" w:type="dxa"/>
              <w:right w:w="65" w:type="dxa"/>
            </w:tcMar>
            <w:vAlign w:val="center"/>
          </w:tcPr>
          <w:p w14:paraId="1AF5672B"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5383A59A"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7C74DBA2"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2A1ADC20"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65341C32" w14:textId="77777777" w:rsidTr="005D5368">
        <w:tc>
          <w:tcPr>
            <w:tcW w:w="2498" w:type="dxa"/>
            <w:tcMar>
              <w:top w:w="55" w:type="dxa"/>
              <w:left w:w="65" w:type="dxa"/>
              <w:bottom w:w="55" w:type="dxa"/>
              <w:right w:w="65" w:type="dxa"/>
            </w:tcMar>
            <w:vAlign w:val="center"/>
          </w:tcPr>
          <w:p w14:paraId="13A87503" w14:textId="77777777" w:rsidR="004C250E" w:rsidRPr="005D5368" w:rsidRDefault="00000000">
            <w:pPr>
              <w:rPr>
                <w:szCs w:val="28"/>
              </w:rPr>
            </w:pPr>
            <w:r w:rsidRPr="005D5368">
              <w:rPr>
                <w:szCs w:val="28"/>
              </w:rPr>
              <w:t>Multi-block operator prediction</w:t>
            </w:r>
          </w:p>
        </w:tc>
        <w:tc>
          <w:tcPr>
            <w:tcW w:w="2498" w:type="dxa"/>
            <w:tcMar>
              <w:top w:w="55" w:type="dxa"/>
              <w:left w:w="65" w:type="dxa"/>
              <w:bottom w:w="55" w:type="dxa"/>
              <w:right w:w="65" w:type="dxa"/>
            </w:tcMar>
            <w:vAlign w:val="center"/>
          </w:tcPr>
          <w:p w14:paraId="409DBA4C"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E00D703"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01459364"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2B71A00" w14:textId="77777777" w:rsidTr="005D5368">
        <w:tc>
          <w:tcPr>
            <w:tcW w:w="2498" w:type="dxa"/>
            <w:tcMar>
              <w:top w:w="55" w:type="dxa"/>
              <w:left w:w="65" w:type="dxa"/>
              <w:bottom w:w="55" w:type="dxa"/>
              <w:right w:w="65" w:type="dxa"/>
            </w:tcMar>
            <w:vAlign w:val="center"/>
          </w:tcPr>
          <w:p w14:paraId="1B2AA533"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E105E35"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4FAF86F"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0B19AAB8" w14:textId="77777777" w:rsidR="004C250E" w:rsidRPr="005D5368" w:rsidRDefault="00000000">
            <w:pPr>
              <w:jc w:val="center"/>
              <w:rPr>
                <w:szCs w:val="28"/>
              </w:rPr>
            </w:pPr>
            <w:r w:rsidRPr="005D5368">
              <w:rPr>
                <w:szCs w:val="28"/>
              </w:rPr>
              <w:t xml:space="preserve">At the most aggressive tested budgets, operator-aware methods beat the strongest </w:t>
            </w:r>
            <w:r w:rsidRPr="005D5368">
              <w:rPr>
                <w:szCs w:val="28"/>
              </w:rPr>
              <w:lastRenderedPageBreak/>
              <w:t>pruning baselines by 4.2–12.0 pp; ToMe remains competitive.</w:t>
            </w:r>
          </w:p>
        </w:tc>
      </w:tr>
      <w:tr w:rsidR="004C250E" w:rsidRPr="005D5368" w14:paraId="27CBA49A" w14:textId="77777777" w:rsidTr="005D5368">
        <w:tc>
          <w:tcPr>
            <w:tcW w:w="2498" w:type="dxa"/>
            <w:tcBorders>
              <w:bottom w:val="single" w:sz="4" w:space="0" w:color="auto"/>
            </w:tcBorders>
            <w:tcMar>
              <w:top w:w="55" w:type="dxa"/>
              <w:left w:w="65" w:type="dxa"/>
              <w:bottom w:w="55" w:type="dxa"/>
              <w:right w:w="65" w:type="dxa"/>
            </w:tcMar>
            <w:vAlign w:val="center"/>
          </w:tcPr>
          <w:p w14:paraId="756D64F0" w14:textId="77777777" w:rsidR="004C250E" w:rsidRPr="005D5368" w:rsidRDefault="00000000">
            <w:pPr>
              <w:rPr>
                <w:szCs w:val="28"/>
              </w:rPr>
            </w:pPr>
            <w:r w:rsidRPr="005D5368">
              <w:rPr>
                <w:szCs w:val="28"/>
              </w:rPr>
              <w:lastRenderedPageBreak/>
              <w:t>Practical carrier evaluation</w:t>
            </w:r>
          </w:p>
        </w:tc>
        <w:tc>
          <w:tcPr>
            <w:tcW w:w="2498" w:type="dxa"/>
            <w:tcBorders>
              <w:bottom w:val="single" w:sz="4" w:space="0" w:color="auto"/>
            </w:tcBorders>
            <w:tcMar>
              <w:top w:w="55" w:type="dxa"/>
              <w:left w:w="65" w:type="dxa"/>
              <w:bottom w:w="55" w:type="dxa"/>
              <w:right w:w="65" w:type="dxa"/>
            </w:tcMar>
            <w:vAlign w:val="center"/>
          </w:tcPr>
          <w:p w14:paraId="00C63D9B" w14:textId="77777777" w:rsidR="004C250E" w:rsidRPr="005D5368" w:rsidRDefault="00000000">
            <w:pPr>
              <w:jc w:val="center"/>
              <w:rPr>
                <w:szCs w:val="28"/>
              </w:rPr>
            </w:pPr>
            <w:r w:rsidRPr="005D5368">
              <w:rPr>
                <w:szCs w:val="28"/>
              </w:rPr>
              <w:t>Classifier: N=1,000 held-out images per architecture; operator-space: N=100 held-out operator-space images (separate cohort)</w:t>
            </w:r>
          </w:p>
        </w:tc>
        <w:tc>
          <w:tcPr>
            <w:tcW w:w="2498" w:type="dxa"/>
            <w:tcBorders>
              <w:bottom w:val="single" w:sz="4" w:space="0" w:color="auto"/>
            </w:tcBorders>
            <w:tcMar>
              <w:top w:w="55" w:type="dxa"/>
              <w:left w:w="65" w:type="dxa"/>
              <w:bottom w:w="55" w:type="dxa"/>
              <w:right w:w="65" w:type="dxa"/>
            </w:tcMar>
            <w:vAlign w:val="center"/>
          </w:tcPr>
          <w:p w14:paraId="503624DF" w14:textId="77777777" w:rsidR="004C250E" w:rsidRPr="005D5368" w:rsidRDefault="00000000">
            <w:pPr>
              <w:jc w:val="center"/>
              <w:rPr>
                <w:szCs w:val="28"/>
              </w:rPr>
            </w:pPr>
            <w:r w:rsidRPr="005D5368">
              <w:rPr>
                <w:szCs w:val="28"/>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48315661" w14:textId="77777777" w:rsidR="004C250E" w:rsidRPr="005D5368" w:rsidRDefault="00000000">
            <w:pPr>
              <w:jc w:val="center"/>
              <w:rPr>
                <w:szCs w:val="28"/>
              </w:rPr>
            </w:pPr>
            <w:r w:rsidRPr="005D5368">
              <w:rPr>
                <w:szCs w:val="28"/>
              </w:rPr>
              <w:t>Classifier and throughput gains are mixed; operator-space gains do not establish reliable classification or general deployment improvement.</w:t>
            </w:r>
          </w:p>
        </w:tc>
      </w:tr>
    </w:tbl>
    <w:p w14:paraId="4A7667DC" w14:textId="77777777" w:rsidR="004C250E" w:rsidRDefault="004C250E">
      <w:pPr>
        <w:spacing w:after="20"/>
      </w:pPr>
    </w:p>
    <w:p w14:paraId="3B7B3A70"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017DBA86"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BF21BA4" w14:textId="77777777">
        <w:trPr>
          <w:cantSplit/>
          <w:jc w:val="center"/>
        </w:trPr>
        <w:tc>
          <w:tcPr>
            <w:tcW w:w="518" w:type="dxa"/>
            <w:tcMar>
              <w:top w:w="0" w:type="dxa"/>
              <w:left w:w="0" w:type="dxa"/>
              <w:bottom w:w="0" w:type="dxa"/>
              <w:right w:w="0" w:type="dxa"/>
            </w:tcMar>
            <w:vAlign w:val="center"/>
          </w:tcPr>
          <w:p w14:paraId="4F69665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890D20"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39C955EC" w14:textId="77777777" w:rsidR="004C250E" w:rsidRDefault="00000000">
            <w:pPr>
              <w:keepLines/>
              <w:spacing w:before="40" w:after="80" w:line="240" w:lineRule="auto"/>
              <w:jc w:val="right"/>
            </w:pPr>
            <w:r>
              <w:rPr>
                <w:sz w:val="18"/>
              </w:rPr>
              <w:t>(1)</w:t>
            </w:r>
          </w:p>
        </w:tc>
      </w:tr>
    </w:tbl>
    <w:p w14:paraId="121B6BC6"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410254E2"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117F46A9"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AC66BBA" w14:textId="77777777" w:rsidR="004C250E" w:rsidRDefault="00000000">
      <w:pPr>
        <w:spacing w:after="100" w:line="259" w:lineRule="auto"/>
      </w:pPr>
      <w:r>
        <w:t>For practical carrier evaluation, q counts directions from the centered calibration activation covariance Σ</w:t>
      </w:r>
      <w:r>
        <w:rPr>
          <w:vertAlign w:val="subscript"/>
        </w:rPr>
        <w:t>act,ℓ</w:t>
      </w:r>
      <w: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14:paraId="091FB077" w14:textId="77777777" w:rsidR="004C250E" w:rsidRDefault="00000000">
      <w:pPr>
        <w:pStyle w:val="Heading1"/>
      </w:pPr>
      <w:r>
        <w:rPr>
          <w:rFonts w:ascii="Times New Roman" w:hAnsi="Times New Roman"/>
        </w:rPr>
        <w:t>4. Geometric and Diversity Constraints on Patch-Content Fungibility</w:t>
      </w:r>
    </w:p>
    <w:p w14:paraId="1FC17C4E" w14:textId="77777777" w:rsidR="004C250E" w:rsidRDefault="00000000">
      <w:pPr>
        <w:pStyle w:val="Heading2"/>
      </w:pPr>
      <w:r>
        <w:rPr>
          <w:rFonts w:ascii="Times New Roman" w:hAnsi="Times New Roman"/>
        </w:rPr>
        <w:t>4.1 Depth-Dependent Replacement Tolerance</w:t>
      </w:r>
    </w:p>
    <w:p w14:paraId="5CCA8337"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w:t>
      </w:r>
      <w:r>
        <w:lastRenderedPageBreak/>
        <w:t>Tiny (59.1% vs. 67.2%) and DeiT-Small (69.6% vs. 76.1%), and at depth 7 in ViT-B/16 AugReg (70.4% vs. 74.5%). Gaussian replacement exhibits similar preservation in several settings, achieving 75.3% accuracy on DeiT-Small at depth 8.</w:t>
      </w:r>
    </w:p>
    <w:p w14:paraId="6018CEBD" w14:textId="77777777" w:rsidR="004C250E"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32C008DF"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0C210F2F"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6B502C14" w14:textId="77777777" w:rsidR="004C250E" w:rsidRDefault="00000000">
      <w:pPr>
        <w:pStyle w:val="Heading2"/>
      </w:pPr>
      <w:r>
        <w:rPr>
          <w:rFonts w:ascii="Times New Roman" w:hAnsi="Times New Roman"/>
        </w:rPr>
        <w:t>4.2 Geometric and Diversity Constraints</w:t>
      </w:r>
    </w:p>
    <w:p w14:paraId="7DB7E955"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37F5BA4"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17EB5C80"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3B485DA3"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623D0676"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5A2DCB4F"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29DD8BDD" w14:textId="77777777" w:rsidR="004C250E" w:rsidRDefault="00000000">
      <w:pPr>
        <w:pStyle w:val="Heading1"/>
      </w:pPr>
      <w:r>
        <w:rPr>
          <w:rFonts w:ascii="Times New Roman" w:hAnsi="Times New Roman"/>
        </w:rPr>
        <w:t>5. Functional Geometry and Attention-Mediated Transmission</w:t>
      </w:r>
    </w:p>
    <w:p w14:paraId="334B61EC" w14:textId="77777777" w:rsidR="004C250E" w:rsidRDefault="00000000">
      <w:pPr>
        <w:pStyle w:val="Heading2"/>
      </w:pPr>
      <w:r>
        <w:rPr>
          <w:rFonts w:ascii="Times New Roman" w:hAnsi="Times New Roman"/>
        </w:rPr>
        <w:t>5.1 Anisotropy and Functional Geometry</w:t>
      </w:r>
    </w:p>
    <w:p w14:paraId="6DF85CE5"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78A491B" w14:textId="77777777">
        <w:trPr>
          <w:cantSplit/>
          <w:jc w:val="center"/>
        </w:trPr>
        <w:tc>
          <w:tcPr>
            <w:tcW w:w="518" w:type="dxa"/>
            <w:tcMar>
              <w:top w:w="0" w:type="dxa"/>
              <w:left w:w="0" w:type="dxa"/>
              <w:bottom w:w="0" w:type="dxa"/>
              <w:right w:w="0" w:type="dxa"/>
            </w:tcMar>
            <w:vAlign w:val="center"/>
          </w:tcPr>
          <w:p w14:paraId="6C10A5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5BAE5F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E161A3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30F87AC3" w14:textId="77777777" w:rsidR="004C250E" w:rsidRDefault="00000000">
            <w:pPr>
              <w:keepLines/>
              <w:spacing w:before="40" w:after="80" w:line="240" w:lineRule="auto"/>
              <w:jc w:val="right"/>
            </w:pPr>
            <w:r>
              <w:rPr>
                <w:sz w:val="18"/>
              </w:rPr>
              <w:t>(2)</w:t>
            </w:r>
          </w:p>
        </w:tc>
      </w:tr>
    </w:tbl>
    <w:p w14:paraId="1F23687A" w14:textId="77777777" w:rsidR="004C250E" w:rsidRDefault="00000000">
      <w:pPr>
        <w:keepLines/>
        <w:spacing w:after="100" w:line="259" w:lineRule="auto"/>
      </w:pPr>
      <w:r>
        <w:lastRenderedPageBreak/>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2C6BD7BA"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403FD861"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C5CEAF6"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43AEC485" w14:textId="77777777" w:rsidR="004C250E" w:rsidRDefault="00000000">
      <w:pPr>
        <w:spacing w:after="100" w:line="259" w:lineRule="auto"/>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22B6048D"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3BD94DB8"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1A876409" w14:textId="77777777" w:rsidR="004C250E" w:rsidRDefault="00000000">
      <w:pPr>
        <w:pStyle w:val="Heading2"/>
      </w:pPr>
      <w:r>
        <w:rPr>
          <w:rFonts w:ascii="Times New Roman" w:hAnsi="Times New Roman"/>
        </w:rPr>
        <w:t>5.2 Value-Path Coherence and Cancellation</w:t>
      </w:r>
    </w:p>
    <w:p w14:paraId="57157F17"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6EB97CAE" w14:textId="77777777" w:rsidR="004C250E" w:rsidRDefault="00000000">
      <w:pPr>
        <w:spacing w:after="100" w:line="259" w:lineRule="auto"/>
      </w:pPr>
      <w:r>
        <w:lastRenderedPageBreak/>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5CF10B8E"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2655399A"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2E8F9BD1"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458F6C9" w14:textId="77777777">
        <w:trPr>
          <w:cantSplit/>
          <w:jc w:val="center"/>
        </w:trPr>
        <w:tc>
          <w:tcPr>
            <w:tcW w:w="518" w:type="dxa"/>
            <w:tcMar>
              <w:top w:w="0" w:type="dxa"/>
              <w:left w:w="0" w:type="dxa"/>
              <w:bottom w:w="0" w:type="dxa"/>
              <w:right w:w="0" w:type="dxa"/>
            </w:tcMar>
            <w:vAlign w:val="center"/>
          </w:tcPr>
          <w:p w14:paraId="565976B8"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2C49DC"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B1A4EAB"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1B48D67B" w14:textId="77777777" w:rsidR="004C250E" w:rsidRDefault="00000000">
            <w:pPr>
              <w:keepLines/>
              <w:spacing w:before="40" w:after="80" w:line="240" w:lineRule="auto"/>
              <w:jc w:val="right"/>
            </w:pPr>
            <w:r>
              <w:rPr>
                <w:sz w:val="18"/>
              </w:rPr>
              <w:t>(3)</w:t>
            </w:r>
          </w:p>
        </w:tc>
      </w:tr>
    </w:tbl>
    <w:p w14:paraId="74006F82"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4FC2BD0B" w14:textId="77777777" w:rsidR="004C250E" w:rsidRDefault="00000000">
      <w:pPr>
        <w:pStyle w:val="Heading2"/>
      </w:pPr>
      <w:r>
        <w:rPr>
          <w:rFonts w:ascii="Times New Roman" w:hAnsi="Times New Roman"/>
        </w:rPr>
        <w:lastRenderedPageBreak/>
        <w:t>5.3 End-to-End Functional Transmission</w:t>
      </w:r>
    </w:p>
    <w:p w14:paraId="7CDB41B5"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C5BC8C3" w14:textId="77777777">
        <w:trPr>
          <w:cantSplit/>
          <w:jc w:val="center"/>
        </w:trPr>
        <w:tc>
          <w:tcPr>
            <w:tcW w:w="518" w:type="dxa"/>
            <w:tcMar>
              <w:top w:w="0" w:type="dxa"/>
              <w:left w:w="0" w:type="dxa"/>
              <w:bottom w:w="0" w:type="dxa"/>
              <w:right w:w="0" w:type="dxa"/>
            </w:tcMar>
            <w:vAlign w:val="center"/>
          </w:tcPr>
          <w:p w14:paraId="0274C07B"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408EEB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5BBFAD7"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792F8B3" w14:textId="77777777" w:rsidR="004C250E" w:rsidRDefault="00000000">
            <w:pPr>
              <w:keepLines/>
              <w:spacing w:before="40" w:after="80" w:line="240" w:lineRule="auto"/>
              <w:jc w:val="right"/>
            </w:pPr>
            <w:r>
              <w:rPr>
                <w:sz w:val="18"/>
              </w:rPr>
              <w:t>(4)</w:t>
            </w:r>
          </w:p>
        </w:tc>
      </w:tr>
    </w:tbl>
    <w:p w14:paraId="1831C399"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482987A5"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7C458E38"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136DECEA"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7B267624"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0D8F3892"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36BF0B" w14:textId="77777777">
        <w:trPr>
          <w:cantSplit/>
          <w:jc w:val="center"/>
        </w:trPr>
        <w:tc>
          <w:tcPr>
            <w:tcW w:w="518" w:type="dxa"/>
            <w:tcMar>
              <w:top w:w="0" w:type="dxa"/>
              <w:left w:w="0" w:type="dxa"/>
              <w:bottom w:w="0" w:type="dxa"/>
              <w:right w:w="0" w:type="dxa"/>
            </w:tcMar>
            <w:vAlign w:val="center"/>
          </w:tcPr>
          <w:p w14:paraId="4A79E552"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5F620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0340FF04"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6F83E6B6" w14:textId="77777777" w:rsidR="004C250E" w:rsidRDefault="00000000">
            <w:pPr>
              <w:keepLines/>
              <w:spacing w:before="40" w:after="80" w:line="240" w:lineRule="auto"/>
              <w:jc w:val="right"/>
            </w:pPr>
            <w:r>
              <w:rPr>
                <w:sz w:val="18"/>
              </w:rPr>
              <w:t>(5)</w:t>
            </w:r>
          </w:p>
        </w:tc>
      </w:tr>
    </w:tbl>
    <w:p w14:paraId="794BDB30"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6E24CA9A"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147D740D"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BD9E52D"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6139A9A4"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7C2DDE8D"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w:t>
      </w:r>
      <w:r>
        <w:lastRenderedPageBreak/>
        <w:t>coherence, and downstream transmission jointly constrain perturbation damage in the tested settings, motivating the operator-aware compression analysis in Section 6.</w:t>
      </w:r>
    </w:p>
    <w:p w14:paraId="06BFCF99" w14:textId="77777777" w:rsidR="004C250E" w:rsidRDefault="00000000">
      <w:pPr>
        <w:pStyle w:val="Heading1"/>
      </w:pPr>
      <w:r>
        <w:rPr>
          <w:rFonts w:ascii="Times New Roman" w:hAnsi="Times New Roman"/>
        </w:rPr>
        <w:t>6. Operator-Aware Token Compression</w:t>
      </w:r>
    </w:p>
    <w:p w14:paraId="078BC42D" w14:textId="77777777" w:rsidR="004C250E" w:rsidRDefault="00000000">
      <w:pPr>
        <w:pStyle w:val="Heading2"/>
      </w:pPr>
      <w:r>
        <w:rPr>
          <w:rFonts w:ascii="Times New Roman" w:hAnsi="Times New Roman"/>
        </w:rPr>
        <w:t>6.1 Carrier Grouping and Optimization</w:t>
      </w:r>
    </w:p>
    <w:p w14:paraId="17F1B08A"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0CE2CE" w14:textId="77777777" w:rsidTr="00A3332A">
        <w:trPr>
          <w:cantSplit/>
          <w:jc w:val="center"/>
        </w:trPr>
        <w:tc>
          <w:tcPr>
            <w:tcW w:w="518" w:type="dxa"/>
            <w:tcMar>
              <w:top w:w="0" w:type="dxa"/>
              <w:left w:w="0" w:type="dxa"/>
              <w:bottom w:w="0" w:type="dxa"/>
              <w:right w:w="0" w:type="dxa"/>
            </w:tcMar>
            <w:vAlign w:val="center"/>
          </w:tcPr>
          <w:p w14:paraId="2E0E6ED5"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7ABEACE7"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7FFC1DB7" w14:textId="77777777" w:rsidR="004C250E" w:rsidRDefault="00000000">
            <w:pPr>
              <w:keepLines/>
              <w:spacing w:before="40" w:after="80" w:line="240" w:lineRule="auto"/>
              <w:jc w:val="right"/>
            </w:pPr>
            <w:r>
              <w:rPr>
                <w:sz w:val="18"/>
              </w:rPr>
              <w:t>(6)</w:t>
            </w:r>
          </w:p>
        </w:tc>
      </w:tr>
    </w:tbl>
    <w:p w14:paraId="3765ACE9" w14:textId="77777777"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52A749B3" w14:textId="77777777"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995253" w14:textId="77777777">
        <w:trPr>
          <w:cantSplit/>
          <w:jc w:val="center"/>
        </w:trPr>
        <w:tc>
          <w:tcPr>
            <w:tcW w:w="518" w:type="dxa"/>
            <w:tcMar>
              <w:top w:w="0" w:type="dxa"/>
              <w:left w:w="0" w:type="dxa"/>
              <w:bottom w:w="0" w:type="dxa"/>
              <w:right w:w="0" w:type="dxa"/>
            </w:tcMar>
            <w:vAlign w:val="center"/>
          </w:tcPr>
          <w:p w14:paraId="76C336C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A1A9AC9"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9B0E6F7" w14:textId="77777777" w:rsidR="004C250E" w:rsidRDefault="00000000">
            <w:pPr>
              <w:keepLines/>
              <w:spacing w:before="40" w:after="80" w:line="240" w:lineRule="auto"/>
              <w:jc w:val="right"/>
            </w:pPr>
            <w:r>
              <w:rPr>
                <w:sz w:val="18"/>
              </w:rPr>
              <w:t>(7)</w:t>
            </w:r>
          </w:p>
        </w:tc>
      </w:tr>
    </w:tbl>
    <w:p w14:paraId="4EF7DD4B"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F72AC23" w14:textId="77777777">
        <w:trPr>
          <w:cantSplit/>
          <w:jc w:val="center"/>
        </w:trPr>
        <w:tc>
          <w:tcPr>
            <w:tcW w:w="518" w:type="dxa"/>
            <w:tcMar>
              <w:top w:w="0" w:type="dxa"/>
              <w:left w:w="0" w:type="dxa"/>
              <w:bottom w:w="0" w:type="dxa"/>
              <w:right w:w="0" w:type="dxa"/>
            </w:tcMar>
            <w:vAlign w:val="center"/>
          </w:tcPr>
          <w:p w14:paraId="15F1675C"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6916E81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2ED3D3D7" w14:textId="77777777" w:rsidR="004C250E" w:rsidRDefault="00000000">
            <w:pPr>
              <w:keepLines/>
              <w:spacing w:before="40" w:after="80" w:line="240" w:lineRule="auto"/>
              <w:jc w:val="right"/>
            </w:pPr>
            <w:r>
              <w:rPr>
                <w:sz w:val="18"/>
              </w:rPr>
              <w:t>(8)</w:t>
            </w:r>
          </w:p>
        </w:tc>
      </w:tr>
    </w:tbl>
    <w:p w14:paraId="3D4263B3"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36F7B194" w14:textId="77777777" w:rsidR="005B4464" w:rsidRDefault="00000000">
      <w:pPr>
        <w:spacing w:after="100" w:line="259" w:lineRule="auto"/>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551C531" w14:textId="77777777">
        <w:trPr>
          <w:cantSplit/>
          <w:jc w:val="center"/>
        </w:trPr>
        <w:tc>
          <w:tcPr>
            <w:tcW w:w="518" w:type="dxa"/>
            <w:tcMar>
              <w:top w:w="0" w:type="dxa"/>
              <w:left w:w="0" w:type="dxa"/>
              <w:bottom w:w="0" w:type="dxa"/>
              <w:right w:w="0" w:type="dxa"/>
            </w:tcMar>
            <w:vAlign w:val="center"/>
          </w:tcPr>
          <w:p w14:paraId="576455A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F36CE2C"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3490340B" w14:textId="77777777" w:rsidR="00BA0128" w:rsidRDefault="00BA0128">
            <w:pPr>
              <w:keepLines/>
              <w:spacing w:after="0" w:line="240" w:lineRule="auto"/>
              <w:jc w:val="center"/>
            </w:pPr>
          </w:p>
          <w:p w14:paraId="1B295D78"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1CF38569" w14:textId="77777777" w:rsidR="004C250E" w:rsidRDefault="00000000">
            <w:pPr>
              <w:keepLines/>
              <w:spacing w:before="40" w:after="80" w:line="240" w:lineRule="auto"/>
              <w:jc w:val="right"/>
            </w:pPr>
            <w:r>
              <w:rPr>
                <w:sz w:val="18"/>
              </w:rPr>
              <w:t>(9)</w:t>
            </w:r>
          </w:p>
        </w:tc>
      </w:tr>
    </w:tbl>
    <w:p w14:paraId="6D06BD8B"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36A2680C"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E7571AC" w14:textId="77777777">
        <w:trPr>
          <w:cantSplit/>
          <w:jc w:val="center"/>
        </w:trPr>
        <w:tc>
          <w:tcPr>
            <w:tcW w:w="518" w:type="dxa"/>
            <w:tcMar>
              <w:top w:w="0" w:type="dxa"/>
              <w:left w:w="0" w:type="dxa"/>
              <w:bottom w:w="0" w:type="dxa"/>
              <w:right w:w="0" w:type="dxa"/>
            </w:tcMar>
            <w:vAlign w:val="center"/>
          </w:tcPr>
          <w:p w14:paraId="0F7E533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C4B9AC1" w14:textId="1B017448"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B7CD146" w14:textId="77777777" w:rsidR="004C250E" w:rsidRDefault="00000000">
            <w:pPr>
              <w:keepLines/>
              <w:spacing w:before="40" w:after="80" w:line="240" w:lineRule="auto"/>
              <w:jc w:val="right"/>
            </w:pPr>
            <w:r>
              <w:rPr>
                <w:sz w:val="18"/>
              </w:rPr>
              <w:t>(10)</w:t>
            </w:r>
          </w:p>
        </w:tc>
      </w:tr>
    </w:tbl>
    <w:p w14:paraId="7A96CE70" w14:textId="77777777" w:rsidR="004C250E"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67AA1BE" w14:textId="77777777" w:rsidR="004C250E" w:rsidRDefault="00000000">
      <w:pPr>
        <w:pStyle w:val="Heading2"/>
      </w:pPr>
      <w:r>
        <w:rPr>
          <w:rFonts w:ascii="Times New Roman" w:hAnsi="Times New Roman"/>
        </w:rPr>
        <w:t>6.2 Confirmatory Compression Results</w:t>
      </w:r>
    </w:p>
    <w:p w14:paraId="299B9DAA" w14:textId="77777777" w:rsidR="004C250E" w:rsidRDefault="00000000">
      <w:pPr>
        <w:spacing w:after="100" w:line="259" w:lineRule="auto"/>
      </w:pPr>
      <w:r>
        <w:t>At each architecture’s most aggressive tested token budget, Table II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These comparisons therefore do not show universal dominance over the stronger merging baselines.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51FC399B" w14:textId="77777777" w:rsidR="004C250E" w:rsidRDefault="00000000">
      <w:pPr>
        <w:spacing w:after="100" w:line="259" w:lineRule="auto"/>
      </w:pPr>
      <w:r>
        <w:t>TABLE II</w:t>
      </w:r>
    </w:p>
    <w:p w14:paraId="543AC7A6" w14:textId="77777777" w:rsidR="004C250E" w:rsidRDefault="00000000">
      <w:pPr>
        <w:spacing w:after="100" w:line="259" w:lineRule="auto"/>
      </w:pPr>
      <w:r>
        <w:t>STRICT CONFIRMATORY TOP-1 ACCURACY AT THE MOST AGGRESSIVE TESTED BUDGET</w:t>
      </w:r>
    </w:p>
    <w:p w14:paraId="6E0A0B10"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094B963A"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125743E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8D4955D"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E72DD36"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79D44F3"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6ADA12"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93CBC6E"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A15A44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B4BE2E0" w14:textId="77777777" w:rsidR="004C250E" w:rsidRPr="005D5368" w:rsidRDefault="00000000">
            <w:pPr>
              <w:jc w:val="center"/>
              <w:rPr>
                <w:szCs w:val="32"/>
              </w:rPr>
            </w:pPr>
            <w:r w:rsidRPr="005D5368">
              <w:rPr>
                <w:b/>
                <w:color w:val="17232D"/>
                <w:szCs w:val="32"/>
              </w:rPr>
              <w:t>Rank-32</w:t>
            </w:r>
          </w:p>
        </w:tc>
      </w:tr>
      <w:tr w:rsidR="004C250E" w14:paraId="3C9A5873" w14:textId="77777777" w:rsidTr="005D5368">
        <w:tc>
          <w:tcPr>
            <w:tcW w:w="1249" w:type="dxa"/>
            <w:tcBorders>
              <w:top w:val="single" w:sz="4" w:space="0" w:color="auto"/>
            </w:tcBorders>
            <w:tcMar>
              <w:top w:w="55" w:type="dxa"/>
              <w:left w:w="65" w:type="dxa"/>
              <w:bottom w:w="55" w:type="dxa"/>
              <w:right w:w="65" w:type="dxa"/>
            </w:tcMar>
            <w:vAlign w:val="center"/>
          </w:tcPr>
          <w:p w14:paraId="33CEE34C"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22F2A53D"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51B9EBB4"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64942A5C"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232A00B0"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1D691DAE"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4A46976"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126EB820" w14:textId="77777777" w:rsidR="004C250E" w:rsidRPr="005D5368" w:rsidRDefault="00000000">
            <w:pPr>
              <w:jc w:val="center"/>
              <w:rPr>
                <w:szCs w:val="32"/>
              </w:rPr>
            </w:pPr>
            <w:r w:rsidRPr="005D5368">
              <w:rPr>
                <w:szCs w:val="32"/>
              </w:rPr>
              <w:t>67.9%</w:t>
            </w:r>
          </w:p>
        </w:tc>
      </w:tr>
      <w:tr w:rsidR="004C250E" w14:paraId="4A44AD01" w14:textId="77777777" w:rsidTr="005D5368">
        <w:tc>
          <w:tcPr>
            <w:tcW w:w="1249" w:type="dxa"/>
            <w:tcMar>
              <w:top w:w="55" w:type="dxa"/>
              <w:left w:w="65" w:type="dxa"/>
              <w:bottom w:w="55" w:type="dxa"/>
              <w:right w:w="65" w:type="dxa"/>
            </w:tcMar>
            <w:vAlign w:val="center"/>
          </w:tcPr>
          <w:p w14:paraId="08400FCB"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1CAA9453"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708E2C2"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0AF0059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35126464"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1DA22C91"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71948127"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692BA422" w14:textId="77777777" w:rsidR="004C250E" w:rsidRPr="005D5368" w:rsidRDefault="00000000">
            <w:pPr>
              <w:jc w:val="center"/>
              <w:rPr>
                <w:szCs w:val="32"/>
              </w:rPr>
            </w:pPr>
            <w:r w:rsidRPr="005D5368">
              <w:rPr>
                <w:szCs w:val="32"/>
              </w:rPr>
              <w:t>76.5%</w:t>
            </w:r>
          </w:p>
        </w:tc>
      </w:tr>
      <w:tr w:rsidR="004C250E" w14:paraId="12A836C1" w14:textId="77777777" w:rsidTr="005D5368">
        <w:tc>
          <w:tcPr>
            <w:tcW w:w="1249" w:type="dxa"/>
            <w:tcMar>
              <w:top w:w="55" w:type="dxa"/>
              <w:left w:w="65" w:type="dxa"/>
              <w:bottom w:w="55" w:type="dxa"/>
              <w:right w:w="65" w:type="dxa"/>
            </w:tcMar>
            <w:vAlign w:val="center"/>
          </w:tcPr>
          <w:p w14:paraId="47ADD47B"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72BD59B5"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65276B97"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34575CFE"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16974DA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458A96D2"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70C8D4FF"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63A02B41" w14:textId="77777777" w:rsidR="004C250E" w:rsidRPr="005D5368" w:rsidRDefault="00000000">
            <w:pPr>
              <w:jc w:val="center"/>
              <w:rPr>
                <w:szCs w:val="32"/>
              </w:rPr>
            </w:pPr>
            <w:r w:rsidRPr="005D5368">
              <w:rPr>
                <w:szCs w:val="32"/>
              </w:rPr>
              <w:t>74.2%</w:t>
            </w:r>
          </w:p>
        </w:tc>
      </w:tr>
      <w:tr w:rsidR="004C250E" w14:paraId="42A1D496" w14:textId="77777777" w:rsidTr="005D5368">
        <w:tc>
          <w:tcPr>
            <w:tcW w:w="1249" w:type="dxa"/>
            <w:tcBorders>
              <w:bottom w:val="single" w:sz="4" w:space="0" w:color="auto"/>
            </w:tcBorders>
            <w:tcMar>
              <w:top w:w="55" w:type="dxa"/>
              <w:left w:w="65" w:type="dxa"/>
              <w:bottom w:w="55" w:type="dxa"/>
              <w:right w:w="65" w:type="dxa"/>
            </w:tcMar>
            <w:vAlign w:val="center"/>
          </w:tcPr>
          <w:p w14:paraId="5A49514B"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49C0998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7CCE2CAC"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0C94CCE1"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43849A19"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51187A10"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330F8E81"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76DACAC5" w14:textId="77777777" w:rsidR="004C250E" w:rsidRPr="005D5368" w:rsidRDefault="00000000">
            <w:pPr>
              <w:jc w:val="center"/>
              <w:rPr>
                <w:szCs w:val="32"/>
              </w:rPr>
            </w:pPr>
            <w:r w:rsidRPr="005D5368">
              <w:rPr>
                <w:szCs w:val="32"/>
              </w:rPr>
              <w:t>73.0%</w:t>
            </w:r>
          </w:p>
        </w:tc>
      </w:tr>
    </w:tbl>
    <w:p w14:paraId="5565636B" w14:textId="77777777" w:rsidR="004C250E" w:rsidRDefault="004C250E">
      <w:pPr>
        <w:spacing w:after="20"/>
      </w:pPr>
    </w:p>
    <w:p w14:paraId="2DA3F369"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II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II lists rank-16 and rank-32 Top-1 at each architecture's most aggressive tested budget.</w:t>
      </w:r>
    </w:p>
    <w:p w14:paraId="05BDE06F"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6057BB45"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20B821B5" w14:textId="77777777" w:rsidR="004C250E" w:rsidRDefault="00000000">
      <w:pPr>
        <w:pStyle w:val="Heading1"/>
      </w:pPr>
      <w:r>
        <w:rPr>
          <w:rFonts w:ascii="Times New Roman" w:hAnsi="Times New Roman"/>
        </w:rPr>
        <w:t>7. From Operator-Aware Optimization to Practical Compression</w:t>
      </w:r>
    </w:p>
    <w:p w14:paraId="52F1D5D9" w14:textId="77777777" w:rsidR="004C250E" w:rsidRDefault="00000000">
      <w:pPr>
        <w:pStyle w:val="Heading2"/>
      </w:pPr>
      <w:r>
        <w:rPr>
          <w:rFonts w:ascii="Times New Roman" w:hAnsi="Times New Roman"/>
        </w:rPr>
        <w:t>7.1 Calibration-Frozen Carrier Corrections</w:t>
      </w:r>
    </w:p>
    <w:p w14:paraId="22A5CF68" w14:textId="77777777" w:rsidR="004C250E" w:rsidRDefault="00000000">
      <w:pPr>
        <w:spacing w:after="100" w:line="259" w:lineRule="auto"/>
      </w:pPr>
      <w:r>
        <w:t>The Full-J and restricted carrier oracles choose an image-conditioned correction using that image’s downstream Jacobian. To test whether some of this operator-space benefit could be retained with reusable quantities, the calibration-frozen Feature-PCA variant constructs a low-dimensional feature basis from calibration activations and estimates average correction coefficients on calibration data. These directions and coefficients are then frozen for evaluation, avoiding a per-image Jacobian solve. In the classifier-carrier protocol, the correction is added to fixed-spatial Group Mean carriers and evaluated with the actual model suffix and classifier; the calibration and evaluation images are disjoint.</w:t>
      </w:r>
    </w:p>
    <w:p w14:paraId="4CEC2A87" w14:textId="77777777">
      <w:pPr>
        <w:spacing w:after="100" w:line="259" w:lineRule="auto"/>
      </w:pPr>
      <w:r>
        <w:rPr>
          <w:rFonts w:ascii="Times New Roman" w:hAnsi="Times New Roman"/>
          <w:i w:val="0"/>
          <w:color w:val="202A32"/>
          <w:sz w:val="20"/>
        </w:rPr>
        <w:t>For DeiT-Small at q=16, the calibration-average correction reduces the held-out linearized residual from 12.5234 for Group Mean to 9.2724. The per-image restricted q=16 oracle reaches 6.6023, so the calibration-average correction recovers 54.91% of that restricted-oracle residual gain. This operator-space audit uses 500 calibration images and 100 held-out operator-space images; it is not a nonlinear classification recovery rate. In a separate q=16 control on that cohort, shuffling the PCA coordinates raises mean ‖J E‖ from 6.6023 to 8.0763 (Δ=1.4740), consistent with the tested directions carrying relevant operator-space structure. Neither result establishes an accuracy or speed benefit.</w:t>
      </w:r>
    </w:p>
    <w:p w14:paraId="4E129FFF" w14:textId="77777777" w:rsidR="004C250E" w:rsidRDefault="00000000">
      <w:pPr>
        <w:pStyle w:val="Heading2"/>
      </w:pPr>
      <w:r>
        <w:rPr>
          <w:rFonts w:ascii="Times New Roman" w:hAnsi="Times New Roman"/>
        </w:rPr>
        <w:t>7.2 Held-Out Classification and Throughput</w:t>
      </w:r>
    </w:p>
    <w:p w14:paraId="3B90E3F6" w14:textId="77777777" w:rsidR="004C250E" w:rsidRDefault="00000000">
      <w:pPr>
        <w:spacing w:after="100" w:line="259" w:lineRule="auto"/>
      </w:pPr>
      <w:r>
        <w:t>We evaluate actual nonlinear predictions with the separate classifier-carrier protocol: PCA directions and average coefficients are fitted using 500 calibration images (seed 7101), then tested on 1,000 disjoint held-out images per architecture (seed 9201). Table III compares Static Feature-PCA with Hybrid Group Mean, the baseline for this experiment. Results vary by architecture and budget: q=16 is 1.5 pp below Hybrid Group Mean for DeiT-Small at B=49 and 4.5 pp below it for DINOv2 at B=42, while ViT-B/16 AugReg shows a modest +0.7 pp at B=49. This Hybrid Group Mean result is distinct from the Group Mean condition in the confirmatory compression benchmark (Table II).</w:t>
      </w:r>
    </w:p>
    <w:p w14:paraId="4086248A" w14:textId="77777777" w:rsidR="004C250E" w:rsidRDefault="00000000">
      <w:pPr>
        <w:spacing w:after="100" w:line="259" w:lineRule="auto"/>
      </w:pPr>
      <w:r>
        <w:t>TABLE III</w:t>
      </w:r>
    </w:p>
    <w:p w14:paraId="7534A99B" w14:textId="77777777" w:rsidR="004C250E" w:rsidRDefault="00000000">
      <w:pPr>
        <w:spacing w:after="100" w:line="259" w:lineRule="auto"/>
      </w:pPr>
      <w:r>
        <w:t>CLASSIFIER-CARRIER COUNTS AT REPORTED BUDGETS</w:t>
      </w:r>
    </w:p>
    <w:p w14:paraId="005B9999" w14:textId="77777777" w:rsidR="004C250E" w:rsidRDefault="00000000">
      <w:pPr>
        <w:spacing w:after="100" w:line="259" w:lineRule="auto"/>
      </w:pPr>
      <w:r>
        <w:t>Correct-prediction counts and Top-1 accuracy on 1,000 held-out images. Parenthetical values are percentage-point (pp) changes from Hybrid Group Mean at the same architecture and budget; the classifier cohort is separate from the operator-space study.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4C250E" w:rsidRPr="005D5368" w14:paraId="6743E6C4" w14:textId="77777777" w:rsidTr="005D5368">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5520207A" w14:textId="77777777" w:rsidR="004C250E" w:rsidRPr="005D5368" w:rsidRDefault="00000000">
            <w:pPr>
              <w:jc w:val="center"/>
              <w:rPr>
                <w:szCs w:val="28"/>
              </w:rPr>
            </w:pPr>
            <w:r w:rsidRPr="005D5368">
              <w:rPr>
                <w:b/>
                <w:color w:val="17232D"/>
                <w:szCs w:val="28"/>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4C8AD45E" w14:textId="77777777" w:rsidR="004C250E" w:rsidRPr="005D5368" w:rsidRDefault="00000000">
            <w:pPr>
              <w:jc w:val="center"/>
              <w:rPr>
                <w:szCs w:val="28"/>
              </w:rPr>
            </w:pPr>
            <w:r w:rsidRPr="005D5368">
              <w:rPr>
                <w:b/>
                <w:color w:val="17232D"/>
                <w:szCs w:val="28"/>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501FF88" w14:textId="77777777" w:rsidR="004C250E" w:rsidRPr="005D5368" w:rsidRDefault="00000000">
            <w:pPr>
              <w:jc w:val="center"/>
              <w:rPr>
                <w:szCs w:val="28"/>
              </w:rPr>
            </w:pPr>
            <w:r w:rsidRPr="005D5368">
              <w:rPr>
                <w:b/>
                <w:color w:val="17232D"/>
                <w:szCs w:val="28"/>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38B4AEAB" w14:textId="77777777" w:rsidR="004C250E" w:rsidRPr="005D5368" w:rsidRDefault="00000000">
            <w:pPr>
              <w:jc w:val="center"/>
              <w:rPr>
                <w:szCs w:val="28"/>
              </w:rPr>
            </w:pPr>
            <w:r w:rsidRPr="005D5368">
              <w:rPr>
                <w:b/>
                <w:color w:val="17232D"/>
                <w:szCs w:val="28"/>
              </w:rPr>
              <w:t>Static Feature-PCA,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69D9AAF" w14:textId="77777777" w:rsidR="004C250E" w:rsidRPr="005D5368" w:rsidRDefault="00000000">
            <w:pPr>
              <w:jc w:val="center"/>
              <w:rPr>
                <w:szCs w:val="28"/>
              </w:rPr>
            </w:pPr>
            <w:r w:rsidRPr="005D5368">
              <w:rPr>
                <w:b/>
                <w:color w:val="17232D"/>
                <w:szCs w:val="28"/>
              </w:rPr>
              <w:t>Static Feature-PCA, q=32</w:t>
            </w:r>
          </w:p>
        </w:tc>
      </w:tr>
      <w:tr w:rsidR="004C250E" w:rsidRPr="005D5368" w14:paraId="0FD278C8" w14:textId="77777777" w:rsidTr="005D5368">
        <w:tc>
          <w:tcPr>
            <w:tcW w:w="1999" w:type="dxa"/>
            <w:tcBorders>
              <w:top w:val="single" w:sz="4" w:space="0" w:color="auto"/>
            </w:tcBorders>
            <w:tcMar>
              <w:top w:w="55" w:type="dxa"/>
              <w:left w:w="65" w:type="dxa"/>
              <w:bottom w:w="55" w:type="dxa"/>
              <w:right w:w="65" w:type="dxa"/>
            </w:tcMar>
            <w:vAlign w:val="center"/>
          </w:tcPr>
          <w:p w14:paraId="32F8DA13" w14:textId="77777777" w:rsidR="004C250E" w:rsidRPr="005D5368" w:rsidRDefault="00000000">
            <w:pPr>
              <w:rPr>
                <w:szCs w:val="28"/>
              </w:rPr>
            </w:pPr>
            <w:r w:rsidRPr="005D5368">
              <w:rPr>
                <w:szCs w:val="28"/>
              </w:rPr>
              <w:t>DeiT-Small</w:t>
            </w:r>
          </w:p>
        </w:tc>
        <w:tc>
          <w:tcPr>
            <w:tcW w:w="1999" w:type="dxa"/>
            <w:tcBorders>
              <w:top w:val="single" w:sz="4" w:space="0" w:color="auto"/>
            </w:tcBorders>
            <w:tcMar>
              <w:top w:w="55" w:type="dxa"/>
              <w:left w:w="65" w:type="dxa"/>
              <w:bottom w:w="55" w:type="dxa"/>
              <w:right w:w="65" w:type="dxa"/>
            </w:tcMar>
            <w:vAlign w:val="center"/>
          </w:tcPr>
          <w:p w14:paraId="0FD2E1D3" w14:textId="77777777" w:rsidR="004C250E" w:rsidRPr="005D5368" w:rsidRDefault="00000000">
            <w:pPr>
              <w:jc w:val="center"/>
              <w:rPr>
                <w:szCs w:val="28"/>
              </w:rPr>
            </w:pPr>
            <w:r w:rsidRPr="005D5368">
              <w:rPr>
                <w:szCs w:val="28"/>
              </w:rPr>
              <w:t>98</w:t>
            </w:r>
          </w:p>
        </w:tc>
        <w:tc>
          <w:tcPr>
            <w:tcW w:w="1999" w:type="dxa"/>
            <w:tcBorders>
              <w:top w:val="single" w:sz="4" w:space="0" w:color="auto"/>
            </w:tcBorders>
            <w:tcMar>
              <w:top w:w="55" w:type="dxa"/>
              <w:left w:w="65" w:type="dxa"/>
              <w:bottom w:w="55" w:type="dxa"/>
              <w:right w:w="65" w:type="dxa"/>
            </w:tcMar>
            <w:vAlign w:val="center"/>
          </w:tcPr>
          <w:p w14:paraId="282E03BE" w14:textId="77777777" w:rsidR="004C250E" w:rsidRPr="005D5368" w:rsidRDefault="00000000">
            <w:pPr>
              <w:jc w:val="center"/>
              <w:rPr>
                <w:szCs w:val="28"/>
              </w:rPr>
            </w:pPr>
            <w:r w:rsidRPr="005D5368">
              <w:rPr>
                <w:szCs w:val="28"/>
              </w:rPr>
              <w:t>764/1,000 (76.4%)</w:t>
            </w:r>
          </w:p>
        </w:tc>
        <w:tc>
          <w:tcPr>
            <w:tcW w:w="1999" w:type="dxa"/>
            <w:tcBorders>
              <w:top w:val="single" w:sz="4" w:space="0" w:color="auto"/>
            </w:tcBorders>
            <w:tcMar>
              <w:top w:w="55" w:type="dxa"/>
              <w:left w:w="65" w:type="dxa"/>
              <w:bottom w:w="55" w:type="dxa"/>
              <w:right w:w="65" w:type="dxa"/>
            </w:tcMar>
            <w:vAlign w:val="center"/>
          </w:tcPr>
          <w:p w14:paraId="08524A52" w14:textId="77777777" w:rsidR="005D5368" w:rsidRDefault="00000000">
            <w:pPr>
              <w:jc w:val="center"/>
              <w:rPr>
                <w:szCs w:val="28"/>
              </w:rPr>
            </w:pPr>
            <w:r w:rsidRPr="005D5368">
              <w:rPr>
                <w:szCs w:val="28"/>
              </w:rPr>
              <w:t xml:space="preserve">763/1,000 </w:t>
            </w:r>
          </w:p>
          <w:p w14:paraId="57F9EB67" w14:textId="77777777" w:rsidR="004C250E" w:rsidRPr="005D5368" w:rsidRDefault="00000000">
            <w:pPr>
              <w:jc w:val="center"/>
              <w:rPr>
                <w:szCs w:val="28"/>
              </w:rPr>
            </w:pPr>
            <w:r w:rsidRPr="005D5368">
              <w:rPr>
                <w:szCs w:val="28"/>
              </w:rPr>
              <w:t>(76.3%; −0.1 pp)</w:t>
            </w:r>
          </w:p>
        </w:tc>
        <w:tc>
          <w:tcPr>
            <w:tcW w:w="1999" w:type="dxa"/>
            <w:tcBorders>
              <w:top w:val="single" w:sz="4" w:space="0" w:color="auto"/>
            </w:tcBorders>
            <w:tcMar>
              <w:top w:w="55" w:type="dxa"/>
              <w:left w:w="65" w:type="dxa"/>
              <w:bottom w:w="55" w:type="dxa"/>
              <w:right w:w="65" w:type="dxa"/>
            </w:tcMar>
            <w:vAlign w:val="center"/>
          </w:tcPr>
          <w:p w14:paraId="29C8B06D" w14:textId="77777777" w:rsidR="005D5368" w:rsidRDefault="00000000">
            <w:pPr>
              <w:jc w:val="center"/>
              <w:rPr>
                <w:szCs w:val="28"/>
              </w:rPr>
            </w:pPr>
            <w:r w:rsidRPr="005D5368">
              <w:rPr>
                <w:szCs w:val="28"/>
              </w:rPr>
              <w:t xml:space="preserve">760/1,000 </w:t>
            </w:r>
          </w:p>
          <w:p w14:paraId="13250F8E" w14:textId="77777777" w:rsidR="004C250E" w:rsidRPr="005D5368" w:rsidRDefault="00000000">
            <w:pPr>
              <w:jc w:val="center"/>
              <w:rPr>
                <w:szCs w:val="28"/>
              </w:rPr>
            </w:pPr>
            <w:r w:rsidRPr="005D5368">
              <w:rPr>
                <w:szCs w:val="28"/>
              </w:rPr>
              <w:t>(76.0%; −0.4 pp)</w:t>
            </w:r>
          </w:p>
        </w:tc>
      </w:tr>
      <w:tr w:rsidR="004C250E" w:rsidRPr="005D5368" w14:paraId="3DB3D994" w14:textId="77777777" w:rsidTr="005D5368">
        <w:tc>
          <w:tcPr>
            <w:tcW w:w="1999" w:type="dxa"/>
            <w:tcMar>
              <w:top w:w="55" w:type="dxa"/>
              <w:left w:w="65" w:type="dxa"/>
              <w:bottom w:w="55" w:type="dxa"/>
              <w:right w:w="65" w:type="dxa"/>
            </w:tcMar>
            <w:vAlign w:val="center"/>
          </w:tcPr>
          <w:p w14:paraId="18703AFE" w14:textId="77777777" w:rsidR="004C250E" w:rsidRPr="005D5368" w:rsidRDefault="00000000">
            <w:pPr>
              <w:rPr>
                <w:szCs w:val="28"/>
              </w:rPr>
            </w:pPr>
            <w:r w:rsidRPr="005D5368">
              <w:rPr>
                <w:szCs w:val="28"/>
              </w:rPr>
              <w:t>DeiT-Small</w:t>
            </w:r>
          </w:p>
        </w:tc>
        <w:tc>
          <w:tcPr>
            <w:tcW w:w="1999" w:type="dxa"/>
            <w:tcMar>
              <w:top w:w="55" w:type="dxa"/>
              <w:left w:w="65" w:type="dxa"/>
              <w:bottom w:w="55" w:type="dxa"/>
              <w:right w:w="65" w:type="dxa"/>
            </w:tcMar>
            <w:vAlign w:val="center"/>
          </w:tcPr>
          <w:p w14:paraId="2493EDCE" w14:textId="77777777" w:rsidR="004C250E" w:rsidRPr="005D5368" w:rsidRDefault="00000000">
            <w:pPr>
              <w:jc w:val="center"/>
              <w:rPr>
                <w:szCs w:val="28"/>
              </w:rPr>
            </w:pPr>
            <w:r w:rsidRPr="005D5368">
              <w:rPr>
                <w:szCs w:val="28"/>
              </w:rPr>
              <w:t>49</w:t>
            </w:r>
          </w:p>
        </w:tc>
        <w:tc>
          <w:tcPr>
            <w:tcW w:w="1999" w:type="dxa"/>
            <w:tcMar>
              <w:top w:w="55" w:type="dxa"/>
              <w:left w:w="65" w:type="dxa"/>
              <w:bottom w:w="55" w:type="dxa"/>
              <w:right w:w="65" w:type="dxa"/>
            </w:tcMar>
            <w:vAlign w:val="center"/>
          </w:tcPr>
          <w:p w14:paraId="5A16AEE8" w14:textId="77777777" w:rsidR="004C250E" w:rsidRPr="005D5368" w:rsidRDefault="00000000">
            <w:pPr>
              <w:jc w:val="center"/>
              <w:rPr>
                <w:szCs w:val="28"/>
              </w:rPr>
            </w:pPr>
            <w:r w:rsidRPr="005D5368">
              <w:rPr>
                <w:szCs w:val="28"/>
              </w:rPr>
              <w:t>755/1,000 (75.5%)</w:t>
            </w:r>
          </w:p>
        </w:tc>
        <w:tc>
          <w:tcPr>
            <w:tcW w:w="1999" w:type="dxa"/>
            <w:tcMar>
              <w:top w:w="55" w:type="dxa"/>
              <w:left w:w="65" w:type="dxa"/>
              <w:bottom w:w="55" w:type="dxa"/>
              <w:right w:w="65" w:type="dxa"/>
            </w:tcMar>
            <w:vAlign w:val="center"/>
          </w:tcPr>
          <w:p w14:paraId="3340E787" w14:textId="77777777" w:rsidR="005D5368" w:rsidRDefault="00000000">
            <w:pPr>
              <w:jc w:val="center"/>
              <w:rPr>
                <w:szCs w:val="28"/>
              </w:rPr>
            </w:pPr>
            <w:r w:rsidRPr="005D5368">
              <w:rPr>
                <w:szCs w:val="28"/>
              </w:rPr>
              <w:t xml:space="preserve">740/1,000 </w:t>
            </w:r>
          </w:p>
          <w:p w14:paraId="5BFEF970" w14:textId="77777777" w:rsidR="004C250E" w:rsidRPr="005D5368" w:rsidRDefault="00000000">
            <w:pPr>
              <w:jc w:val="center"/>
              <w:rPr>
                <w:szCs w:val="28"/>
              </w:rPr>
            </w:pPr>
            <w:r w:rsidRPr="005D5368">
              <w:rPr>
                <w:szCs w:val="28"/>
              </w:rPr>
              <w:t>(74.0%; −1.5 pp)</w:t>
            </w:r>
          </w:p>
        </w:tc>
        <w:tc>
          <w:tcPr>
            <w:tcW w:w="1999" w:type="dxa"/>
            <w:tcMar>
              <w:top w:w="55" w:type="dxa"/>
              <w:left w:w="65" w:type="dxa"/>
              <w:bottom w:w="55" w:type="dxa"/>
              <w:right w:w="65" w:type="dxa"/>
            </w:tcMar>
            <w:vAlign w:val="center"/>
          </w:tcPr>
          <w:p w14:paraId="5FB41DE5" w14:textId="77777777" w:rsidR="005D5368" w:rsidRDefault="00000000">
            <w:pPr>
              <w:jc w:val="center"/>
              <w:rPr>
                <w:szCs w:val="28"/>
              </w:rPr>
            </w:pPr>
            <w:r w:rsidRPr="005D5368">
              <w:rPr>
                <w:szCs w:val="28"/>
              </w:rPr>
              <w:t xml:space="preserve">740/1,000 </w:t>
            </w:r>
          </w:p>
          <w:p w14:paraId="1BEBBCBA" w14:textId="77777777" w:rsidR="004C250E" w:rsidRPr="005D5368" w:rsidRDefault="00000000">
            <w:pPr>
              <w:jc w:val="center"/>
              <w:rPr>
                <w:szCs w:val="28"/>
              </w:rPr>
            </w:pPr>
            <w:r w:rsidRPr="005D5368">
              <w:rPr>
                <w:szCs w:val="28"/>
              </w:rPr>
              <w:t>(74.0%; −1.5 pp)</w:t>
            </w:r>
          </w:p>
        </w:tc>
      </w:tr>
      <w:tr w:rsidR="004C250E" w:rsidRPr="005D5368" w14:paraId="107D1C08" w14:textId="77777777" w:rsidTr="005D5368">
        <w:tc>
          <w:tcPr>
            <w:tcW w:w="1999" w:type="dxa"/>
            <w:tcMar>
              <w:top w:w="55" w:type="dxa"/>
              <w:left w:w="65" w:type="dxa"/>
              <w:bottom w:w="55" w:type="dxa"/>
              <w:right w:w="65" w:type="dxa"/>
            </w:tcMar>
            <w:vAlign w:val="center"/>
          </w:tcPr>
          <w:p w14:paraId="37AECA79" w14:textId="77777777" w:rsidR="004C250E" w:rsidRPr="005D5368" w:rsidRDefault="00000000">
            <w:pPr>
              <w:rPr>
                <w:szCs w:val="28"/>
              </w:rPr>
            </w:pPr>
            <w:r w:rsidRPr="005D5368">
              <w:rPr>
                <w:szCs w:val="28"/>
              </w:rPr>
              <w:t>DINOv2 ViT-S/14</w:t>
            </w:r>
          </w:p>
        </w:tc>
        <w:tc>
          <w:tcPr>
            <w:tcW w:w="1999" w:type="dxa"/>
            <w:tcMar>
              <w:top w:w="55" w:type="dxa"/>
              <w:left w:w="65" w:type="dxa"/>
              <w:bottom w:w="55" w:type="dxa"/>
              <w:right w:w="65" w:type="dxa"/>
            </w:tcMar>
            <w:vAlign w:val="center"/>
          </w:tcPr>
          <w:p w14:paraId="479A5747" w14:textId="77777777" w:rsidR="004C250E" w:rsidRPr="005D5368" w:rsidRDefault="00000000">
            <w:pPr>
              <w:jc w:val="center"/>
              <w:rPr>
                <w:szCs w:val="28"/>
              </w:rPr>
            </w:pPr>
            <w:r w:rsidRPr="005D5368">
              <w:rPr>
                <w:szCs w:val="28"/>
              </w:rPr>
              <w:t>42</w:t>
            </w:r>
          </w:p>
        </w:tc>
        <w:tc>
          <w:tcPr>
            <w:tcW w:w="1999" w:type="dxa"/>
            <w:tcMar>
              <w:top w:w="55" w:type="dxa"/>
              <w:left w:w="65" w:type="dxa"/>
              <w:bottom w:w="55" w:type="dxa"/>
              <w:right w:w="65" w:type="dxa"/>
            </w:tcMar>
            <w:vAlign w:val="center"/>
          </w:tcPr>
          <w:p w14:paraId="07131809" w14:textId="77777777" w:rsidR="004C250E" w:rsidRPr="005D5368" w:rsidRDefault="00000000">
            <w:pPr>
              <w:jc w:val="center"/>
              <w:rPr>
                <w:szCs w:val="28"/>
              </w:rPr>
            </w:pPr>
            <w:r w:rsidRPr="005D5368">
              <w:rPr>
                <w:szCs w:val="28"/>
              </w:rPr>
              <w:t>613/1,000 (61.3%)</w:t>
            </w:r>
          </w:p>
        </w:tc>
        <w:tc>
          <w:tcPr>
            <w:tcW w:w="1999" w:type="dxa"/>
            <w:tcMar>
              <w:top w:w="55" w:type="dxa"/>
              <w:left w:w="65" w:type="dxa"/>
              <w:bottom w:w="55" w:type="dxa"/>
              <w:right w:w="65" w:type="dxa"/>
            </w:tcMar>
            <w:vAlign w:val="center"/>
          </w:tcPr>
          <w:p w14:paraId="028DD190" w14:textId="77777777" w:rsidR="005D5368" w:rsidRDefault="00000000">
            <w:pPr>
              <w:jc w:val="center"/>
              <w:rPr>
                <w:szCs w:val="28"/>
              </w:rPr>
            </w:pPr>
            <w:r w:rsidRPr="005D5368">
              <w:rPr>
                <w:szCs w:val="28"/>
              </w:rPr>
              <w:t xml:space="preserve">568/1,000 </w:t>
            </w:r>
          </w:p>
          <w:p w14:paraId="15AD2EF2" w14:textId="77777777" w:rsidR="004C250E" w:rsidRPr="005D5368" w:rsidRDefault="00000000">
            <w:pPr>
              <w:jc w:val="center"/>
              <w:rPr>
                <w:szCs w:val="28"/>
              </w:rPr>
            </w:pPr>
            <w:r w:rsidRPr="005D5368">
              <w:rPr>
                <w:szCs w:val="28"/>
              </w:rPr>
              <w:t>(56.8%; −4.5 pp)</w:t>
            </w:r>
          </w:p>
        </w:tc>
        <w:tc>
          <w:tcPr>
            <w:tcW w:w="1999" w:type="dxa"/>
            <w:tcMar>
              <w:top w:w="55" w:type="dxa"/>
              <w:left w:w="65" w:type="dxa"/>
              <w:bottom w:w="55" w:type="dxa"/>
              <w:right w:w="65" w:type="dxa"/>
            </w:tcMar>
            <w:vAlign w:val="center"/>
          </w:tcPr>
          <w:p w14:paraId="2FEEC525" w14:textId="77777777" w:rsidR="005D5368" w:rsidRDefault="00000000">
            <w:pPr>
              <w:jc w:val="center"/>
              <w:rPr>
                <w:szCs w:val="28"/>
              </w:rPr>
            </w:pPr>
            <w:r w:rsidRPr="005D5368">
              <w:rPr>
                <w:szCs w:val="28"/>
              </w:rPr>
              <w:t xml:space="preserve">570/1,000 </w:t>
            </w:r>
          </w:p>
          <w:p w14:paraId="760DF501" w14:textId="77777777" w:rsidR="004C250E" w:rsidRPr="005D5368" w:rsidRDefault="00000000">
            <w:pPr>
              <w:jc w:val="center"/>
              <w:rPr>
                <w:szCs w:val="28"/>
              </w:rPr>
            </w:pPr>
            <w:r w:rsidRPr="005D5368">
              <w:rPr>
                <w:szCs w:val="28"/>
              </w:rPr>
              <w:t>(57.0%; −4.3 pp)</w:t>
            </w:r>
          </w:p>
        </w:tc>
      </w:tr>
      <w:tr w:rsidR="004C250E" w:rsidRPr="005D5368" w14:paraId="59B96EAC" w14:textId="77777777" w:rsidTr="005D5368">
        <w:tc>
          <w:tcPr>
            <w:tcW w:w="1999" w:type="dxa"/>
            <w:tcBorders>
              <w:bottom w:val="single" w:sz="4" w:space="0" w:color="auto"/>
            </w:tcBorders>
            <w:tcMar>
              <w:top w:w="55" w:type="dxa"/>
              <w:left w:w="65" w:type="dxa"/>
              <w:bottom w:w="55" w:type="dxa"/>
              <w:right w:w="65" w:type="dxa"/>
            </w:tcMar>
            <w:vAlign w:val="center"/>
          </w:tcPr>
          <w:p w14:paraId="2AA90B57" w14:textId="77777777" w:rsidR="004C250E" w:rsidRPr="005D5368" w:rsidRDefault="00000000">
            <w:pPr>
              <w:rPr>
                <w:szCs w:val="28"/>
              </w:rPr>
            </w:pPr>
            <w:r w:rsidRPr="005D5368">
              <w:rPr>
                <w:szCs w:val="28"/>
              </w:rPr>
              <w:lastRenderedPageBreak/>
              <w:t>ViT-B/16 AugReg</w:t>
            </w:r>
          </w:p>
        </w:tc>
        <w:tc>
          <w:tcPr>
            <w:tcW w:w="1999" w:type="dxa"/>
            <w:tcBorders>
              <w:bottom w:val="single" w:sz="4" w:space="0" w:color="auto"/>
            </w:tcBorders>
            <w:tcMar>
              <w:top w:w="55" w:type="dxa"/>
              <w:left w:w="65" w:type="dxa"/>
              <w:bottom w:w="55" w:type="dxa"/>
              <w:right w:w="65" w:type="dxa"/>
            </w:tcMar>
            <w:vAlign w:val="center"/>
          </w:tcPr>
          <w:p w14:paraId="3224D76E" w14:textId="77777777" w:rsidR="004C250E" w:rsidRPr="005D5368" w:rsidRDefault="00000000">
            <w:pPr>
              <w:jc w:val="center"/>
              <w:rPr>
                <w:szCs w:val="28"/>
              </w:rPr>
            </w:pPr>
            <w:r w:rsidRPr="005D5368">
              <w:rPr>
                <w:szCs w:val="28"/>
              </w:rPr>
              <w:t>49</w:t>
            </w:r>
          </w:p>
        </w:tc>
        <w:tc>
          <w:tcPr>
            <w:tcW w:w="1999" w:type="dxa"/>
            <w:tcBorders>
              <w:bottom w:val="single" w:sz="4" w:space="0" w:color="auto"/>
            </w:tcBorders>
            <w:tcMar>
              <w:top w:w="55" w:type="dxa"/>
              <w:left w:w="65" w:type="dxa"/>
              <w:bottom w:w="55" w:type="dxa"/>
              <w:right w:w="65" w:type="dxa"/>
            </w:tcMar>
            <w:vAlign w:val="center"/>
          </w:tcPr>
          <w:p w14:paraId="4A697419" w14:textId="77777777" w:rsidR="004C250E" w:rsidRPr="005D5368" w:rsidRDefault="00000000">
            <w:pPr>
              <w:jc w:val="center"/>
              <w:rPr>
                <w:szCs w:val="28"/>
              </w:rPr>
            </w:pPr>
            <w:r w:rsidRPr="005D5368">
              <w:rPr>
                <w:szCs w:val="28"/>
              </w:rPr>
              <w:t>712/1,000 (71.2%)</w:t>
            </w:r>
          </w:p>
        </w:tc>
        <w:tc>
          <w:tcPr>
            <w:tcW w:w="1999" w:type="dxa"/>
            <w:tcBorders>
              <w:bottom w:val="single" w:sz="4" w:space="0" w:color="auto"/>
            </w:tcBorders>
            <w:tcMar>
              <w:top w:w="55" w:type="dxa"/>
              <w:left w:w="65" w:type="dxa"/>
              <w:bottom w:w="55" w:type="dxa"/>
              <w:right w:w="65" w:type="dxa"/>
            </w:tcMar>
            <w:vAlign w:val="center"/>
          </w:tcPr>
          <w:p w14:paraId="4A97B474" w14:textId="77777777" w:rsidR="005D5368" w:rsidRDefault="00000000">
            <w:pPr>
              <w:jc w:val="center"/>
              <w:rPr>
                <w:szCs w:val="28"/>
              </w:rPr>
            </w:pPr>
            <w:r w:rsidRPr="005D5368">
              <w:rPr>
                <w:szCs w:val="28"/>
              </w:rPr>
              <w:t xml:space="preserve">719/1,000 </w:t>
            </w:r>
          </w:p>
          <w:p w14:paraId="38F2AA05" w14:textId="77777777" w:rsidR="004C250E" w:rsidRPr="005D5368" w:rsidRDefault="00000000">
            <w:pPr>
              <w:jc w:val="center"/>
              <w:rPr>
                <w:szCs w:val="28"/>
              </w:rPr>
            </w:pPr>
            <w:r w:rsidRPr="005D5368">
              <w:rPr>
                <w:szCs w:val="28"/>
              </w:rPr>
              <w:t>(71.9%; +0.7 pp)</w:t>
            </w:r>
          </w:p>
        </w:tc>
        <w:tc>
          <w:tcPr>
            <w:tcW w:w="1999" w:type="dxa"/>
            <w:tcBorders>
              <w:bottom w:val="single" w:sz="4" w:space="0" w:color="auto"/>
            </w:tcBorders>
            <w:tcMar>
              <w:top w:w="55" w:type="dxa"/>
              <w:left w:w="65" w:type="dxa"/>
              <w:bottom w:w="55" w:type="dxa"/>
              <w:right w:w="65" w:type="dxa"/>
            </w:tcMar>
            <w:vAlign w:val="center"/>
          </w:tcPr>
          <w:p w14:paraId="50716086" w14:textId="77777777" w:rsidR="005D5368" w:rsidRDefault="00000000">
            <w:pPr>
              <w:jc w:val="center"/>
              <w:rPr>
                <w:szCs w:val="28"/>
              </w:rPr>
            </w:pPr>
            <w:r w:rsidRPr="005D5368">
              <w:rPr>
                <w:szCs w:val="28"/>
              </w:rPr>
              <w:t xml:space="preserve">716/1,000 </w:t>
            </w:r>
          </w:p>
          <w:p w14:paraId="2890E54C" w14:textId="77777777" w:rsidR="004C250E" w:rsidRPr="005D5368" w:rsidRDefault="00000000">
            <w:pPr>
              <w:jc w:val="center"/>
              <w:rPr>
                <w:szCs w:val="28"/>
              </w:rPr>
            </w:pPr>
            <w:r w:rsidRPr="005D5368">
              <w:rPr>
                <w:szCs w:val="28"/>
              </w:rPr>
              <w:t>(71.6%; +0.4 pp)</w:t>
            </w:r>
          </w:p>
        </w:tc>
      </w:tr>
    </w:tbl>
    <w:p w14:paraId="39D7A310" w14:textId="77777777" w:rsidR="004C250E" w:rsidRDefault="004C250E">
      <w:pPr>
        <w:spacing w:after="20"/>
      </w:pPr>
    </w:p>
    <w:p w14:paraId="209769D7" w14:textId="77777777" w:rsidR="004C250E" w:rsidRDefault="00000000">
      <w:pPr>
        <w:spacing w:after="100" w:line="259" w:lineRule="auto"/>
      </w:pPr>
      <w:r>
        <w:t>Throughput was measured separately with the actual full-model call at batch size 64; it is not inferred from operator-space residuals. Supplementary Figure S13 shows the measured accuracy–throughput boundary: q=16 contributes a narrow ViT-B/16 AugReg point at some batch sizes, while q=32 and selective q=16 do not establish a general frontier improvement. For example, at B=98 and batch size 64, ViT-B q=16 is 73.7% Top-1 at 263 images/s versus 73.6% at 297 images/s for Hybrid Group Mean. The tested result is a small accuracy–throughput tradeoff on one architecture, not a general efficiency gain.</w:t>
      </w:r>
    </w:p>
    <w:p w14:paraId="6BC42C74" w14:textId="77777777" w:rsidR="004C250E" w:rsidRDefault="00000000">
      <w:pPr>
        <w:spacing w:after="100" w:line="259" w:lineRule="auto"/>
      </w:pPr>
      <w:r>
        <w:t>Calibration-frozen selective gating is not consistently beneficial: at DeiT-Small B=98 it reaches 75.8% versus 76.4% for Hybrid Group Mean, and at DINOv2 B=42 it reaches 58.5% versus 61.3%. The exploratory operator-space gate has area under the receiver operating characteristic curve (AUROC) 0.784, which does not establish classification gains. A separate sequence-collapse experiment (Supplementary Section S8) found that shorter sequences reduced measured latency, while random pruning and an unweighted centroid matched or outperformed the tested multiplicity-aware carrier in accuracy. Those latency results come from a different protocol and do not measure Static Feature-PCA; other S8 variants likewise show no general classifier or throughput gains.</w:t>
      </w:r>
    </w:p>
    <w:p w14:paraId="B54776DE" w14:textId="77777777">
      <w:pPr>
        <w:pStyle w:val="Heading2"/>
        <w:keepNext/>
      </w:pPr>
      <w:r>
        <w:rPr>
          <w:rFonts w:ascii="Times New Roman" w:hAnsi="Times New Roman"/>
          <w:b/>
          <w:color w:val="000000"/>
          <w:sz w:val="23"/>
        </w:rPr>
        <w:t>7.3 The Oracle-to-Deployment Gap</w:t>
      </w:r>
    </w:p>
    <w:p w14:paraId="C33C9A71" w14:textId="77777777">
      <w:pPr>
        <w:spacing w:after="100" w:line="259" w:lineRule="auto"/>
      </w:pPr>
      <w:r>
        <w:rPr>
          <w:rFonts w:ascii="Times New Roman" w:hAnsi="Times New Roman"/>
          <w:i w:val="0"/>
          <w:color w:val="202A32"/>
          <w:sz w:val="20"/>
        </w:rPr>
        <w:t>The results separate three levels of evidence. First, operator-aware optimization can reduce a linearized downstream residual: Full-J is the per-image oracle, and the calibration-average q=16 correction retains part of the restricted-oracle gain in the operator-space cohort. Second, nonlinear classification is not determined by that residual: the held-out carrier results are mixed, with clear losses in some architecture–budget settings. Third, the measured accuracy–throughput frontier improves only narrowly, with no general advantage established for the tested lower-cost carrier approximations. A local first-order approximation, the difference between a fixed calibration correction and an image-conditioned optimum, and nonlinear downstream interactions are plausible explanations for this gap; the experiments do not identify a definitive cause of Static Feature-PCA’s classification limitations. PCF therefore establishes a mechanistic account and oracle-level opportunities, while the tested practical carrier approximations do not establish a general deployment advantage.</w:t>
      </w:r>
    </w:p>
    <w:p w14:paraId="39807257" w14:textId="77777777" w:rsidR="004C250E" w:rsidRDefault="00000000">
      <w:pPr>
        <w:pStyle w:val="Heading1"/>
      </w:pPr>
      <w:r>
        <w:rPr>
          <w:rFonts w:ascii="Times New Roman" w:hAnsi="Times New Roman"/>
        </w:rPr>
        <w:t>8. Limitations</w:t>
      </w:r>
    </w:p>
    <w:p w14:paraId="0FAF41AF" w14:textId="77777777" w:rsidR="004C250E" w:rsidRDefault="00000000">
      <w:pPr>
        <w:spacing w:after="100" w:line="259" w:lineRule="auto"/>
      </w:pPr>
      <w:r>
        <w:t>Mechanistic evidence comes from the finite, protocol-specific cohorts in Table I and four pretrained ViT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Full-J requires a per-image Jacobian and is an offline oracle. The classifier-carrier and operator-space studies use separate cohorts and endpoints; their results cannot be merged into a single accuracy or residual estimate. Measured full-model runtime is specific to the tested hardware, batch sizes, and implementations. The data show that lowering linearized error alone does not guarantee better nonlinear classification or a better measured accuracy–throughput frontier, and do not identify the cause of the practical carrier’s limitations.</w:t>
      </w:r>
    </w:p>
    <w:p w14:paraId="51779464" w14:textId="77777777" w:rsidR="004C250E" w:rsidRDefault="00000000">
      <w:pPr>
        <w:pStyle w:val="Heading1"/>
      </w:pPr>
      <w:r>
        <w:rPr>
          <w:rFonts w:ascii="Times New Roman" w:hAnsi="Times New Roman"/>
        </w:rPr>
        <w:t>9. Conclusion</w:t>
      </w:r>
    </w:p>
    <w:p w14:paraId="7384948B" w14:textId="77777777" w:rsidR="004C250E" w:rsidRDefault="00000000">
      <w:pPr>
        <w:spacing w:after="100" w:line="259" w:lineRule="auto"/>
      </w:pPr>
      <w:r>
        <w:t>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The per-image Full-J Jacobian is an offline oracle. Calibration-frozen carrier corrections yield mixed nonlinear classification results and only a narrow measured accuracy–throughput frontier point. Thus, PCF provides a mechanistic account of patch-content fungibility and an operator-aware compression opportunity, but the tested practical approximations do not establish a general deployment advantage.</w:t>
      </w:r>
    </w:p>
    <w:p w14:paraId="40439EFE" w14:textId="77777777" w:rsidR="004C250E" w:rsidRDefault="00000000">
      <w:pPr>
        <w:pStyle w:val="Heading1"/>
      </w:pPr>
      <w:r>
        <w:rPr>
          <w:rFonts w:ascii="Times New Roman" w:hAnsi="Times New Roman"/>
        </w:rPr>
        <w:t>Reproducibility and Evidence</w:t>
      </w:r>
    </w:p>
    <w:p w14:paraId="7D3751E8"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4E4E371A" w14:textId="77777777" w:rsidR="004C250E" w:rsidRDefault="00000000">
      <w:pPr>
        <w:pStyle w:val="Heading1"/>
      </w:pPr>
      <w:r>
        <w:t>References</w:t>
      </w:r>
    </w:p>
    <w:p w14:paraId="29A4CA2C"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31ECB8C7"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61796602" w14:textId="77777777" w:rsidR="004C250E" w:rsidRDefault="00000000">
      <w:pPr>
        <w:spacing w:after="80" w:line="240" w:lineRule="auto"/>
        <w:ind w:left="403" w:hanging="403"/>
      </w:pPr>
      <w:r>
        <w:rPr>
          <w:color w:val="26343D"/>
          <w:sz w:val="17"/>
        </w:rPr>
        <w:lastRenderedPageBreak/>
        <w:t>[3] H. Touvron, M. Cord, M. Douze, F. Massa, A. Sablayrolles, H. Jégou, “Training data-efficient image transformers &amp; distillation through attention,” in Proc. 38th Int. Conf. Mach. Learn., vol. 139, pp. 10347–10357, 2021. Available: https://proceedings.mlr.press/v139/touvron21a.html.</w:t>
      </w:r>
    </w:p>
    <w:p w14:paraId="094B5204"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29961D86"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7EF76EC0"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7560AA1E"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186B302B"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323B16B"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6B5A40DE"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0776D2D"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00A419D0"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327EF876"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4C0E992C"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6717176B"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BEA51B6"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674DBE42"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2C88CFA8"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1793262B"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032BF3B3"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830D6B8"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14AA2FA2"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5FF21BB6"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61E085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293372D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5C9452C"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056F8321"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220629CF"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617EB31A" w14:textId="77777777" w:rsidR="004C250E" w:rsidRDefault="00000000">
      <w:pPr>
        <w:spacing w:after="80" w:line="240" w:lineRule="auto"/>
        <w:ind w:left="403" w:hanging="403"/>
      </w:pPr>
      <w:r>
        <w:rPr>
          <w:color w:val="26343D"/>
          <w:sz w:val="17"/>
        </w:rPr>
        <w:lastRenderedPageBreak/>
        <w:t>[29] Y. Tang, K. Han, Y. Wang, C. Xu, J. Guo, C. Xu, et al., “Patch Slimming for Efficient Vision Transformers,” in Proc. IEEE/CVF Conf. Comput. Vis. Pattern Recognit., pp. 12165–12174, 2022. DOI: 10.1109/CVPR52688.2022.01185.</w:t>
      </w:r>
    </w:p>
    <w:p w14:paraId="54A9E288"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4645F70"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9AE11F8"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55F43F78"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1633B969"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95CAA50"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52FEAF9B"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FA3A068"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134D7A1E"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1E529D8D"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6272FD17"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70645782"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547E159B" w14:textId="77777777" w:rsidR="004C250E" w:rsidRDefault="00000000">
      <w:pPr>
        <w:spacing w:after="80" w:line="240" w:lineRule="auto"/>
        <w:ind w:left="403" w:hanging="403"/>
      </w:pPr>
      <w:r>
        <w:rPr>
          <w:color w:val="26343D"/>
          <w:sz w:val="17"/>
        </w:rPr>
        <w:t>[42]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040FAD0F" w14:textId="77777777" w:rsidR="004C250E" w:rsidRDefault="00000000">
      <w:pPr>
        <w:spacing w:after="80" w:line="240" w:lineRule="auto"/>
        <w:ind w:left="403" w:hanging="403"/>
      </w:pPr>
      <w:r>
        <w:rPr>
          <w:color w:val="26343D"/>
          <w:sz w:val="17"/>
        </w:rPr>
        <w:t>[43] Y. LeCun, J. S. Denker, S. A. Solla, “Optimal Brain Damage,” in Advances in Neural Information Processing Systems, vol. 2, pp. 598–605, 1989. Available: https://proceedings.neurips.cc/paper/1989/hash/6c9882bbac1c7093bd25041881277658-Abstract.html.</w:t>
      </w:r>
    </w:p>
    <w:p w14:paraId="686ED271" w14:textId="77777777" w:rsidR="004C250E" w:rsidRDefault="00000000">
      <w:pPr>
        <w:spacing w:after="80" w:line="240" w:lineRule="auto"/>
        <w:ind w:left="403" w:hanging="403"/>
      </w:pPr>
      <w:r>
        <w:rPr>
          <w:color w:val="26343D"/>
          <w:sz w:val="17"/>
        </w:rPr>
        <w:t>[44] B. Hassibi, D. G. Stork, “Optimal Brain Surgeon and general network pruning,” in Proceedings of the IEEE Proc. IEEE Int. Conf. Neural Netw., vol. 1, pp. 293–299, 1993. DOI: 10.1109/ICNN.1993.298572.</w:t>
      </w:r>
    </w:p>
    <w:p w14:paraId="7E8C2984" w14:textId="77777777" w:rsidR="004C250E" w:rsidRDefault="00000000">
      <w:pPr>
        <w:spacing w:after="80" w:line="240" w:lineRule="auto"/>
        <w:ind w:left="403" w:hanging="403"/>
      </w:pPr>
      <w:r>
        <w:rPr>
          <w:color w:val="26343D"/>
          <w:sz w:val="17"/>
        </w:rPr>
        <w:t>[45] C. Thrash, K. Chen, S. Kolouri, “Output-aware Residual Stream Pruning for Large Language Models,” in arXiv preprint arXiv:2609.35579, 2026. DOI: 10.48550/arXiv.2609.35579.</w:t>
      </w:r>
    </w:p>
    <w:p w14:paraId="62219F71" w14:textId="77777777" w:rsidR="004C250E" w:rsidRDefault="00000000">
      <w:pPr>
        <w:spacing w:after="80" w:line="240" w:lineRule="auto"/>
        <w:ind w:left="403" w:hanging="403"/>
      </w:pPr>
      <w:r>
        <w:rPr>
          <w:color w:val="26343D"/>
          <w:sz w:val="17"/>
        </w:rPr>
        <w:t>[46] S. Jain, B. C. Wallace, “Attention Is Not Explanation,” in Proceedings of the 2019 Conference of the North American Chapter of the Association for Computational Linguistics: Human Language Technologies, pp. 3543–3556, 2019. DOI: 10.18653/v1/N19-1357.</w:t>
      </w:r>
    </w:p>
    <w:p w14:paraId="3EEEA0DF" w14:textId="77777777" w:rsidR="004C250E" w:rsidRDefault="00000000">
      <w:pPr>
        <w:spacing w:after="80" w:line="240" w:lineRule="auto"/>
        <w:ind w:left="403" w:hanging="403"/>
      </w:pPr>
      <w:r>
        <w:rPr>
          <w:color w:val="26343D"/>
          <w:sz w:val="17"/>
        </w:rPr>
        <w:t>[47] S. Serrano, N. A. Smith, “Is Attention Interpretable?,” in Proceedings of the 57th Annual Meeting of the Association for Computational Linguistics, pp. 2931–2951, 2019. DOI: 10.18653/v1/P19-1282.</w:t>
      </w:r>
    </w:p>
    <w:p w14:paraId="639E5749" w14:textId="77777777" w:rsidR="004C250E" w:rsidRDefault="00000000">
      <w:pPr>
        <w:spacing w:after="80" w:line="240" w:lineRule="auto"/>
        <w:ind w:left="403" w:hanging="403"/>
      </w:pPr>
      <w:r>
        <w:rPr>
          <w:color w:val="26343D"/>
          <w:sz w:val="17"/>
        </w:rPr>
        <w:t>[48] S. Wiegreffe, Y. Pinter, “Attention Is Not Not Explanation,” in Proceedings of the 2019 Conference on Empirical Methods in Natural Language Processing and the 9th International Joint Conference on Natural Language Processing, pp. 11–20, 2019. DOI: 10.18653/v1/D19-1002.</w:t>
      </w:r>
    </w:p>
    <w:p w14:paraId="4C878846" w14:textId="77777777" w:rsidR="004C250E" w:rsidRDefault="00000000">
      <w:pPr>
        <w:spacing w:after="80" w:line="240" w:lineRule="auto"/>
        <w:ind w:left="403" w:hanging="403"/>
      </w:pPr>
      <w:r>
        <w:rPr>
          <w:color w:val="26343D"/>
          <w:sz w:val="17"/>
        </w:rPr>
        <w:t>[49] S. Abnar, W. Zuidema, “Quantifying Attention Flow in Transformers,” in Proceedings of the 58th Annual Meeting of the Association for Computational Linguistics, pp. 4190–4197, 2020. DOI: 10.18653/v1/2020.acl-main.385.</w:t>
      </w:r>
    </w:p>
    <w:p w14:paraId="0683CFD5" w14:textId="77777777" w:rsidR="004C250E" w:rsidRDefault="00000000">
      <w:pPr>
        <w:spacing w:after="80" w:line="240" w:lineRule="auto"/>
        <w:ind w:left="403" w:hanging="403"/>
      </w:pPr>
      <w:r>
        <w:rPr>
          <w:color w:val="26343D"/>
          <w:sz w:val="17"/>
        </w:rPr>
        <w:t>[50] M. Sundararajan, A. Taly, Q. Yan, “Axiomatic Attribution for Deep Networks,” in Proc. 34th Int. Conf. Mach. Learn., vol. 70, pp. 3319–3328, 2017. Available: https://proceedings.mlr.press/v70/sundararajan17a.html.</w:t>
      </w:r>
    </w:p>
    <w:p w14:paraId="09C8CF29" w14:textId="77777777" w:rsidR="004C250E" w:rsidRDefault="00000000">
      <w:pPr>
        <w:spacing w:after="80" w:line="240" w:lineRule="auto"/>
        <w:ind w:left="403" w:hanging="403"/>
      </w:pPr>
      <w:r>
        <w:rPr>
          <w:color w:val="26343D"/>
          <w:sz w:val="17"/>
        </w:rPr>
        <w:t>[51] J. Adebayo, J. Gilmer, M. Muelly, I. Goodfellow, M. Hardt, B. Kim, “Sanity Checks for Saliency Maps,” in Advances in Neural Information Processing Systems, vol. 31, pp. 9505–9515, 2018. Available: https://proceedings.neurips.cc/paper/2018/hash/294a8ed24b1ad22ec2e7efea049b8737-Abstract.html.</w:t>
      </w:r>
    </w:p>
    <w:p w14:paraId="77C014E2" w14:textId="77777777" w:rsidR="004C250E" w:rsidRDefault="00000000">
      <w:pPr>
        <w:spacing w:after="80" w:line="240" w:lineRule="auto"/>
        <w:ind w:left="403" w:hanging="403"/>
      </w:pPr>
      <w:r>
        <w:rPr>
          <w:color w:val="26343D"/>
          <w:sz w:val="17"/>
        </w:rPr>
        <w:t>[52] H. Chefer, S. Gur, L. Wolf, “Transformer Interpretability Beyond Attention Visualization,” in Proc. IEEE/CVF Conf. Comput. Vis. Pattern Recognit., pp. 782–791, 2021. DOI: 10.1109/CVPR46437.2021.00084.</w:t>
      </w:r>
    </w:p>
    <w:p w14:paraId="1EEE1CC3" w14:textId="77777777" w:rsidR="004C250E" w:rsidRDefault="00000000">
      <w:pPr>
        <w:spacing w:after="80" w:line="240" w:lineRule="auto"/>
        <w:ind w:left="403" w:hanging="403"/>
      </w:pPr>
      <w:r>
        <w:rPr>
          <w:color w:val="26343D"/>
          <w:sz w:val="17"/>
        </w:rPr>
        <w:t>[53]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B6A"/>
    <w:rsid w:val="004C250E"/>
    <w:rsid w:val="004E1E68"/>
    <w:rsid w:val="005B4464"/>
    <w:rsid w:val="005D5368"/>
    <w:rsid w:val="007336CA"/>
    <w:rsid w:val="007E599C"/>
    <w:rsid w:val="00A3332A"/>
    <w:rsid w:val="00A439D2"/>
    <w:rsid w:val="00AA1D8D"/>
    <w:rsid w:val="00B47730"/>
    <w:rsid w:val="00BA0128"/>
    <w:rsid w:val="00CB0664"/>
    <w:rsid w:val="00D412D2"/>
    <w:rsid w:val="00ED7B1F"/>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07957"/>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16</Pages>
  <Words>9179</Words>
  <Characters>52325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8</cp:revision>
  <dcterms:created xsi:type="dcterms:W3CDTF">2013-12-23T23:15:00Z</dcterms:created>
  <dcterms:modified xsi:type="dcterms:W3CDTF">2026-10-10T08:44:00Z</dcterms:modified>
  <cp:category/>
</cp:coreProperties>
</file>