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BB2E3" w14:textId="77777777" w:rsidR="00000000" w:rsidRPr="00A30B98" w:rsidRDefault="00000000">
      <w:pPr>
        <w:pStyle w:val="Title"/>
        <w:spacing w:after="160"/>
        <w:jc w:val="both"/>
        <w:rPr>
          <w:sz w:val="52"/>
          <w:szCs w:val="144"/>
        </w:rPr>
      </w:pPr>
      <w:r w:rsidRPr="00A30B98">
        <w:rPr>
          <w:rFonts w:ascii="Times New Roman" w:hAnsi="Times New Roman"/>
          <w:b/>
          <w:sz w:val="32"/>
          <w:szCs w:val="144"/>
        </w:rPr>
        <w:t>Patch-Content Fungibility: Geometry, Functional Transmission, and Operator-Aware Token Compression</w:t>
      </w:r>
    </w:p>
    <w:p w14:paraId="249AA24E" w14:textId="76A501C1" w:rsidR="00000000" w:rsidRPr="00400930" w:rsidRDefault="003B1B74">
      <w:pPr>
        <w:spacing w:after="100" w:line="259" w:lineRule="auto"/>
        <w:jc w:val="both"/>
        <w:rPr>
          <w:i/>
          <w:iCs/>
        </w:rPr>
      </w:pPr>
      <w:r w:rsidRPr="00400930">
        <w:rPr>
          <w:i/>
          <w:iCs/>
        </w:rPr>
        <w:t>Nghiem Nhat Minh, Dang Tri Dung, Do Tri Cuong</w:t>
      </w:r>
    </w:p>
    <w:p w14:paraId="5B6EB02D" w14:textId="77777777" w:rsidR="00000000" w:rsidRDefault="00000000">
      <w:pPr>
        <w:pStyle w:val="Heading1"/>
        <w:jc w:val="both"/>
      </w:pPr>
      <w:r>
        <w:rPr>
          <w:rFonts w:ascii="Times New Roman" w:hAnsi="Times New Roman"/>
          <w:sz w:val="20"/>
        </w:rPr>
        <w:t>Abstract</w:t>
      </w:r>
    </w:p>
    <w:p w14:paraId="40698B7C" w14:textId="77777777" w:rsidR="00000000" w:rsidRDefault="00000000">
      <w:pPr>
        <w:spacing w:after="100" w:line="259" w:lineRule="auto"/>
        <w:jc w:val="both"/>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functional sensitivity, coherent accumulation and sign-dependent cancellation through the attention Value path, and declining normalized effective rank across all four tested models; near-null expansion at the primary threshold is evident in three models but small in DINOv2.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2C18E56C" w14:textId="77777777" w:rsidR="00000000" w:rsidRDefault="00000000">
      <w:pPr>
        <w:pStyle w:val="Heading1"/>
        <w:jc w:val="both"/>
      </w:pPr>
      <w:r>
        <w:rPr>
          <w:rFonts w:ascii="Times New Roman" w:hAnsi="Times New Roman"/>
          <w:sz w:val="20"/>
        </w:rPr>
        <w:t>1. Introduction</w:t>
      </w:r>
    </w:p>
    <w:p w14:paraId="52261DC0" w14:textId="77777777" w:rsidR="00000000" w:rsidRDefault="00000000">
      <w:pPr>
        <w:spacing w:after="100" w:line="259" w:lineRule="auto"/>
        <w:jc w:val="both"/>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1B502D76" w14:textId="77777777" w:rsidR="00000000" w:rsidRDefault="00000000">
      <w:pPr>
        <w:spacing w:after="100" w:line="259" w:lineRule="auto"/>
        <w:jc w:val="both"/>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6DECD21E" w14:textId="77777777" w:rsidR="00000000" w:rsidRDefault="00000000">
      <w:pPr>
        <w:keepNext/>
        <w:keepLines/>
        <w:spacing w:after="20"/>
        <w:jc w:val="center"/>
      </w:pPr>
      <w:r>
        <w:rPr>
          <w:noProof/>
        </w:rPr>
        <w:lastRenderedPageBreak/>
        <w:drawing>
          <wp:inline distT="0" distB="0" distL="0" distR="0" wp14:anchorId="7728188D" wp14:editId="5842C80A">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3145C954" w14:textId="77777777" w:rsidR="00000000" w:rsidRDefault="00000000">
      <w:pPr>
        <w:keepLines/>
        <w:spacing w:after="80"/>
        <w:jc w:val="both"/>
      </w:pPr>
      <w:r>
        <w:rPr>
          <w:i/>
          <w:color w:val="4C5963"/>
        </w:rPr>
        <w:t>Figure 1. Fixed-slot late-layer patch-content substitution (a), geometric and diversity constraints (b), and anisotropic sensitivity with Value-path cancellation (c).</w:t>
      </w:r>
    </w:p>
    <w:p w14:paraId="5D495BE1" w14:textId="77777777" w:rsidR="00000000" w:rsidRDefault="00000000">
      <w:pPr>
        <w:spacing w:after="100" w:line="259" w:lineRule="auto"/>
        <w:jc w:val="both"/>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6256A1B3" w14:textId="77777777" w:rsidR="00000000" w:rsidRDefault="00000000">
      <w:pPr>
        <w:pStyle w:val="Heading1"/>
        <w:jc w:val="both"/>
      </w:pPr>
      <w:r>
        <w:rPr>
          <w:rFonts w:ascii="Times New Roman" w:hAnsi="Times New Roman"/>
          <w:sz w:val="20"/>
        </w:rPr>
        <w:t>2. Related Work</w:t>
      </w:r>
    </w:p>
    <w:p w14:paraId="30863D80" w14:textId="77777777" w:rsidR="00000000" w:rsidRDefault="00000000">
      <w:pPr>
        <w:spacing w:after="100" w:line="259" w:lineRule="auto"/>
        <w:jc w:val="both"/>
      </w:pPr>
      <w:r>
        <w:t>Token-reduction methods change the sequence or the computation applied to it. DynamicViT and Expediting Vision Transformers via Token Reorganizations (EViT) score or reorganize tokens [11], [12]; Token Merging (ToMe) combines similar tokens [13]; A-ViT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Interpretability-Aware Redundancy Reduction (IA-RED</w:t>
      </w:r>
      <w:r>
        <w:rPr>
          <w:vertAlign w:val="superscript"/>
        </w:rPr>
        <w:t>2</w:t>
      </w:r>
      <w:r>
        <w:t>) select tokens using sampling or redundancy criteria [18], [19]. Other approaches include PatchDropout, X-Pruner, and global structural pruning [20]–[22]; joint pruning and squeezing [23]; and early-exit pruning for dense prediction [24]. Evo-ViT, Dynamic Grained Encoder, and SPViT adapt token computation or selection [25]–[27], while Patch Slimming, Dynamic Transformers, end-to-end sparsity, activation sparsity, and structure-aware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8F21970" w14:textId="77777777" w:rsidR="00000000" w:rsidRDefault="00000000">
      <w:pPr>
        <w:spacing w:after="100" w:line="259" w:lineRule="auto"/>
        <w:jc w:val="both"/>
      </w:pPr>
      <w:r>
        <w:t>Compression by weight or structure pruning has a longer history. Optimal Brain Damage and Optimal Brain Surgeon use sensitivity-based approximations to remove parameters [33], [34]. Later work studies connection pruning, resource-aware pruning, sparse trainable subnetworks, and movement-based pruning [35]–[38]. SparseGPT and Wanda study one-shot pruning of large language models (LLMs), while SliceGPT removes dimensions. Singular value decomposition (SVD) is also used for large-language-model compression in the published SVD-LLM method, which applies a truncation-aware variant [39]–[42]. PCF complements these methods by using the downstream pre-classifier readout Jacobian to evaluate and optimize fixed-slot patch carriers while preserving the token sequence structure.</w:t>
      </w:r>
    </w:p>
    <w:p w14:paraId="6AC6B188" w14:textId="77777777" w:rsidR="00000000" w:rsidRDefault="00000000">
      <w:pPr>
        <w:spacing w:after="100" w:line="259" w:lineRule="auto"/>
        <w:jc w:val="both"/>
      </w:pPr>
      <w:r>
        <w:t xml:space="preserve">Interpretability research cautions that attention weights alone need not explain a model’s decision. Controlled studies examine whether attention is explanation and how explanation changes under interventions [43]–[45]. Attention flow, Integrated Gradients, saliency-map sanity checks, and transformer-specific relevance propagation provide complementary </w:t>
      </w:r>
      <w:r>
        <w:lastRenderedPageBreak/>
        <w:t>methods for tracing or attributing model behavior [46]–[49]. Causal abstraction offers a framework for connecting interventions to model-level causal structure [50]. Our evidence uses direct activation interventions and held-out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6395920F" w14:textId="77777777" w:rsidR="00000000" w:rsidRDefault="00000000">
      <w:pPr>
        <w:pStyle w:val="Heading1"/>
        <w:jc w:val="both"/>
      </w:pPr>
      <w:r>
        <w:rPr>
          <w:rFonts w:ascii="Times New Roman" w:hAnsi="Times New Roman"/>
          <w:sz w:val="20"/>
        </w:rPr>
        <w:t>3. Experimental Setup and Interventions</w:t>
      </w:r>
    </w:p>
    <w:p w14:paraId="7C1139C3" w14:textId="77777777" w:rsidR="00000000" w:rsidRDefault="00000000">
      <w:pPr>
        <w:spacing w:after="100" w:line="259" w:lineRule="auto"/>
        <w:jc w:val="both"/>
      </w:pPr>
      <w:r>
        <w:t>Image-based studies use frozen pretrained models on ImageNet-1k validation data. Calibration and evaluation sets are disjoint, and calibration-derived moments, prototypes, and replacement quantities are estimated using calibration data only. N denotes the sampling unit shown in Table I; image, operator-space, and perturbation cohorts remain distinct and are never pooled.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w:t>
      </w:r>
    </w:p>
    <w:p w14:paraId="3BE1F8C2" w14:textId="77777777" w:rsidR="00000000" w:rsidRDefault="00000000">
      <w:pPr>
        <w:spacing w:after="100" w:line="259" w:lineRule="auto"/>
        <w:jc w:val="both"/>
      </w:pPr>
      <w:r>
        <w:t>TABLE I</w:t>
      </w:r>
    </w:p>
    <w:p w14:paraId="6710FB52" w14:textId="77777777" w:rsidR="00000000" w:rsidRDefault="00000000">
      <w:pPr>
        <w:spacing w:after="100" w:line="259" w:lineRule="auto"/>
        <w:jc w:val="both"/>
      </w:pPr>
      <w:r>
        <w:t>PRIMARY RESULTS AND EVIDENCE SCOPE</w:t>
      </w:r>
    </w:p>
    <w:p w14:paraId="1186789F" w14:textId="77777777" w:rsidR="00000000" w:rsidRDefault="00000000">
      <w:pPr>
        <w:keepLines/>
        <w:spacing w:after="80"/>
        <w:jc w:val="both"/>
      </w:pPr>
      <w:r>
        <w:t>Summary of the primary study families, evaluation units, controls, and main findings. Cohorts and endpoints remain distinct: the multi-block unit counts held-out perturbations, while classifier-carrier and operator-space analyses use separate units.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D636A9" w14:paraId="285C117E" w14:textId="77777777" w:rsidTr="00A30B9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6ECE1A97" w14:textId="77777777" w:rsidR="001F5AFD" w:rsidRDefault="00000000">
            <w:pPr>
              <w:jc w:val="center"/>
            </w:pPr>
            <w:r>
              <w:rPr>
                <w:b/>
                <w:color w:val="17232D"/>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73DF00D9" w14:textId="77777777" w:rsidR="001F5AFD" w:rsidRDefault="00000000">
            <w:pPr>
              <w:jc w:val="center"/>
            </w:pPr>
            <w:r>
              <w:rPr>
                <w:b/>
                <w:color w:val="17232D"/>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4D30778C" w14:textId="77777777" w:rsidR="001F5AFD" w:rsidRDefault="00000000">
            <w:pPr>
              <w:jc w:val="center"/>
            </w:pPr>
            <w:r>
              <w:rPr>
                <w:b/>
                <w:color w:val="17232D"/>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5767134B" w14:textId="77777777" w:rsidR="001F5AFD" w:rsidRDefault="00000000">
            <w:pPr>
              <w:jc w:val="center"/>
            </w:pPr>
            <w:r>
              <w:rPr>
                <w:b/>
                <w:color w:val="17232D"/>
              </w:rPr>
              <w:t>Main finding</w:t>
            </w:r>
          </w:p>
        </w:tc>
      </w:tr>
      <w:tr w:rsidR="00D636A9" w14:paraId="51881F24" w14:textId="77777777" w:rsidTr="00A30B98">
        <w:tc>
          <w:tcPr>
            <w:tcW w:w="2498" w:type="dxa"/>
            <w:tcBorders>
              <w:top w:val="single" w:sz="4" w:space="0" w:color="auto"/>
            </w:tcBorders>
            <w:tcMar>
              <w:top w:w="55" w:type="dxa"/>
              <w:left w:w="65" w:type="dxa"/>
              <w:bottom w:w="55" w:type="dxa"/>
              <w:right w:w="65" w:type="dxa"/>
            </w:tcMar>
            <w:vAlign w:val="center"/>
          </w:tcPr>
          <w:p w14:paraId="6F17E22B" w14:textId="77777777" w:rsidR="001F5AFD" w:rsidRDefault="00000000">
            <w:r>
              <w:t>Fixed-slot patch replacement</w:t>
            </w:r>
          </w:p>
        </w:tc>
        <w:tc>
          <w:tcPr>
            <w:tcW w:w="2498" w:type="dxa"/>
            <w:tcBorders>
              <w:top w:val="single" w:sz="4" w:space="0" w:color="auto"/>
            </w:tcBorders>
            <w:tcMar>
              <w:top w:w="55" w:type="dxa"/>
              <w:left w:w="65" w:type="dxa"/>
              <w:bottom w:w="55" w:type="dxa"/>
              <w:right w:w="65" w:type="dxa"/>
            </w:tcMar>
            <w:vAlign w:val="center"/>
          </w:tcPr>
          <w:p w14:paraId="024C6BD5" w14:textId="77777777" w:rsidR="001F5AFD" w:rsidRDefault="00000000">
            <w:pPr>
              <w:jc w:val="center"/>
            </w:pPr>
            <w: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48D1868C" w14:textId="77777777" w:rsidR="001F5AFD" w:rsidRDefault="00000000">
            <w:pPr>
              <w:jc w:val="center"/>
            </w:pPr>
            <w: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29237D3C" w14:textId="77777777" w:rsidR="001F5AFD" w:rsidRDefault="00000000">
            <w:pPr>
              <w:jc w:val="center"/>
            </w:pPr>
            <w:r>
              <w:t>Tolerance varies with depth, surrogate geometry, diversity, and feature direction; directions derived by principal component analysis (PCA) of calibration activations outperform energy-matched random directions in tested settings.</w:t>
            </w:r>
          </w:p>
        </w:tc>
      </w:tr>
      <w:tr w:rsidR="00D636A9" w14:paraId="2BBF8083" w14:textId="77777777" w:rsidTr="00A30B98">
        <w:tc>
          <w:tcPr>
            <w:tcW w:w="2498" w:type="dxa"/>
            <w:tcMar>
              <w:top w:w="55" w:type="dxa"/>
              <w:left w:w="65" w:type="dxa"/>
              <w:bottom w:w="55" w:type="dxa"/>
              <w:right w:w="65" w:type="dxa"/>
            </w:tcMar>
            <w:vAlign w:val="center"/>
          </w:tcPr>
          <w:p w14:paraId="6E1F98B1" w14:textId="77777777" w:rsidR="001F5AFD" w:rsidRDefault="00000000">
            <w:r>
              <w:t>Functional and joint-stream geometry</w:t>
            </w:r>
          </w:p>
        </w:tc>
        <w:tc>
          <w:tcPr>
            <w:tcW w:w="2498" w:type="dxa"/>
            <w:tcMar>
              <w:top w:w="55" w:type="dxa"/>
              <w:left w:w="65" w:type="dxa"/>
              <w:bottom w:w="55" w:type="dxa"/>
              <w:right w:w="65" w:type="dxa"/>
            </w:tcMar>
            <w:vAlign w:val="center"/>
          </w:tcPr>
          <w:p w14:paraId="4D31BEBA" w14:textId="77777777" w:rsidR="001F5AFD" w:rsidRDefault="00000000">
            <w:pPr>
              <w:jc w:val="center"/>
            </w:pPr>
            <w:r>
              <w:t>Functional geometry: N=100 images per model; joint-stream geometry: N=100 images per model (separate cohort)</w:t>
            </w:r>
          </w:p>
        </w:tc>
        <w:tc>
          <w:tcPr>
            <w:tcW w:w="2498" w:type="dxa"/>
            <w:tcMar>
              <w:top w:w="55" w:type="dxa"/>
              <w:left w:w="65" w:type="dxa"/>
              <w:bottom w:w="55" w:type="dxa"/>
              <w:right w:w="65" w:type="dxa"/>
            </w:tcMar>
            <w:vAlign w:val="center"/>
          </w:tcPr>
          <w:p w14:paraId="086ECC4D" w14:textId="77777777" w:rsidR="001F5AFD" w:rsidRDefault="00000000">
            <w:pPr>
              <w:jc w:val="center"/>
            </w:pPr>
            <w:r>
              <w:t>Margin-gradient feature metric; coherent and sign-varying token patterns</w:t>
            </w:r>
          </w:p>
        </w:tc>
        <w:tc>
          <w:tcPr>
            <w:tcW w:w="2498" w:type="dxa"/>
            <w:tcMar>
              <w:top w:w="55" w:type="dxa"/>
              <w:left w:w="65" w:type="dxa"/>
              <w:bottom w:w="55" w:type="dxa"/>
              <w:right w:w="65" w:type="dxa"/>
            </w:tcMar>
            <w:vAlign w:val="center"/>
          </w:tcPr>
          <w:p w14:paraId="1DA05A93" w14:textId="77777777" w:rsidR="001F5AFD" w:rsidRDefault="00000000">
            <w:pPr>
              <w:jc w:val="center"/>
            </w:pPr>
            <w:r>
              <w:t>Normalized effective rank declines across four models; near-null expansion at the primary threshold is strong in three and small for DINOv2. Damage varies with feature direction and token coherence.</w:t>
            </w:r>
          </w:p>
        </w:tc>
      </w:tr>
      <w:tr w:rsidR="00D636A9" w14:paraId="1A68C08F" w14:textId="77777777" w:rsidTr="00A30B98">
        <w:tc>
          <w:tcPr>
            <w:tcW w:w="2498" w:type="dxa"/>
            <w:tcMar>
              <w:top w:w="55" w:type="dxa"/>
              <w:left w:w="65" w:type="dxa"/>
              <w:bottom w:w="55" w:type="dxa"/>
              <w:right w:w="65" w:type="dxa"/>
            </w:tcMar>
            <w:vAlign w:val="center"/>
          </w:tcPr>
          <w:p w14:paraId="6CB1E386" w14:textId="77777777" w:rsidR="001F5AFD" w:rsidRDefault="00000000">
            <w:r>
              <w:t>Attention Value-path audit</w:t>
            </w:r>
          </w:p>
        </w:tc>
        <w:tc>
          <w:tcPr>
            <w:tcW w:w="2498" w:type="dxa"/>
            <w:tcMar>
              <w:top w:w="55" w:type="dxa"/>
              <w:left w:w="65" w:type="dxa"/>
              <w:bottom w:w="55" w:type="dxa"/>
              <w:right w:w="65" w:type="dxa"/>
            </w:tcMar>
            <w:vAlign w:val="center"/>
          </w:tcPr>
          <w:p w14:paraId="7F7285E2" w14:textId="77777777" w:rsidR="001F5AFD" w:rsidRDefault="00000000">
            <w:pPr>
              <w:jc w:val="center"/>
            </w:pPr>
            <w:r>
              <w:t>N=100 images per model</w:t>
            </w:r>
          </w:p>
        </w:tc>
        <w:tc>
          <w:tcPr>
            <w:tcW w:w="2498" w:type="dxa"/>
            <w:tcMar>
              <w:top w:w="55" w:type="dxa"/>
              <w:left w:w="65" w:type="dxa"/>
              <w:bottom w:w="55" w:type="dxa"/>
              <w:right w:w="65" w:type="dxa"/>
            </w:tcMar>
            <w:vAlign w:val="center"/>
          </w:tcPr>
          <w:p w14:paraId="67873931" w14:textId="77777777" w:rsidR="001F5AFD" w:rsidRDefault="00000000">
            <w:pPr>
              <w:jc w:val="center"/>
            </w:pPr>
            <w:r>
              <w:t>Frozen-attention comparison across coherent and sign-varying patterns</w:t>
            </w:r>
          </w:p>
        </w:tc>
        <w:tc>
          <w:tcPr>
            <w:tcW w:w="2498" w:type="dxa"/>
            <w:tcMar>
              <w:top w:w="55" w:type="dxa"/>
              <w:left w:w="65" w:type="dxa"/>
              <w:bottom w:w="55" w:type="dxa"/>
              <w:right w:w="65" w:type="dxa"/>
            </w:tcMar>
            <w:vAlign w:val="center"/>
          </w:tcPr>
          <w:p w14:paraId="49AA0403" w14:textId="77777777" w:rsidR="001F5AFD" w:rsidRDefault="00000000">
            <w:pPr>
              <w:jc w:val="center"/>
            </w:pPr>
            <w:r>
              <w:t>Coherent Value contributions accumulate; sign-varying contributions partially cancel.</w:t>
            </w:r>
          </w:p>
        </w:tc>
      </w:tr>
      <w:tr w:rsidR="00D636A9" w14:paraId="63CA0ACE" w14:textId="77777777" w:rsidTr="00A30B98">
        <w:tc>
          <w:tcPr>
            <w:tcW w:w="2498" w:type="dxa"/>
            <w:tcMar>
              <w:top w:w="55" w:type="dxa"/>
              <w:left w:w="65" w:type="dxa"/>
              <w:bottom w:w="55" w:type="dxa"/>
              <w:right w:w="65" w:type="dxa"/>
            </w:tcMar>
            <w:vAlign w:val="center"/>
          </w:tcPr>
          <w:p w14:paraId="3FAFDCC8" w14:textId="77777777" w:rsidR="001F5AFD" w:rsidRDefault="00000000">
            <w:r>
              <w:t>Multi-block operator prediction</w:t>
            </w:r>
          </w:p>
        </w:tc>
        <w:tc>
          <w:tcPr>
            <w:tcW w:w="2498" w:type="dxa"/>
            <w:tcMar>
              <w:top w:w="55" w:type="dxa"/>
              <w:left w:w="65" w:type="dxa"/>
              <w:bottom w:w="55" w:type="dxa"/>
              <w:right w:w="65" w:type="dxa"/>
            </w:tcMar>
            <w:vAlign w:val="center"/>
          </w:tcPr>
          <w:p w14:paraId="58B5AC49" w14:textId="77777777" w:rsidR="001F5AFD" w:rsidRDefault="00000000">
            <w:pPr>
              <w:jc w:val="center"/>
            </w:pPr>
            <w:r>
              <w:t>N=100 held-out perturbations (vectors; per model)</w:t>
            </w:r>
          </w:p>
        </w:tc>
        <w:tc>
          <w:tcPr>
            <w:tcW w:w="2498" w:type="dxa"/>
            <w:tcMar>
              <w:top w:w="55" w:type="dxa"/>
              <w:left w:w="65" w:type="dxa"/>
              <w:bottom w:w="55" w:type="dxa"/>
              <w:right w:w="65" w:type="dxa"/>
            </w:tcMar>
            <w:vAlign w:val="center"/>
          </w:tcPr>
          <w:p w14:paraId="4C9F5F3C" w14:textId="77777777" w:rsidR="001F5AFD" w:rsidRDefault="00000000">
            <w:pPr>
              <w:jc w:val="center"/>
            </w:pPr>
            <w:r>
              <w:t>Single-block vs. end-to-end prediction on a fixed four-family mixture</w:t>
            </w:r>
          </w:p>
        </w:tc>
        <w:tc>
          <w:tcPr>
            <w:tcW w:w="2498" w:type="dxa"/>
            <w:tcMar>
              <w:top w:w="55" w:type="dxa"/>
              <w:left w:w="65" w:type="dxa"/>
              <w:bottom w:w="55" w:type="dxa"/>
              <w:right w:w="65" w:type="dxa"/>
            </w:tcMar>
            <w:vAlign w:val="center"/>
          </w:tcPr>
          <w:p w14:paraId="19155E29" w14:textId="77777777" w:rsidR="001F5AFD" w:rsidRDefault="00000000">
            <w:pPr>
              <w:jc w:val="center"/>
            </w:pPr>
            <w:r>
              <w:t>End-to-end Jacobian predictions are more strongly associated with measured damage than single-block predictions under the tested mixture.</w:t>
            </w:r>
          </w:p>
        </w:tc>
      </w:tr>
      <w:tr w:rsidR="00D636A9" w14:paraId="0C11592B" w14:textId="77777777" w:rsidTr="00A30B98">
        <w:tc>
          <w:tcPr>
            <w:tcW w:w="2498" w:type="dxa"/>
            <w:tcMar>
              <w:top w:w="55" w:type="dxa"/>
              <w:left w:w="65" w:type="dxa"/>
              <w:bottom w:w="55" w:type="dxa"/>
              <w:right w:w="65" w:type="dxa"/>
            </w:tcMar>
            <w:vAlign w:val="center"/>
          </w:tcPr>
          <w:p w14:paraId="590D7EB7" w14:textId="77777777" w:rsidR="001F5AFD" w:rsidRDefault="00000000">
            <w:r>
              <w:t>Strict confirmatory compression</w:t>
            </w:r>
          </w:p>
        </w:tc>
        <w:tc>
          <w:tcPr>
            <w:tcW w:w="2498" w:type="dxa"/>
            <w:tcMar>
              <w:top w:w="55" w:type="dxa"/>
              <w:left w:w="65" w:type="dxa"/>
              <w:bottom w:w="55" w:type="dxa"/>
              <w:right w:w="65" w:type="dxa"/>
            </w:tcMar>
            <w:vAlign w:val="center"/>
          </w:tcPr>
          <w:p w14:paraId="75C31250" w14:textId="77777777" w:rsidR="001F5AFD" w:rsidRDefault="00000000">
            <w:pPr>
              <w:jc w:val="center"/>
            </w:pPr>
            <w:r>
              <w:t>N=1,000 held-out images per architecture</w:t>
            </w:r>
          </w:p>
        </w:tc>
        <w:tc>
          <w:tcPr>
            <w:tcW w:w="2498" w:type="dxa"/>
            <w:tcMar>
              <w:top w:w="55" w:type="dxa"/>
              <w:left w:w="65" w:type="dxa"/>
              <w:bottom w:w="55" w:type="dxa"/>
              <w:right w:w="65" w:type="dxa"/>
            </w:tcMar>
            <w:vAlign w:val="center"/>
          </w:tcPr>
          <w:p w14:paraId="57A26D1D" w14:textId="77777777" w:rsidR="001F5AFD" w:rsidRDefault="00000000">
            <w:pPr>
              <w:jc w:val="center"/>
            </w:pPr>
            <w:r>
              <w:t>Frozen protocol and architecture-specific budgets</w:t>
            </w:r>
          </w:p>
        </w:tc>
        <w:tc>
          <w:tcPr>
            <w:tcW w:w="2498" w:type="dxa"/>
            <w:tcMar>
              <w:top w:w="55" w:type="dxa"/>
              <w:left w:w="65" w:type="dxa"/>
              <w:bottom w:w="55" w:type="dxa"/>
              <w:right w:w="65" w:type="dxa"/>
            </w:tcMar>
            <w:vAlign w:val="center"/>
          </w:tcPr>
          <w:p w14:paraId="0D40DAAA" w14:textId="77777777" w:rsidR="001F5AFD" w:rsidRDefault="00000000">
            <w:pPr>
              <w:jc w:val="center"/>
            </w:pPr>
            <w:r>
              <w:t xml:space="preserve">At the most aggressive tested budgets, operator-aware methods beat the strongest pruning baselines by 4.2–12.0 pp; ToMe remains </w:t>
            </w:r>
            <w:r>
              <w:lastRenderedPageBreak/>
              <w:t>competitive.</w:t>
            </w:r>
          </w:p>
        </w:tc>
      </w:tr>
      <w:tr w:rsidR="00D636A9" w14:paraId="59D0E400" w14:textId="77777777" w:rsidTr="00A30B98">
        <w:tc>
          <w:tcPr>
            <w:tcW w:w="2498" w:type="dxa"/>
            <w:tcBorders>
              <w:bottom w:val="single" w:sz="4" w:space="0" w:color="auto"/>
            </w:tcBorders>
            <w:tcMar>
              <w:top w:w="55" w:type="dxa"/>
              <w:left w:w="65" w:type="dxa"/>
              <w:bottom w:w="55" w:type="dxa"/>
              <w:right w:w="65" w:type="dxa"/>
            </w:tcMar>
            <w:vAlign w:val="center"/>
          </w:tcPr>
          <w:p w14:paraId="10967CF3" w14:textId="77777777" w:rsidR="001F5AFD" w:rsidRDefault="00000000">
            <w:r>
              <w:lastRenderedPageBreak/>
              <w:t>Practical carrier evaluation</w:t>
            </w:r>
          </w:p>
        </w:tc>
        <w:tc>
          <w:tcPr>
            <w:tcW w:w="2498" w:type="dxa"/>
            <w:tcBorders>
              <w:bottom w:val="single" w:sz="4" w:space="0" w:color="auto"/>
            </w:tcBorders>
            <w:tcMar>
              <w:top w:w="55" w:type="dxa"/>
              <w:left w:w="65" w:type="dxa"/>
              <w:bottom w:w="55" w:type="dxa"/>
              <w:right w:w="65" w:type="dxa"/>
            </w:tcMar>
            <w:vAlign w:val="center"/>
          </w:tcPr>
          <w:p w14:paraId="78441DD6" w14:textId="77777777" w:rsidR="001F5AFD" w:rsidRDefault="00000000">
            <w:pPr>
              <w:jc w:val="center"/>
            </w:pPr>
            <w:r>
              <w:t>Classifier: N=1,000 held-out images per architecture; operator-space: N=100 held-out operator-space images (separate cohort)</w:t>
            </w:r>
          </w:p>
        </w:tc>
        <w:tc>
          <w:tcPr>
            <w:tcW w:w="2498" w:type="dxa"/>
            <w:tcBorders>
              <w:bottom w:val="single" w:sz="4" w:space="0" w:color="auto"/>
            </w:tcBorders>
            <w:tcMar>
              <w:top w:w="55" w:type="dxa"/>
              <w:left w:w="65" w:type="dxa"/>
              <w:bottom w:w="55" w:type="dxa"/>
              <w:right w:w="65" w:type="dxa"/>
            </w:tcMar>
            <w:vAlign w:val="center"/>
          </w:tcPr>
          <w:p w14:paraId="68399759" w14:textId="77777777" w:rsidR="001F5AFD" w:rsidRDefault="00000000">
            <w:pPr>
              <w:jc w:val="center"/>
            </w:pPr>
            <w: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04700DDF" w14:textId="77777777" w:rsidR="001F5AFD" w:rsidRDefault="00000000">
            <w:pPr>
              <w:jc w:val="center"/>
            </w:pPr>
            <w:r>
              <w:t>Classifier and throughput gains are mixed; operator-space gains do not establish reliable classification or general deployment improvement.</w:t>
            </w:r>
          </w:p>
        </w:tc>
      </w:tr>
    </w:tbl>
    <w:p w14:paraId="3DC7B27C" w14:textId="77777777" w:rsidR="00000000" w:rsidRDefault="00000000">
      <w:pPr>
        <w:spacing w:after="20"/>
      </w:pPr>
    </w:p>
    <w:p w14:paraId="31171AC3" w14:textId="77777777" w:rsidR="00000000" w:rsidRDefault="00000000">
      <w:pPr>
        <w:spacing w:after="100" w:line="259" w:lineRule="auto"/>
        <w:jc w:val="both"/>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14:paraId="5E6A6AE7" w14:textId="77777777" w:rsidR="00000000" w:rsidRDefault="00000000">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654B3BD1" w14:textId="77777777">
        <w:trPr>
          <w:cantSplit/>
          <w:jc w:val="center"/>
        </w:trPr>
        <w:tc>
          <w:tcPr>
            <w:tcW w:w="518" w:type="dxa"/>
            <w:tcMar>
              <w:top w:w="0" w:type="dxa"/>
              <w:left w:w="0" w:type="dxa"/>
              <w:bottom w:w="0" w:type="dxa"/>
              <w:right w:w="0" w:type="dxa"/>
            </w:tcMar>
            <w:vAlign w:val="center"/>
          </w:tcPr>
          <w:p w14:paraId="3394055F"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509EE51A" w14:textId="77777777" w:rsidR="00000000"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7AC7FD3E" w14:textId="77777777" w:rsidR="00000000" w:rsidRDefault="00000000">
            <w:pPr>
              <w:keepLines/>
              <w:spacing w:before="40" w:after="80" w:line="240" w:lineRule="auto"/>
              <w:jc w:val="right"/>
            </w:pPr>
            <w:r>
              <w:t>(1)</w:t>
            </w:r>
          </w:p>
        </w:tc>
      </w:tr>
    </w:tbl>
    <w:p w14:paraId="1242AA5A" w14:textId="77777777" w:rsidR="00000000" w:rsidRDefault="00000000">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228E07FA" w14:textId="77777777" w:rsidR="00000000" w:rsidRDefault="00000000">
      <w:pPr>
        <w:spacing w:after="100" w:line="259" w:lineRule="auto"/>
        <w:jc w:val="both"/>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3DD4CE06" w14:textId="77777777" w:rsidR="00000000" w:rsidRDefault="00000000">
      <w:pPr>
        <w:spacing w:after="100" w:line="259" w:lineRule="auto"/>
        <w:jc w:val="both"/>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27F08B9B" w14:textId="77777777" w:rsidR="00000000" w:rsidRDefault="00000000">
      <w:pPr>
        <w:spacing w:after="100" w:line="259" w:lineRule="auto"/>
        <w:jc w:val="both"/>
      </w:pPr>
      <w:r>
        <w:t>For practical carrier evaluation, q counts directions from the centered calibration activation covariance Σ</w:t>
      </w:r>
      <w:r>
        <w:rPr>
          <w:vertAlign w:val="subscript"/>
        </w:rPr>
        <w:t>act,ℓ</w:t>
      </w:r>
      <w:r>
        <w:t>; a separate low-rank subspace of calibration-derived downstream-Jacobian targets estimates a fixed coefficient vector α. The basis and coefficients are frozen before held-out classification, which uses no evaluation labels or per-image Jacobian. The operator-space audit and classifier evaluation use separate cohorts (Table I); the latter uses 500 calibration and 1,000 held-out images per architecture. Throughput measurements include the complete model call, with 50 warm-up and 100 timed iterations per row.</w:t>
      </w:r>
    </w:p>
    <w:p w14:paraId="52288177" w14:textId="77777777" w:rsidR="00000000" w:rsidRDefault="00000000">
      <w:pPr>
        <w:pStyle w:val="Heading1"/>
        <w:jc w:val="both"/>
      </w:pPr>
      <w:r>
        <w:rPr>
          <w:rFonts w:ascii="Times New Roman" w:hAnsi="Times New Roman"/>
          <w:sz w:val="20"/>
        </w:rPr>
        <w:t>4. Geometric and Diversity Constraints on Patch-Content Fungibility</w:t>
      </w:r>
    </w:p>
    <w:p w14:paraId="76FB88FF" w14:textId="77777777" w:rsidR="00000000" w:rsidRDefault="00000000">
      <w:pPr>
        <w:pStyle w:val="Heading2"/>
        <w:jc w:val="both"/>
      </w:pPr>
      <w:r>
        <w:rPr>
          <w:rFonts w:ascii="Times New Roman" w:hAnsi="Times New Roman"/>
          <w:sz w:val="20"/>
        </w:rPr>
        <w:t>4.1 Depth-Dependent Replacement Tolerance</w:t>
      </w:r>
    </w:p>
    <w:p w14:paraId="2AC38584" w14:textId="77777777" w:rsidR="00000000" w:rsidRDefault="00000000">
      <w:pPr>
        <w:spacing w:after="100" w:line="259" w:lineRule="auto"/>
        <w:jc w:val="both"/>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29E5DB91" w14:textId="77777777" w:rsidR="00000000" w:rsidRDefault="00000000">
      <w:pPr>
        <w:spacing w:after="100" w:line="259" w:lineRule="auto"/>
        <w:jc w:val="both"/>
      </w:pPr>
      <w:r>
        <w:lastRenderedPageBreak/>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72250F82" w14:textId="77777777" w:rsidR="00000000" w:rsidRDefault="00000000">
      <w:pPr>
        <w:keepNext/>
        <w:keepLines/>
        <w:spacing w:after="20"/>
        <w:jc w:val="center"/>
      </w:pPr>
      <w:r>
        <w:rPr>
          <w:noProof/>
        </w:rPr>
        <w:drawing>
          <wp:inline distT="0" distB="0" distL="0" distR="0" wp14:anchorId="15011A5A" wp14:editId="665CA5B1">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12D0D328" w14:textId="77777777" w:rsidR="00000000" w:rsidRDefault="00000000">
      <w:pPr>
        <w:keepLines/>
        <w:spacing w:after="80"/>
        <w:jc w:val="both"/>
      </w:pPr>
      <w:r>
        <w:rPr>
          <w:i/>
          <w:color w:val="4C5963"/>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704172C8" w14:textId="77777777" w:rsidR="00000000" w:rsidRDefault="00000000">
      <w:pPr>
        <w:pStyle w:val="Heading2"/>
        <w:jc w:val="both"/>
      </w:pPr>
      <w:r>
        <w:rPr>
          <w:rFonts w:ascii="Times New Roman" w:hAnsi="Times New Roman"/>
          <w:sz w:val="20"/>
        </w:rPr>
        <w:t>4.2 Geometric and Diversity Constraints</w:t>
      </w:r>
    </w:p>
    <w:p w14:paraId="19DD46EA" w14:textId="77777777" w:rsidR="00000000" w:rsidRDefault="00000000">
      <w:pPr>
        <w:spacing w:after="100" w:line="259" w:lineRule="auto"/>
        <w:jc w:val="both"/>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58F633FB" w14:textId="77777777" w:rsidR="00000000" w:rsidRDefault="00000000">
      <w:pPr>
        <w:spacing w:after="100" w:line="259" w:lineRule="auto"/>
        <w:jc w:val="both"/>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78350E21" w14:textId="77777777" w:rsidR="00000000" w:rsidRDefault="00000000">
      <w:pPr>
        <w:spacing w:after="100" w:line="259" w:lineRule="auto"/>
        <w:jc w:val="both"/>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266C020C" w14:textId="77777777" w:rsidR="00000000" w:rsidRDefault="00000000">
      <w:pPr>
        <w:keepNext/>
        <w:keepLines/>
        <w:spacing w:after="20"/>
        <w:jc w:val="center"/>
      </w:pPr>
      <w:r>
        <w:rPr>
          <w:noProof/>
        </w:rPr>
        <w:lastRenderedPageBreak/>
        <w:drawing>
          <wp:inline distT="0" distB="0" distL="0" distR="0" wp14:anchorId="0B4D5D95" wp14:editId="320BCE48">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18975C28" w14:textId="77777777" w:rsidR="00000000" w:rsidRDefault="00000000">
      <w:pPr>
        <w:keepLines/>
        <w:spacing w:after="80"/>
        <w:jc w:val="both"/>
      </w:pPr>
      <w:r>
        <w:rPr>
          <w:i/>
          <w:color w:val="4C5963"/>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01B71D30" w14:textId="77777777" w:rsidR="00000000" w:rsidRDefault="00000000">
      <w:pPr>
        <w:spacing w:after="100" w:line="259" w:lineRule="auto"/>
        <w:jc w:val="both"/>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14:paraId="68E765D2" w14:textId="77777777" w:rsidR="00000000" w:rsidRDefault="00000000">
      <w:pPr>
        <w:pStyle w:val="Heading1"/>
        <w:jc w:val="both"/>
      </w:pPr>
      <w:r>
        <w:rPr>
          <w:rFonts w:ascii="Times New Roman" w:hAnsi="Times New Roman"/>
          <w:sz w:val="20"/>
        </w:rPr>
        <w:t>5. Functional Geometry and Attention-Mediated Transmission</w:t>
      </w:r>
    </w:p>
    <w:p w14:paraId="103A09A7" w14:textId="77777777" w:rsidR="00000000" w:rsidRDefault="00000000">
      <w:pPr>
        <w:pStyle w:val="Heading2"/>
        <w:jc w:val="both"/>
      </w:pPr>
      <w:r>
        <w:rPr>
          <w:rFonts w:ascii="Times New Roman" w:hAnsi="Times New Roman"/>
          <w:sz w:val="20"/>
        </w:rPr>
        <w:t>5.1 Anisotropy and Functional Geometry</w:t>
      </w:r>
    </w:p>
    <w:p w14:paraId="1D91066A" w14:textId="77777777" w:rsidR="00000000" w:rsidRDefault="00000000">
      <w:pPr>
        <w:spacing w:after="100" w:line="259" w:lineRule="auto"/>
        <w:jc w:val="both"/>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76DF9020" w14:textId="77777777">
        <w:trPr>
          <w:cantSplit/>
          <w:jc w:val="center"/>
        </w:trPr>
        <w:tc>
          <w:tcPr>
            <w:tcW w:w="518" w:type="dxa"/>
            <w:tcMar>
              <w:top w:w="0" w:type="dxa"/>
              <w:left w:w="0" w:type="dxa"/>
              <w:bottom w:w="0" w:type="dxa"/>
              <w:right w:w="0" w:type="dxa"/>
            </w:tcMar>
            <w:vAlign w:val="center"/>
          </w:tcPr>
          <w:p w14:paraId="5FAFD391"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77545151" w14:textId="77777777" w:rsidR="00000000" w:rsidRPr="00A30B98"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5E810435" w14:textId="77777777" w:rsidR="00A30B98" w:rsidRDefault="00A30B98">
            <w:pPr>
              <w:keepLines/>
              <w:spacing w:after="0" w:line="240" w:lineRule="auto"/>
              <w:jc w:val="center"/>
            </w:pPr>
          </w:p>
          <w:p w14:paraId="78C082FD" w14:textId="77777777" w:rsidR="00000000"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0C6E19C7" w14:textId="77777777" w:rsidR="00000000" w:rsidRDefault="00000000">
            <w:pPr>
              <w:keepLines/>
              <w:spacing w:before="40" w:after="80" w:line="240" w:lineRule="auto"/>
              <w:jc w:val="right"/>
            </w:pPr>
            <w:r>
              <w:t>(2)</w:t>
            </w:r>
          </w:p>
        </w:tc>
      </w:tr>
    </w:tbl>
    <w:p w14:paraId="79A91B99" w14:textId="77777777" w:rsidR="00000000" w:rsidRDefault="00000000">
      <w:pPr>
        <w:keepLines/>
        <w:spacing w:after="100" w:line="259" w:lineRule="auto"/>
        <w:jc w:val="both"/>
      </w:pPr>
      <w:r>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6794C613" w14:textId="77777777" w:rsidR="001F5AFD" w:rsidRDefault="00000000">
      <w:pPr>
        <w:keepNext/>
        <w:keepLines/>
        <w:spacing w:after="100" w:line="259" w:lineRule="auto"/>
        <w:jc w:val="both"/>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517FACBB" w14:textId="77777777" w:rsidR="00000000" w:rsidRDefault="00000000">
      <w:pPr>
        <w:keepNext/>
        <w:keepLines/>
        <w:spacing w:after="20"/>
        <w:jc w:val="center"/>
      </w:pPr>
      <w:r>
        <w:rPr>
          <w:noProof/>
        </w:rPr>
        <w:drawing>
          <wp:inline distT="0" distB="0" distL="0" distR="0" wp14:anchorId="09F57FFE" wp14:editId="2A3BF2F7">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2A125601" w14:textId="77777777" w:rsidR="00000000" w:rsidRPr="00C862DD" w:rsidRDefault="00000000">
      <w:pPr>
        <w:keepLines/>
        <w:spacing w:after="80"/>
        <w:jc w:val="both"/>
        <w:rPr>
          <w:i/>
        </w:rPr>
      </w:pPr>
      <w:r w:rsidRPr="00C862DD">
        <w:rPr>
          <w:i/>
          <w:color w:val="4C5963"/>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i/>
              </w:rPr>
            </m:ctrlPr>
          </m:sSubPr>
          <m:e>
            <m:r>
              <w:rPr>
                <w:rFonts w:ascii="Cambria Math" w:hAnsi="Cambria Math"/>
              </w:rPr>
              <m:t>M</m:t>
            </m:r>
          </m:e>
          <m:sub>
            <m:r>
              <m:rPr>
                <m:scr m:val="script"/>
              </m:rPr>
              <w:rPr>
                <w:rFonts w:ascii="Cambria Math" w:hAnsi="Cambria Math"/>
              </w:rPr>
              <m:t>l</m:t>
            </m:r>
          </m:sub>
        </m:sSub>
      </m:oMath>
      <w:r w:rsidRPr="00C862DD">
        <w:rPr>
          <w:i/>
          <w:color w:val="4C5963"/>
        </w:rPr>
        <w:t xml:space="preserve"> eigenvalues at or below </w:t>
      </w:r>
      <m:oMath>
        <m:sSup>
          <m:sSupPr>
            <m:ctrlPr>
              <w:rPr>
                <w:rFonts w:ascii="Cambria Math" w:hAnsi="Cambria Math"/>
                <w:i/>
              </w:rPr>
            </m:ctrlPr>
          </m:sSupPr>
          <m:e>
            <m:r>
              <w:rPr>
                <w:rFonts w:ascii="Cambria Math" w:hAnsi="Cambria Math"/>
              </w:rPr>
              <m:t>10</m:t>
            </m:r>
          </m:e>
          <m:sup>
            <m:r>
              <w:rPr>
                <w:rFonts w:ascii="Cambria Math" w:hAnsi="Cambria Math"/>
              </w:rPr>
              <m:t>-3</m:t>
            </m:r>
          </m:sup>
        </m:sSup>
        <m:sSub>
          <m:sSubPr>
            <m:ctrlPr>
              <w:rPr>
                <w:rFonts w:ascii="Cambria Math" w:hAnsi="Cambria Math"/>
                <w:i/>
              </w:rPr>
            </m:ctrlPr>
          </m:sSubPr>
          <m:e>
            <m:r>
              <w:rPr>
                <w:rFonts w:ascii="Cambria Math" w:hAnsi="Cambria Math"/>
              </w:rPr>
              <m:t>λ</m:t>
            </m:r>
          </m:e>
          <m:sub>
            <m:r>
              <w:rPr>
                <w:rFonts w:ascii="Cambria Math" w:hAnsi="Cambria Math"/>
              </w:rPr>
              <m:t>max</m:t>
            </m:r>
          </m:sub>
        </m:sSub>
      </m:oMath>
      <w:r w:rsidRPr="00C862DD">
        <w:rPr>
          <w:i/>
          <w:color w:val="4C5963"/>
        </w:rPr>
        <w:t xml:space="preserve"> across depth. Each architecture uses the same </w:t>
      </w:r>
      <m:oMath>
        <m:r>
          <w:rPr>
            <w:rFonts w:ascii="Cambria Math" w:hAnsi="Cambria Math"/>
          </w:rPr>
          <m:t>N=100</m:t>
        </m:r>
      </m:oMath>
      <w:r w:rsidRPr="00C862DD">
        <w:rPr>
          <w:i/>
          <w:color w:val="4C5963"/>
        </w:rPr>
        <w:t>-image calibration cohort. DINOv2 sensitivities use its official linear classifier on the concatenated normalized CLS and mean-patch readout. The lowest-variance covariance direction is weakly separated in ViT-B, so its ratio is a cohort-level directional estimate.</w:t>
      </w:r>
    </w:p>
    <w:p w14:paraId="1C7A3690" w14:textId="77777777" w:rsidR="00000000" w:rsidRDefault="00000000">
      <w:pPr>
        <w:spacing w:after="100" w:line="259" w:lineRule="auto"/>
        <w:jc w:val="both"/>
      </w:pPr>
      <w:r>
        <w:t xml:space="preserve">At depth 8, the corrected PC1-to-lowest-variance-PC sensitivity ratios are 0.089 for DeiT-Tiny, 0.041 for DeiT-Small, 65.2 for ViT-B/16 AugReg, and 0.199 for DINOv2 ViT-S/14. PC1 is less sensitive than the selected lowest-variance direction in three models but more sensitive in ViT-B. The ViT-B lowest-variance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covariance eigenvalue, so its large ratio describes sensitivity along the selected sample eigenvector rather than a stable ranking of the full low-variance subspace. Activation variance therefore does not provide a model-independent proxy for margin sensitivity.</w:t>
      </w:r>
    </w:p>
    <w:p w14:paraId="178BEFC2" w14:textId="77777777" w:rsidR="00000000" w:rsidRDefault="00000000">
      <w:pPr>
        <w:spacing w:after="100" w:line="259" w:lineRule="auto"/>
        <w:jc w:val="both"/>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declines from depth 5 to depth 10 in all four architectures: 0.541 to 0.125 for DeiT-Tiny, 0.467 to 0.114 for DeiT-Small, 0.383 to 0.140 for ViT-B, and 0.453 to 0.323 for DINOv2. At the operational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near-null fraction rises from 0.52% to 31.77% in DeiT-Tiny, 0.26% to 57.03% in DeiT-Small, and 0.26% to 49.61% in ViT-B. DINOv2 changes only from 0.26% to 1.56% at this cutoff. Its depth-10 fraction is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w:t>
      </w:r>
    </w:p>
    <w:p w14:paraId="6E7996DA" w14:textId="77777777" w:rsidR="00000000" w:rsidRDefault="00000000">
      <w:pPr>
        <w:spacing w:after="100" w:line="259" w:lineRule="auto"/>
        <w:jc w:val="both"/>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499D1DEF" w14:textId="77777777" w:rsidR="00000000" w:rsidRDefault="00000000">
      <w:pPr>
        <w:pStyle w:val="Heading2"/>
        <w:jc w:val="both"/>
      </w:pPr>
      <w:r>
        <w:rPr>
          <w:rFonts w:ascii="Times New Roman" w:hAnsi="Times New Roman"/>
          <w:sz w:val="20"/>
        </w:rPr>
        <w:t>5.2 Value-Path Coherence and Cancellation</w:t>
      </w:r>
    </w:p>
    <w:p w14:paraId="2B9233AA" w14:textId="77777777" w:rsidR="00000000" w:rsidRDefault="00000000">
      <w:pPr>
        <w:spacing w:after="100" w:line="259" w:lineRule="auto"/>
        <w:jc w:val="both"/>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w:t>
      </w:r>
      <w:r>
        <w:lastRenderedPageBreak/>
        <w:t xml:space="preserve">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so its difference from the full condition is not a pure Value-only causal effect or an additive attribution.</w:t>
      </w:r>
    </w:p>
    <w:p w14:paraId="22D4D26F" w14:textId="77777777" w:rsidR="00000000" w:rsidRDefault="00000000">
      <w:pPr>
        <w:spacing w:after="100" w:line="259" w:lineRule="auto"/>
        <w:jc w:val="both"/>
      </w:pPr>
      <w:r>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59999F59" w14:textId="77777777" w:rsidR="00000000" w:rsidRDefault="00000000">
      <w:pPr>
        <w:keepNext/>
        <w:keepLines/>
        <w:spacing w:after="20"/>
        <w:jc w:val="center"/>
      </w:pPr>
      <w:r>
        <w:rPr>
          <w:noProof/>
        </w:rPr>
        <w:drawing>
          <wp:inline distT="0" distB="0" distL="0" distR="0" wp14:anchorId="58E4B057" wp14:editId="584DE5CD">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75830DEB" w14:textId="77777777" w:rsidR="00000000" w:rsidRDefault="00000000">
      <w:pPr>
        <w:keepLines/>
        <w:spacing w:after="80"/>
        <w:jc w:val="both"/>
      </w:pPr>
      <w:r>
        <w:rPr>
          <w:i/>
          <w:color w:val="4C5963"/>
        </w:rPr>
        <w:t xml:space="preserve">Figure 5.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m:r>
          <w:rPr>
            <w:rFonts w:ascii="Cambria Math" w:hAnsi="Cambria Math"/>
          </w:rPr>
          <m:t>Q,K,V</m:t>
        </m:r>
      </m:oMath>
      <w:r>
        <w:rPr>
          <w:i/>
          <w:color w:val="4C5963"/>
        </w:rPr>
        <w:t xml:space="preserve"> and the residual and recomputes attention; frozen attention keeps clean </w:t>
      </w:r>
      <m:oMath>
        <m:r>
          <w:rPr>
            <w:rFonts w:ascii="Cambria Math" w:hAnsi="Cambria Math"/>
          </w:rPr>
          <m:t>Q,K,A</m:t>
        </m:r>
      </m:oMath>
      <w:r>
        <w:rPr>
          <w:i/>
          <w:color w:val="4C5963"/>
        </w:rPr>
        <w:t xml:space="preserve"> and perturbs </w:t>
      </w:r>
      <m:oMath>
        <m:r>
          <w:rPr>
            <w:rFonts w:ascii="Cambria Math" w:hAnsi="Cambria Math"/>
          </w:rPr>
          <m:t>V</m:t>
        </m:r>
      </m:oMath>
      <w:r>
        <w:rPr>
          <w:i/>
          <w:color w:val="4C5963"/>
        </w:rPr>
        <w:t xml:space="preserve"> and the residual. Bars are means over </w:t>
      </w:r>
      <m:oMath>
        <m:r>
          <w:rPr>
            <w:rFonts w:ascii="Cambria Math" w:hAnsi="Cambria Math"/>
          </w:rPr>
          <m:t>N=100</m:t>
        </m:r>
      </m:oMath>
      <w:r>
        <w:rPr>
          <w:i/>
          <w:color w:val="4C5963"/>
        </w:rPr>
        <w:t xml:space="preserve"> outcome images. Panels (c,d) are reduced replications, not full Q/K/V decompositions. DINOv2’s immediate-readout vector concatenates the CLS and mean-patch representations; the other models use the CLS representation.</w:t>
      </w:r>
    </w:p>
    <w:p w14:paraId="3FB9E27D" w14:textId="77777777" w:rsidR="00000000" w:rsidRDefault="00000000">
      <w:pPr>
        <w:spacing w:after="100" w:line="259" w:lineRule="auto"/>
        <w:jc w:val="both"/>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1B9D560E" w14:textId="77777777">
        <w:trPr>
          <w:cantSplit/>
          <w:jc w:val="center"/>
        </w:trPr>
        <w:tc>
          <w:tcPr>
            <w:tcW w:w="518" w:type="dxa"/>
            <w:tcMar>
              <w:top w:w="0" w:type="dxa"/>
              <w:left w:w="0" w:type="dxa"/>
              <w:bottom w:w="0" w:type="dxa"/>
              <w:right w:w="0" w:type="dxa"/>
            </w:tcMar>
            <w:vAlign w:val="center"/>
          </w:tcPr>
          <w:p w14:paraId="5932A176"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066913B9" w14:textId="77777777" w:rsidR="00000000" w:rsidRPr="00A30B98"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00C055C" w14:textId="77777777" w:rsidR="00A30B98" w:rsidRDefault="00A30B98">
            <w:pPr>
              <w:keepLines/>
              <w:spacing w:after="0" w:line="240" w:lineRule="auto"/>
              <w:jc w:val="center"/>
            </w:pPr>
          </w:p>
          <w:p w14:paraId="08264A3F" w14:textId="77777777" w:rsidR="00000000"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3FFB028B" w14:textId="77777777" w:rsidR="00000000" w:rsidRDefault="00000000">
            <w:pPr>
              <w:keepLines/>
              <w:spacing w:before="40" w:after="80" w:line="240" w:lineRule="auto"/>
              <w:jc w:val="right"/>
            </w:pPr>
            <w:r>
              <w:t>(3)</w:t>
            </w:r>
          </w:p>
        </w:tc>
      </w:tr>
    </w:tbl>
    <w:p w14:paraId="7DFB1C77" w14:textId="4A56A009" w:rsidR="00000000" w:rsidRDefault="00000000">
      <w:pPr>
        <w:spacing w:after="100" w:line="259" w:lineRule="auto"/>
        <w:jc w:val="both"/>
      </w:pPr>
      <w:r>
        <w:lastRenderedPageBreak/>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25800914" w14:textId="77777777" w:rsidR="00000000" w:rsidRDefault="00000000">
      <w:pPr>
        <w:pStyle w:val="Heading2"/>
        <w:jc w:val="both"/>
      </w:pPr>
      <w:r>
        <w:rPr>
          <w:rFonts w:ascii="Times New Roman" w:hAnsi="Times New Roman"/>
          <w:sz w:val="20"/>
        </w:rPr>
        <w:t>5.3 End-to-End Functional Transmission</w:t>
      </w:r>
    </w:p>
    <w:p w14:paraId="3BE903E1" w14:textId="77777777" w:rsidR="00000000" w:rsidRDefault="00000000">
      <w:pPr>
        <w:spacing w:after="100" w:line="259" w:lineRule="auto"/>
        <w:jc w:val="both"/>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4A1998A3" w14:textId="77777777" w:rsidTr="0018300D">
        <w:trPr>
          <w:cantSplit/>
          <w:jc w:val="center"/>
        </w:trPr>
        <w:tc>
          <w:tcPr>
            <w:tcW w:w="518" w:type="dxa"/>
            <w:tcMar>
              <w:top w:w="0" w:type="dxa"/>
              <w:left w:w="0" w:type="dxa"/>
              <w:bottom w:w="0" w:type="dxa"/>
              <w:right w:w="0" w:type="dxa"/>
            </w:tcMar>
            <w:vAlign w:val="center"/>
          </w:tcPr>
          <w:p w14:paraId="7546B0BE" w14:textId="77777777" w:rsidR="00000000" w:rsidRDefault="00000000">
            <w:pPr>
              <w:keepLines/>
              <w:spacing w:before="40" w:after="80" w:line="240" w:lineRule="auto"/>
            </w:pPr>
          </w:p>
        </w:tc>
        <w:tc>
          <w:tcPr>
            <w:tcW w:w="8958" w:type="dxa"/>
            <w:tcMar>
              <w:top w:w="0" w:type="dxa"/>
              <w:left w:w="0" w:type="dxa"/>
              <w:bottom w:w="0" w:type="dxa"/>
              <w:right w:w="0" w:type="dxa"/>
            </w:tcMar>
            <w:vAlign w:val="center"/>
          </w:tcPr>
          <w:p w14:paraId="661D11AB" w14:textId="77777777" w:rsidR="00BA4FBD" w:rsidRPr="00BA4FBD" w:rsidRDefault="00000000" w:rsidP="0018300D">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m:t>
                </m:r>
              </m:oMath>
            </m:oMathPara>
          </w:p>
          <w:p w14:paraId="05073D6A" w14:textId="77777777" w:rsidR="00BA4FBD" w:rsidRPr="00BA4FBD" w:rsidRDefault="00BA4FBD" w:rsidP="0018300D">
            <w:pPr>
              <w:keepLines/>
              <w:spacing w:after="0" w:line="240" w:lineRule="auto"/>
              <w:jc w:val="center"/>
            </w:pPr>
          </w:p>
          <w:p w14:paraId="332B433C" w14:textId="6B2E3110" w:rsidR="00000000" w:rsidRDefault="00CE367B" w:rsidP="0018300D">
            <w:pPr>
              <w:keepLines/>
              <w:spacing w:after="0" w:line="240" w:lineRule="auto"/>
              <w:jc w:val="center"/>
            </w:pPr>
            <m:oMathPara>
              <m:oMath>
                <m:r>
                  <w:rPr>
                    <w:rFonts w:ascii="Cambria Math" w:hAnsi="Cambria Math"/>
                  </w:rPr>
                  <m:t xml:space="preserve"> </m:t>
                </m:r>
                <m:r>
                  <w:rPr>
                    <w:rFonts w:ascii="Cambria Math" w:hAnsi="Cambria Math"/>
                  </w:rPr>
                  <m:t xml:space="preserve">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xml:space="preserve">, </m:t>
                </m:r>
                <m:r>
                  <w:rPr>
                    <w:rFonts w:ascii="Cambria Math" w:hAnsi="Cambria Math"/>
                  </w:rPr>
                  <m:t xml:space="preserve">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r>
                  <w:rPr>
                    <w:rFonts w:ascii="Cambria Math" w:hAnsi="Cambria Math"/>
                  </w:rPr>
                  <m:t xml:space="preserve"> </m:t>
                </m:r>
                <m:r>
                  <w:rPr>
                    <w:rFonts w:ascii="Cambria Math" w:hAnsi="Cambria Math"/>
                  </w:rPr>
                  <m:t xml:space="preserve">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r>
                  <w:rPr>
                    <w:rFonts w:ascii="Cambria Math" w:hAnsi="Cambria Math"/>
                  </w:rPr>
                  <m:t xml:space="preserve">  </m:t>
                </m:r>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1DBF2C77" w14:textId="77777777" w:rsidR="00000000" w:rsidRDefault="00000000">
            <w:pPr>
              <w:keepLines/>
              <w:spacing w:before="40" w:after="80" w:line="240" w:lineRule="auto"/>
              <w:jc w:val="right"/>
            </w:pPr>
            <w:r>
              <w:t>(4)</w:t>
            </w:r>
          </w:p>
        </w:tc>
      </w:tr>
    </w:tbl>
    <w:p w14:paraId="53018306" w14:textId="01CBC43C" w:rsidR="00000000" w:rsidRDefault="00000000">
      <w:pPr>
        <w:spacing w:after="100" w:line="259" w:lineRule="auto"/>
        <w:jc w:val="both"/>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σ</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r w:rsidR="00A73C22">
        <w:t xml:space="preserve"> </w:t>
      </w:r>
    </w:p>
    <w:p w14:paraId="7C0C66E6" w14:textId="77777777" w:rsidR="00000000" w:rsidRDefault="00000000">
      <w:pPr>
        <w:spacing w:after="100" w:line="259" w:lineRule="auto"/>
        <w:jc w:val="both"/>
      </w:pPr>
      <w:r>
        <w:rPr>
          <w:rFonts w:ascii="Times New Roman" w:hAnsi="Times New Roman"/>
          <w:sz w:val="20"/>
        </w:rPr>
        <w:t>In the tested joint-stream conditions, the final-logit response varies with both feature direction and token pattern: the selected sensitive direction generally produces larger changes for coherent or spatially clustered patterns than the selected near-null direction. Figure 6 summarizes the DeiT-Small Block-8 and ViT-B/16 AugReg Block-7 grids, while Supplementary Figure S14 shows the full depth grid for these two models. DeiT-Tiny and DINOv2 have reduced Block-8 replications outside that six-panel grid. For each model, the same N=100-image cohort is used to estimate directions and score outcomes, so these results are not held-out evaluations. The direction-by-pattern regression is saturated and has no residual degrees of freedom; it therefore supports no inferential significance claim. The joint-stream audit selects feature directions using its own per-image mean patch-margin-gradient metric, distinct from the functional-geometry matrix in Section 5.1 and the end-to-end readout Jacobian defined below. The heatmaps display mean final-logit L₂ change, not either gradient metric.</w:t>
      </w:r>
    </w:p>
    <w:p>
      <w:pPr>
        <w:keepNext/>
        <w:keepLines/>
        <w:spacing w:after="20"/>
        <w:jc w:val="center"/>
      </w:pPr>
      <w:r>
        <w:drawing>
          <wp:inline xmlns:a="http://schemas.openxmlformats.org/drawingml/2006/main" xmlns:pic="http://schemas.openxmlformats.org/drawingml/2006/picture">
            <wp:extent cx="6172200" cy="3205234"/>
            <wp:docPr id="8" name="Picture 8"/>
            <wp:cNvGraphicFramePr>
              <a:graphicFrameLocks noChangeAspect="1"/>
            </wp:cNvGraphicFramePr>
            <a:graphic>
              <a:graphicData uri="http://schemas.openxmlformats.org/drawingml/2006/picture">
                <pic:pic>
                  <pic:nvPicPr>
                    <pic:cNvPr id="0" name="figure6_joint_stream_geometry.png"/>
                    <pic:cNvPicPr/>
                  </pic:nvPicPr>
                  <pic:blipFill>
                    <a:blip r:embed="rId15"/>
                    <a:stretch>
                      <a:fillRect/>
                    </a:stretch>
                  </pic:blipFill>
                  <pic:spPr>
                    <a:xfrm>
                      <a:off x="0" y="0"/>
                      <a:ext cx="6172200" cy="3205234"/>
                    </a:xfrm>
                    <a:prstGeom prst="rect"/>
                  </pic:spPr>
                </pic:pic>
              </a:graphicData>
            </a:graphic>
          </wp:inline>
        </w:drawing>
      </w:r>
    </w:p>
    <w:p>
      <w:pPr>
        <w:keepLines/>
        <w:spacing w:after="80"/>
        <w:jc w:val="both"/>
      </w:pPr>
      <w:r>
        <w:rPr>
          <w:rFonts w:ascii="Times New Roman" w:hAnsi="Times New Roman"/>
          <w:i/>
          <w:sz w:val="20"/>
        </w:rPr>
        <w:t>Figure 6. Mean per-image final-logit L₂ change at s=1 under the norm-matched perturbations in Equation (4), across eight token-space patterns and five feature-space directions: (a) DeiT-Small, Block 8; (b) ViT-B/16 AugReg, Block 7. Cell values are annotated, and both panels use the logarithmic color scale shared with Supplementary Figure S14. “Grad. top” and “Grad. near-null” denote the largest- and smallest-eigenvalue directions of the joint-stream audit’s per-image mean patch-margin-gradient metric; PC1 is the leading activation-covariance direction, Random is an isotropic unit direction, and Centroid is the normalized calibration mean. For each model, the same N=100-image cohort estimates directions and scores outcomes; the display is descriptive, not held-out or inferential.</w:t>
      </w:r>
    </w:p>
    <w:p w14:paraId="02D49113" w14:textId="77777777" w:rsidR="00000000" w:rsidRDefault="00000000">
      <w:pPr>
        <w:spacing w:after="100" w:line="259" w:lineRule="auto"/>
        <w:jc w:val="both"/>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3A3663A7" w14:textId="77777777">
        <w:trPr>
          <w:cantSplit/>
          <w:jc w:val="center"/>
        </w:trPr>
        <w:tc>
          <w:tcPr>
            <w:tcW w:w="518" w:type="dxa"/>
            <w:tcMar>
              <w:top w:w="0" w:type="dxa"/>
              <w:left w:w="0" w:type="dxa"/>
              <w:bottom w:w="0" w:type="dxa"/>
              <w:right w:w="0" w:type="dxa"/>
            </w:tcMar>
            <w:vAlign w:val="center"/>
          </w:tcPr>
          <w:p w14:paraId="2FCE41C5"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16BE016E" w14:textId="77777777" w:rsidR="00000000" w:rsidRPr="00BA4FBD"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2CEEDBB7" w14:textId="77777777" w:rsidR="00BA4FBD" w:rsidRDefault="00BA4FBD">
            <w:pPr>
              <w:keepLines/>
              <w:spacing w:after="0" w:line="240" w:lineRule="auto"/>
              <w:jc w:val="center"/>
            </w:pPr>
          </w:p>
          <w:p w14:paraId="1249A1CB" w14:textId="77777777" w:rsidR="00000000"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2DD0B181" w14:textId="77777777" w:rsidR="00000000" w:rsidRDefault="00000000">
            <w:pPr>
              <w:keepLines/>
              <w:spacing w:before="40" w:after="80" w:line="240" w:lineRule="auto"/>
              <w:jc w:val="right"/>
            </w:pPr>
            <w:r>
              <w:t>(5)</w:t>
            </w:r>
          </w:p>
        </w:tc>
      </w:tr>
    </w:tbl>
    <w:p w14:paraId="5399C393" w14:textId="77777777" w:rsidR="00000000" w:rsidRDefault="00000000">
      <w:pPr>
        <w:spacing w:after="100" w:line="259" w:lineRule="auto"/>
        <w:jc w:val="both"/>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4CF0CA4C" w14:textId="77777777" w:rsidR="00000000" w:rsidRDefault="00000000">
      <w:pPr>
        <w:spacing w:after="100" w:line="259" w:lineRule="auto"/>
        <w:jc w:val="both"/>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4C8DB507" w14:textId="77777777" w:rsidR="00000000" w:rsidRDefault="00000000">
      <w:pPr>
        <w:spacing w:after="100" w:line="259" w:lineRule="auto"/>
        <w:jc w:val="both"/>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7366AB33" w14:textId="77777777" w:rsidR="00000000" w:rsidRDefault="00000000">
      <w:pPr>
        <w:keepNext/>
        <w:keepLines/>
        <w:spacing w:after="20"/>
        <w:jc w:val="center"/>
      </w:pPr>
      <w:r>
        <w:rPr>
          <w:noProof/>
        </w:rPr>
        <w:lastRenderedPageBreak/>
        <w:drawing>
          <wp:inline distT="0" distB="0" distL="0" distR="0" wp14:anchorId="3F75CE67" wp14:editId="257C1299">
            <wp:extent cx="6172200" cy="31248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3124829"/>
                    </a:xfrm>
                    <a:prstGeom prst="rect">
                      <a:avLst/>
                    </a:prstGeom>
                  </pic:spPr>
                </pic:pic>
              </a:graphicData>
            </a:graphic>
          </wp:inline>
        </w:drawing>
      </w:r>
    </w:p>
    <w:p w14:paraId="44C2C5AE" w14:textId="77777777" w:rsidR="00000000" w:rsidRDefault="00000000">
      <w:pPr>
        <w:keepLines/>
        <w:spacing w:after="80"/>
        <w:jc w:val="both"/>
      </w:pPr>
      <w:r>
        <w:rPr>
          <w:i/>
          <w:color w:val="4C5963"/>
        </w:rPr>
        <w:t xml:space="preserve">Figure 7.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rPr>
        <w:t xml:space="preserve"> averages over the reference batch, whereas </w:t>
      </w:r>
      <m:oMath>
        <m:r>
          <w:rPr>
            <w:rFonts w:ascii="Cambria Math" w:hAnsi="Cambria Math"/>
          </w:rPr>
          <m:t>J</m:t>
        </m:r>
      </m:oMath>
      <w:r>
        <w:rPr>
          <w:i/>
          <w:color w:val="4C5963"/>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rPr>
        <w:t xml:space="preserve"> damage under the multi-block top mode to that under the multi-block near-null mode at </w:t>
      </w:r>
      <m:oMath>
        <m:r>
          <w:rPr>
            <w:rFonts w:ascii="Cambria Math" w:hAnsi="Cambria Math"/>
          </w:rPr>
          <m:t>s=0.4</m:t>
        </m:r>
      </m:oMath>
      <w:r>
        <w:rPr>
          <w:i/>
          <w:color w:val="4C5963"/>
        </w:rPr>
        <w:t>. DINOv2 uses its official CLS-plus-mean-patch readout.</w:t>
      </w:r>
    </w:p>
    <w:p w14:paraId="7F266B50" w14:textId="77777777" w:rsidR="00000000" w:rsidRDefault="00000000">
      <w:pPr>
        <w:spacing w:after="100" w:line="259" w:lineRule="auto"/>
        <w:jc w:val="both"/>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14:paraId="7FEFEAB9" w14:textId="77777777" w:rsidR="00000000" w:rsidRDefault="00000000">
      <w:pPr>
        <w:pStyle w:val="Heading1"/>
        <w:jc w:val="both"/>
      </w:pPr>
      <w:r>
        <w:rPr>
          <w:rFonts w:ascii="Times New Roman" w:hAnsi="Times New Roman"/>
          <w:sz w:val="20"/>
        </w:rPr>
        <w:t>6. Operator-Aware Token Compression</w:t>
      </w:r>
    </w:p>
    <w:p w14:paraId="320CB56B" w14:textId="77777777" w:rsidR="00000000" w:rsidRDefault="00000000">
      <w:pPr>
        <w:pStyle w:val="Heading2"/>
        <w:jc w:val="both"/>
      </w:pPr>
      <w:r>
        <w:rPr>
          <w:rFonts w:ascii="Times New Roman" w:hAnsi="Times New Roman"/>
          <w:sz w:val="20"/>
        </w:rPr>
        <w:t>6.1 Carrier Grouping and Optimization</w:t>
      </w:r>
    </w:p>
    <w:p w14:paraId="2C98873D" w14:textId="77777777" w:rsidR="00000000" w:rsidRDefault="00000000">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7DD35FEF" w14:textId="77777777">
        <w:trPr>
          <w:cantSplit/>
          <w:jc w:val="center"/>
        </w:trPr>
        <w:tc>
          <w:tcPr>
            <w:tcW w:w="518" w:type="dxa"/>
            <w:tcMar>
              <w:top w:w="0" w:type="dxa"/>
              <w:left w:w="0" w:type="dxa"/>
              <w:bottom w:w="0" w:type="dxa"/>
              <w:right w:w="0" w:type="dxa"/>
            </w:tcMar>
            <w:vAlign w:val="center"/>
          </w:tcPr>
          <w:p w14:paraId="7288FFEE"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0CCF4653" w14:textId="77777777" w:rsidR="00000000"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06C9912F" w14:textId="77777777" w:rsidR="00000000" w:rsidRDefault="00000000">
            <w:pPr>
              <w:keepLines/>
              <w:spacing w:before="40" w:after="80" w:line="240" w:lineRule="auto"/>
              <w:jc w:val="right"/>
            </w:pPr>
            <w:r>
              <w:t>(6)</w:t>
            </w:r>
          </w:p>
        </w:tc>
      </w:tr>
    </w:tbl>
    <w:p w14:paraId="311445F1" w14:textId="77777777" w:rsidR="00000000" w:rsidRDefault="00000000">
      <w:pPr>
        <w:spacing w:after="100" w:line="259" w:lineRule="auto"/>
        <w:jc w:val="both"/>
      </w:pPr>
      <w:r>
        <w:t xml:space="preserve">The residual matrix E=P−SC is the difference between the original and reconstructed patch features. </w:t>
      </w: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314F9FFD" w14:textId="77777777">
        <w:trPr>
          <w:cantSplit/>
          <w:jc w:val="center"/>
        </w:trPr>
        <w:tc>
          <w:tcPr>
            <w:tcW w:w="518" w:type="dxa"/>
            <w:tcMar>
              <w:top w:w="0" w:type="dxa"/>
              <w:left w:w="0" w:type="dxa"/>
              <w:bottom w:w="0" w:type="dxa"/>
              <w:right w:w="0" w:type="dxa"/>
            </w:tcMar>
            <w:vAlign w:val="center"/>
          </w:tcPr>
          <w:p w14:paraId="71CBFA9A"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3959CDCC" w14:textId="77777777" w:rsidR="00000000"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4538DBA8" w14:textId="77777777" w:rsidR="00000000" w:rsidRDefault="00000000">
            <w:pPr>
              <w:keepLines/>
              <w:spacing w:before="40" w:after="80" w:line="240" w:lineRule="auto"/>
              <w:jc w:val="right"/>
            </w:pPr>
            <w:r>
              <w:t>(7)</w:t>
            </w:r>
          </w:p>
        </w:tc>
      </w:tr>
    </w:tbl>
    <w:p w14:paraId="56B96C39" w14:textId="77777777" w:rsidR="00000000" w:rsidRDefault="00000000">
      <w:pPr>
        <w:spacing w:after="100" w:line="259" w:lineRule="auto"/>
        <w:jc w:val="both"/>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2098C0D3" w14:textId="77777777">
        <w:trPr>
          <w:cantSplit/>
          <w:jc w:val="center"/>
        </w:trPr>
        <w:tc>
          <w:tcPr>
            <w:tcW w:w="518" w:type="dxa"/>
            <w:tcMar>
              <w:top w:w="0" w:type="dxa"/>
              <w:left w:w="0" w:type="dxa"/>
              <w:bottom w:w="0" w:type="dxa"/>
              <w:right w:w="0" w:type="dxa"/>
            </w:tcMar>
            <w:vAlign w:val="center"/>
          </w:tcPr>
          <w:p w14:paraId="2279B335"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31DCAC55" w14:textId="77777777" w:rsidR="00000000"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79CBF591" w14:textId="77777777" w:rsidR="00000000" w:rsidRDefault="00000000">
            <w:pPr>
              <w:keepLines/>
              <w:spacing w:before="40" w:after="80" w:line="240" w:lineRule="auto"/>
              <w:jc w:val="right"/>
            </w:pPr>
            <w:r>
              <w:t>(8)</w:t>
            </w:r>
          </w:p>
        </w:tc>
      </w:tr>
    </w:tbl>
    <w:p w14:paraId="1F2A2FF4" w14:textId="77777777" w:rsidR="00000000" w:rsidRDefault="00000000">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not a feature-activation covariance. It is distinct from the centered calibration-activation covariance that defines PCA directions.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5F0EBE22" w14:textId="77777777">
        <w:trPr>
          <w:cantSplit/>
          <w:jc w:val="center"/>
        </w:trPr>
        <w:tc>
          <w:tcPr>
            <w:tcW w:w="518" w:type="dxa"/>
            <w:tcMar>
              <w:top w:w="0" w:type="dxa"/>
              <w:left w:w="0" w:type="dxa"/>
              <w:bottom w:w="0" w:type="dxa"/>
              <w:right w:w="0" w:type="dxa"/>
            </w:tcMar>
            <w:vAlign w:val="center"/>
          </w:tcPr>
          <w:p w14:paraId="307E5A31"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7A56C644" w14:textId="77777777" w:rsidR="00000000" w:rsidRPr="00CF624F"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73C5C39" w14:textId="77777777" w:rsidR="00CF624F" w:rsidRDefault="00CF624F">
            <w:pPr>
              <w:keepLines/>
              <w:spacing w:after="0" w:line="240" w:lineRule="auto"/>
              <w:jc w:val="center"/>
            </w:pPr>
          </w:p>
          <w:p w14:paraId="6E010EF1" w14:textId="77777777" w:rsidR="00000000"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39A737A6" w14:textId="77777777" w:rsidR="00000000" w:rsidRDefault="00000000">
            <w:pPr>
              <w:keepLines/>
              <w:spacing w:before="40" w:after="80" w:line="240" w:lineRule="auto"/>
              <w:jc w:val="right"/>
            </w:pPr>
            <w:r>
              <w:t>(9)</w:t>
            </w:r>
          </w:p>
        </w:tc>
      </w:tr>
    </w:tbl>
    <w:p w14:paraId="53A10E98" w14:textId="77777777" w:rsidR="00000000" w:rsidRDefault="00000000">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64B9BACD" w14:textId="77777777" w:rsidR="00000000" w:rsidRDefault="00000000">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3163DB8B" w14:textId="77777777">
        <w:trPr>
          <w:cantSplit/>
          <w:jc w:val="center"/>
        </w:trPr>
        <w:tc>
          <w:tcPr>
            <w:tcW w:w="518" w:type="dxa"/>
            <w:tcMar>
              <w:top w:w="0" w:type="dxa"/>
              <w:left w:w="0" w:type="dxa"/>
              <w:bottom w:w="0" w:type="dxa"/>
              <w:right w:w="0" w:type="dxa"/>
            </w:tcMar>
            <w:vAlign w:val="center"/>
          </w:tcPr>
          <w:p w14:paraId="444045A8" w14:textId="77777777" w:rsidR="00000000" w:rsidRDefault="00000000">
            <w:pPr>
              <w:keepLines/>
              <w:spacing w:before="40" w:after="80" w:line="240" w:lineRule="auto"/>
            </w:pPr>
          </w:p>
        </w:tc>
        <w:tc>
          <w:tcPr>
            <w:tcW w:w="8957" w:type="dxa"/>
            <w:tcMar>
              <w:top w:w="0" w:type="dxa"/>
              <w:left w:w="0" w:type="dxa"/>
              <w:bottom w:w="0" w:type="dxa"/>
              <w:right w:w="0" w:type="dxa"/>
            </w:tcMar>
            <w:vAlign w:val="center"/>
          </w:tcPr>
          <w:p w14:paraId="70BD092F" w14:textId="77777777" w:rsidR="00000000"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1F163109" w14:textId="77777777" w:rsidR="00000000" w:rsidRDefault="00000000">
            <w:pPr>
              <w:keepLines/>
              <w:spacing w:before="40" w:after="80" w:line="240" w:lineRule="auto"/>
              <w:jc w:val="right"/>
            </w:pPr>
            <w:r>
              <w:t>(10)</w:t>
            </w:r>
          </w:p>
        </w:tc>
      </w:tr>
    </w:tbl>
    <w:p w14:paraId="5EEA42F4" w14:textId="77777777" w:rsidR="00000000" w:rsidRDefault="00000000">
      <w:pPr>
        <w:spacing w:after="100" w:line="259" w:lineRule="auto"/>
        <w:jc w:val="both"/>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5C177437" w14:textId="77777777" w:rsidR="00000000" w:rsidRDefault="00000000">
      <w:pPr>
        <w:pStyle w:val="Heading2"/>
        <w:jc w:val="both"/>
      </w:pPr>
      <w:r>
        <w:rPr>
          <w:rFonts w:ascii="Times New Roman" w:hAnsi="Times New Roman"/>
          <w:sz w:val="20"/>
        </w:rPr>
        <w:t>6.2 Confirmatory Compression Results</w:t>
      </w:r>
    </w:p>
    <w:p w14:paraId="0AD23933" w14:textId="77777777" w:rsidR="00000000" w:rsidRDefault="00000000">
      <w:pPr>
        <w:spacing w:after="100" w:line="259" w:lineRule="auto"/>
        <w:jc w:val="both"/>
      </w:pPr>
      <w:r>
        <w:t>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Figure 8 presents the full accuracy-token curves.</w:t>
      </w:r>
    </w:p>
    <w:p w14:paraId="3DE91D7D" w14:textId="77777777" w:rsidR="00000000" w:rsidRDefault="00000000">
      <w:pPr>
        <w:spacing w:after="100" w:line="259" w:lineRule="auto"/>
        <w:jc w:val="both"/>
      </w:pPr>
      <w:r>
        <w:t>TABLE II</w:t>
      </w:r>
    </w:p>
    <w:p w14:paraId="331D1496" w14:textId="77777777" w:rsidR="00000000" w:rsidRDefault="00000000">
      <w:pPr>
        <w:spacing w:after="100" w:line="259" w:lineRule="auto"/>
        <w:jc w:val="both"/>
      </w:pPr>
      <w:r>
        <w:t>STRICT CONFIRMATORY TOP-1 ACCURACY AT THE MOST AGGRESSIVE TESTED BUDGET</w:t>
      </w:r>
    </w:p>
    <w:p w14:paraId="7DAB7F9A" w14:textId="77777777" w:rsidR="00000000" w:rsidRDefault="00000000">
      <w:pPr>
        <w:keepLines/>
        <w:spacing w:after="80"/>
        <w:jc w:val="both"/>
      </w:pPr>
      <w:r>
        <w:t>Top-1 accuracy on 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1E5BD3" w14:paraId="6C6B994B" w14:textId="77777777" w:rsidTr="00A30B9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374B313B" w14:textId="77777777" w:rsidR="00000000" w:rsidRDefault="00000000">
            <w:pPr>
              <w:jc w:val="center"/>
            </w:pPr>
            <w:r>
              <w:rPr>
                <w:b/>
                <w:color w:val="17232D"/>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AAC68B1" w14:textId="77777777" w:rsidR="00000000" w:rsidRDefault="00000000">
            <w:pPr>
              <w:jc w:val="center"/>
            </w:pPr>
            <w:r>
              <w:rPr>
                <w:b/>
                <w:color w:val="17232D"/>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3393A59" w14:textId="77777777" w:rsidR="00000000" w:rsidRDefault="00000000">
            <w:pPr>
              <w:jc w:val="center"/>
            </w:pPr>
            <w:r>
              <w:rPr>
                <w:b/>
                <w:color w:val="17232D"/>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5803F52" w14:textId="77777777" w:rsidR="00000000" w:rsidRDefault="00000000">
            <w:pPr>
              <w:jc w:val="center"/>
            </w:pPr>
            <w:r>
              <w:rPr>
                <w:b/>
                <w:color w:val="17232D"/>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040A2893" w14:textId="77777777" w:rsidR="00000000" w:rsidRDefault="00000000">
            <w:pPr>
              <w:jc w:val="center"/>
            </w:pPr>
            <w:r>
              <w:rPr>
                <w:b/>
                <w:color w:val="17232D"/>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4C34594" w14:textId="77777777" w:rsidR="00000000" w:rsidRDefault="00000000">
            <w:pPr>
              <w:jc w:val="center"/>
            </w:pPr>
            <w:r>
              <w:rPr>
                <w:b/>
                <w:color w:val="17232D"/>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250FEC2" w14:textId="77777777" w:rsidR="00000000" w:rsidRDefault="00000000">
            <w:pPr>
              <w:jc w:val="center"/>
            </w:pPr>
            <w:r>
              <w:rPr>
                <w:b/>
                <w:color w:val="17232D"/>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84A109A" w14:textId="77777777" w:rsidR="00000000" w:rsidRDefault="00000000">
            <w:pPr>
              <w:jc w:val="center"/>
            </w:pPr>
            <w:r>
              <w:rPr>
                <w:b/>
                <w:color w:val="17232D"/>
              </w:rPr>
              <w:t>Rank-32</w:t>
            </w:r>
          </w:p>
        </w:tc>
      </w:tr>
      <w:tr w:rsidR="001E5BD3" w14:paraId="65D1A93E" w14:textId="77777777" w:rsidTr="00A30B98">
        <w:tc>
          <w:tcPr>
            <w:tcW w:w="1249" w:type="dxa"/>
            <w:tcBorders>
              <w:top w:val="single" w:sz="4" w:space="0" w:color="auto"/>
            </w:tcBorders>
            <w:tcMar>
              <w:top w:w="55" w:type="dxa"/>
              <w:left w:w="65" w:type="dxa"/>
              <w:bottom w:w="55" w:type="dxa"/>
              <w:right w:w="65" w:type="dxa"/>
            </w:tcMar>
            <w:vAlign w:val="center"/>
          </w:tcPr>
          <w:p w14:paraId="76E4B8AC" w14:textId="77777777" w:rsidR="00000000" w:rsidRDefault="00000000">
            <w:r>
              <w:t>DeiT-Tiny</w:t>
            </w:r>
          </w:p>
        </w:tc>
        <w:tc>
          <w:tcPr>
            <w:tcW w:w="1249" w:type="dxa"/>
            <w:tcBorders>
              <w:top w:val="single" w:sz="4" w:space="0" w:color="auto"/>
            </w:tcBorders>
            <w:tcMar>
              <w:top w:w="55" w:type="dxa"/>
              <w:left w:w="65" w:type="dxa"/>
              <w:bottom w:w="55" w:type="dxa"/>
              <w:right w:w="65" w:type="dxa"/>
            </w:tcMar>
            <w:vAlign w:val="center"/>
          </w:tcPr>
          <w:p w14:paraId="3F8D8403" w14:textId="77777777" w:rsidR="00000000" w:rsidRDefault="00000000">
            <w:pPr>
              <w:jc w:val="center"/>
            </w:pPr>
            <w:r>
              <w:t>32</w:t>
            </w:r>
          </w:p>
        </w:tc>
        <w:tc>
          <w:tcPr>
            <w:tcW w:w="1249" w:type="dxa"/>
            <w:tcBorders>
              <w:top w:val="single" w:sz="4" w:space="0" w:color="auto"/>
            </w:tcBorders>
            <w:tcMar>
              <w:top w:w="55" w:type="dxa"/>
              <w:left w:w="65" w:type="dxa"/>
              <w:bottom w:w="55" w:type="dxa"/>
              <w:right w:w="65" w:type="dxa"/>
            </w:tcMar>
            <w:vAlign w:val="center"/>
          </w:tcPr>
          <w:p w14:paraId="330E45BA" w14:textId="77777777" w:rsidR="00000000" w:rsidRDefault="00000000">
            <w:pPr>
              <w:jc w:val="center"/>
            </w:pPr>
            <w:r>
              <w:t>Random, 58.6%</w:t>
            </w:r>
          </w:p>
        </w:tc>
        <w:tc>
          <w:tcPr>
            <w:tcW w:w="1249" w:type="dxa"/>
            <w:tcBorders>
              <w:top w:val="single" w:sz="4" w:space="0" w:color="auto"/>
            </w:tcBorders>
            <w:tcMar>
              <w:top w:w="55" w:type="dxa"/>
              <w:left w:w="65" w:type="dxa"/>
              <w:bottom w:w="55" w:type="dxa"/>
              <w:right w:w="65" w:type="dxa"/>
            </w:tcMar>
            <w:vAlign w:val="center"/>
          </w:tcPr>
          <w:p w14:paraId="4595B3DB" w14:textId="77777777" w:rsidR="00000000" w:rsidRDefault="00000000">
            <w:pPr>
              <w:jc w:val="center"/>
            </w:pPr>
            <w:r>
              <w:t>66.5%</w:t>
            </w:r>
          </w:p>
        </w:tc>
        <w:tc>
          <w:tcPr>
            <w:tcW w:w="1249" w:type="dxa"/>
            <w:tcBorders>
              <w:top w:val="single" w:sz="4" w:space="0" w:color="auto"/>
            </w:tcBorders>
            <w:tcMar>
              <w:top w:w="55" w:type="dxa"/>
              <w:left w:w="65" w:type="dxa"/>
              <w:bottom w:w="55" w:type="dxa"/>
              <w:right w:w="65" w:type="dxa"/>
            </w:tcMar>
            <w:vAlign w:val="center"/>
          </w:tcPr>
          <w:p w14:paraId="1B21B6BF" w14:textId="77777777" w:rsidR="00000000" w:rsidRDefault="00000000">
            <w:pPr>
              <w:jc w:val="center"/>
            </w:pPr>
            <w:r>
              <w:t>65.8%</w:t>
            </w:r>
          </w:p>
        </w:tc>
        <w:tc>
          <w:tcPr>
            <w:tcW w:w="1249" w:type="dxa"/>
            <w:tcBorders>
              <w:top w:val="single" w:sz="4" w:space="0" w:color="auto"/>
            </w:tcBorders>
            <w:tcMar>
              <w:top w:w="55" w:type="dxa"/>
              <w:left w:w="65" w:type="dxa"/>
              <w:bottom w:w="55" w:type="dxa"/>
              <w:right w:w="65" w:type="dxa"/>
            </w:tcMar>
            <w:vAlign w:val="center"/>
          </w:tcPr>
          <w:p w14:paraId="776C7D39" w14:textId="77777777" w:rsidR="00000000" w:rsidRDefault="00000000">
            <w:pPr>
              <w:jc w:val="center"/>
            </w:pPr>
            <w:r>
              <w:t>67.1%</w:t>
            </w:r>
          </w:p>
        </w:tc>
        <w:tc>
          <w:tcPr>
            <w:tcW w:w="1249" w:type="dxa"/>
            <w:tcBorders>
              <w:top w:val="single" w:sz="4" w:space="0" w:color="auto"/>
            </w:tcBorders>
            <w:tcMar>
              <w:top w:w="55" w:type="dxa"/>
              <w:left w:w="65" w:type="dxa"/>
              <w:bottom w:w="55" w:type="dxa"/>
              <w:right w:w="65" w:type="dxa"/>
            </w:tcMar>
            <w:vAlign w:val="center"/>
          </w:tcPr>
          <w:p w14:paraId="180CEA9F" w14:textId="77777777" w:rsidR="00000000" w:rsidRDefault="00000000">
            <w:pPr>
              <w:jc w:val="center"/>
            </w:pPr>
            <w:r>
              <w:t>67.1%</w:t>
            </w:r>
          </w:p>
        </w:tc>
        <w:tc>
          <w:tcPr>
            <w:tcW w:w="1249" w:type="dxa"/>
            <w:tcBorders>
              <w:top w:val="single" w:sz="4" w:space="0" w:color="auto"/>
            </w:tcBorders>
            <w:tcMar>
              <w:top w:w="55" w:type="dxa"/>
              <w:left w:w="65" w:type="dxa"/>
              <w:bottom w:w="55" w:type="dxa"/>
              <w:right w:w="65" w:type="dxa"/>
            </w:tcMar>
            <w:vAlign w:val="center"/>
          </w:tcPr>
          <w:p w14:paraId="4291936E" w14:textId="77777777" w:rsidR="00000000" w:rsidRDefault="00000000">
            <w:pPr>
              <w:jc w:val="center"/>
            </w:pPr>
            <w:r>
              <w:t>67.9%</w:t>
            </w:r>
          </w:p>
        </w:tc>
      </w:tr>
      <w:tr w:rsidR="001E5BD3" w14:paraId="3A1BA490" w14:textId="77777777" w:rsidTr="00A30B98">
        <w:tc>
          <w:tcPr>
            <w:tcW w:w="1249" w:type="dxa"/>
            <w:tcMar>
              <w:top w:w="55" w:type="dxa"/>
              <w:left w:w="65" w:type="dxa"/>
              <w:bottom w:w="55" w:type="dxa"/>
              <w:right w:w="65" w:type="dxa"/>
            </w:tcMar>
            <w:vAlign w:val="center"/>
          </w:tcPr>
          <w:p w14:paraId="375697E6" w14:textId="77777777" w:rsidR="00000000" w:rsidRDefault="00000000">
            <w:r>
              <w:t>DeiT-Small</w:t>
            </w:r>
          </w:p>
        </w:tc>
        <w:tc>
          <w:tcPr>
            <w:tcW w:w="1249" w:type="dxa"/>
            <w:tcMar>
              <w:top w:w="55" w:type="dxa"/>
              <w:left w:w="65" w:type="dxa"/>
              <w:bottom w:w="55" w:type="dxa"/>
              <w:right w:w="65" w:type="dxa"/>
            </w:tcMar>
            <w:vAlign w:val="center"/>
          </w:tcPr>
          <w:p w14:paraId="100E2D5F" w14:textId="77777777" w:rsidR="00000000" w:rsidRDefault="00000000">
            <w:pPr>
              <w:jc w:val="center"/>
            </w:pPr>
            <w:r>
              <w:t>32</w:t>
            </w:r>
          </w:p>
        </w:tc>
        <w:tc>
          <w:tcPr>
            <w:tcW w:w="1249" w:type="dxa"/>
            <w:tcMar>
              <w:top w:w="55" w:type="dxa"/>
              <w:left w:w="65" w:type="dxa"/>
              <w:bottom w:w="55" w:type="dxa"/>
              <w:right w:w="65" w:type="dxa"/>
            </w:tcMar>
            <w:vAlign w:val="center"/>
          </w:tcPr>
          <w:p w14:paraId="0AEF4EB0" w14:textId="77777777" w:rsidR="00000000" w:rsidRDefault="00000000">
            <w:pPr>
              <w:jc w:val="center"/>
            </w:pPr>
            <w:r>
              <w:t>Attention, 71.6%</w:t>
            </w:r>
          </w:p>
        </w:tc>
        <w:tc>
          <w:tcPr>
            <w:tcW w:w="1249" w:type="dxa"/>
            <w:tcMar>
              <w:top w:w="55" w:type="dxa"/>
              <w:left w:w="65" w:type="dxa"/>
              <w:bottom w:w="55" w:type="dxa"/>
              <w:right w:w="65" w:type="dxa"/>
            </w:tcMar>
            <w:vAlign w:val="center"/>
          </w:tcPr>
          <w:p w14:paraId="19AA59C2" w14:textId="77777777" w:rsidR="00000000" w:rsidRDefault="00000000">
            <w:pPr>
              <w:jc w:val="center"/>
            </w:pPr>
            <w:r>
              <w:t>76.4%</w:t>
            </w:r>
          </w:p>
        </w:tc>
        <w:tc>
          <w:tcPr>
            <w:tcW w:w="1249" w:type="dxa"/>
            <w:tcMar>
              <w:top w:w="55" w:type="dxa"/>
              <w:left w:w="65" w:type="dxa"/>
              <w:bottom w:w="55" w:type="dxa"/>
              <w:right w:w="65" w:type="dxa"/>
            </w:tcMar>
            <w:vAlign w:val="center"/>
          </w:tcPr>
          <w:p w14:paraId="37421436" w14:textId="77777777" w:rsidR="00000000" w:rsidRDefault="00000000">
            <w:pPr>
              <w:jc w:val="center"/>
            </w:pPr>
            <w:r>
              <w:t>76.4%</w:t>
            </w:r>
          </w:p>
        </w:tc>
        <w:tc>
          <w:tcPr>
            <w:tcW w:w="1249" w:type="dxa"/>
            <w:tcMar>
              <w:top w:w="55" w:type="dxa"/>
              <w:left w:w="65" w:type="dxa"/>
              <w:bottom w:w="55" w:type="dxa"/>
              <w:right w:w="65" w:type="dxa"/>
            </w:tcMar>
            <w:vAlign w:val="center"/>
          </w:tcPr>
          <w:p w14:paraId="7D0E1FF3" w14:textId="77777777" w:rsidR="00000000" w:rsidRDefault="00000000">
            <w:pPr>
              <w:jc w:val="center"/>
            </w:pPr>
            <w:r>
              <w:t>75.8%</w:t>
            </w:r>
          </w:p>
        </w:tc>
        <w:tc>
          <w:tcPr>
            <w:tcW w:w="1249" w:type="dxa"/>
            <w:tcMar>
              <w:top w:w="55" w:type="dxa"/>
              <w:left w:w="65" w:type="dxa"/>
              <w:bottom w:w="55" w:type="dxa"/>
              <w:right w:w="65" w:type="dxa"/>
            </w:tcMar>
            <w:vAlign w:val="center"/>
          </w:tcPr>
          <w:p w14:paraId="21ECA04B" w14:textId="77777777" w:rsidR="00000000" w:rsidRDefault="00000000">
            <w:pPr>
              <w:jc w:val="center"/>
            </w:pPr>
            <w:r>
              <w:t>76.5%</w:t>
            </w:r>
          </w:p>
        </w:tc>
        <w:tc>
          <w:tcPr>
            <w:tcW w:w="1249" w:type="dxa"/>
            <w:tcMar>
              <w:top w:w="55" w:type="dxa"/>
              <w:left w:w="65" w:type="dxa"/>
              <w:bottom w:w="55" w:type="dxa"/>
              <w:right w:w="65" w:type="dxa"/>
            </w:tcMar>
            <w:vAlign w:val="center"/>
          </w:tcPr>
          <w:p w14:paraId="0DCE3032" w14:textId="77777777" w:rsidR="00000000" w:rsidRDefault="00000000">
            <w:pPr>
              <w:jc w:val="center"/>
            </w:pPr>
            <w:r>
              <w:t>76.5%</w:t>
            </w:r>
          </w:p>
        </w:tc>
      </w:tr>
      <w:tr w:rsidR="001E5BD3" w14:paraId="48B1B65A" w14:textId="77777777" w:rsidTr="00A30B98">
        <w:tc>
          <w:tcPr>
            <w:tcW w:w="1249" w:type="dxa"/>
            <w:tcMar>
              <w:top w:w="55" w:type="dxa"/>
              <w:left w:w="65" w:type="dxa"/>
              <w:bottom w:w="55" w:type="dxa"/>
              <w:right w:w="65" w:type="dxa"/>
            </w:tcMar>
            <w:vAlign w:val="center"/>
          </w:tcPr>
          <w:p w14:paraId="5184FD35" w14:textId="77777777" w:rsidR="00000000" w:rsidRDefault="00000000">
            <w:r>
              <w:t>ViT-B/16 AugReg</w:t>
            </w:r>
          </w:p>
        </w:tc>
        <w:tc>
          <w:tcPr>
            <w:tcW w:w="1249" w:type="dxa"/>
            <w:tcMar>
              <w:top w:w="55" w:type="dxa"/>
              <w:left w:w="65" w:type="dxa"/>
              <w:bottom w:w="55" w:type="dxa"/>
              <w:right w:w="65" w:type="dxa"/>
            </w:tcMar>
            <w:vAlign w:val="center"/>
          </w:tcPr>
          <w:p w14:paraId="75F2AC5F" w14:textId="77777777" w:rsidR="00000000" w:rsidRDefault="00000000">
            <w:pPr>
              <w:jc w:val="center"/>
            </w:pPr>
            <w:r>
              <w:t>32</w:t>
            </w:r>
          </w:p>
        </w:tc>
        <w:tc>
          <w:tcPr>
            <w:tcW w:w="1249" w:type="dxa"/>
            <w:tcMar>
              <w:top w:w="55" w:type="dxa"/>
              <w:left w:w="65" w:type="dxa"/>
              <w:bottom w:w="55" w:type="dxa"/>
              <w:right w:w="65" w:type="dxa"/>
            </w:tcMar>
            <w:vAlign w:val="center"/>
          </w:tcPr>
          <w:p w14:paraId="79CBBBB5" w14:textId="77777777" w:rsidR="00000000" w:rsidRDefault="00000000">
            <w:pPr>
              <w:jc w:val="center"/>
            </w:pPr>
            <w:r>
              <w:t>Random, 69.2%</w:t>
            </w:r>
          </w:p>
        </w:tc>
        <w:tc>
          <w:tcPr>
            <w:tcW w:w="1249" w:type="dxa"/>
            <w:tcMar>
              <w:top w:w="55" w:type="dxa"/>
              <w:left w:w="65" w:type="dxa"/>
              <w:bottom w:w="55" w:type="dxa"/>
              <w:right w:w="65" w:type="dxa"/>
            </w:tcMar>
            <w:vAlign w:val="center"/>
          </w:tcPr>
          <w:p w14:paraId="17ED110F" w14:textId="77777777" w:rsidR="00000000" w:rsidRDefault="00000000">
            <w:pPr>
              <w:jc w:val="center"/>
            </w:pPr>
            <w:r>
              <w:t>73.2%</w:t>
            </w:r>
          </w:p>
        </w:tc>
        <w:tc>
          <w:tcPr>
            <w:tcW w:w="1249" w:type="dxa"/>
            <w:tcMar>
              <w:top w:w="55" w:type="dxa"/>
              <w:left w:w="65" w:type="dxa"/>
              <w:bottom w:w="55" w:type="dxa"/>
              <w:right w:w="65" w:type="dxa"/>
            </w:tcMar>
            <w:vAlign w:val="center"/>
          </w:tcPr>
          <w:p w14:paraId="7CB41B20" w14:textId="77777777" w:rsidR="00000000" w:rsidRDefault="00000000">
            <w:pPr>
              <w:jc w:val="center"/>
            </w:pPr>
            <w:r>
              <w:t>73.0%</w:t>
            </w:r>
          </w:p>
        </w:tc>
        <w:tc>
          <w:tcPr>
            <w:tcW w:w="1249" w:type="dxa"/>
            <w:tcMar>
              <w:top w:w="55" w:type="dxa"/>
              <w:left w:w="65" w:type="dxa"/>
              <w:bottom w:w="55" w:type="dxa"/>
              <w:right w:w="65" w:type="dxa"/>
            </w:tcMar>
            <w:vAlign w:val="center"/>
          </w:tcPr>
          <w:p w14:paraId="2481A10C" w14:textId="77777777" w:rsidR="00000000" w:rsidRDefault="00000000">
            <w:pPr>
              <w:jc w:val="center"/>
            </w:pPr>
            <w:r>
              <w:t>74.4%</w:t>
            </w:r>
          </w:p>
        </w:tc>
        <w:tc>
          <w:tcPr>
            <w:tcW w:w="1249" w:type="dxa"/>
            <w:tcMar>
              <w:top w:w="55" w:type="dxa"/>
              <w:left w:w="65" w:type="dxa"/>
              <w:bottom w:w="55" w:type="dxa"/>
              <w:right w:w="65" w:type="dxa"/>
            </w:tcMar>
            <w:vAlign w:val="center"/>
          </w:tcPr>
          <w:p w14:paraId="1C0C1E1B" w14:textId="77777777" w:rsidR="00000000" w:rsidRDefault="00000000">
            <w:pPr>
              <w:jc w:val="center"/>
            </w:pPr>
            <w:r>
              <w:t>73.7%</w:t>
            </w:r>
          </w:p>
        </w:tc>
        <w:tc>
          <w:tcPr>
            <w:tcW w:w="1249" w:type="dxa"/>
            <w:tcMar>
              <w:top w:w="55" w:type="dxa"/>
              <w:left w:w="65" w:type="dxa"/>
              <w:bottom w:w="55" w:type="dxa"/>
              <w:right w:w="65" w:type="dxa"/>
            </w:tcMar>
            <w:vAlign w:val="center"/>
          </w:tcPr>
          <w:p w14:paraId="17EBB5FF" w14:textId="77777777" w:rsidR="00000000" w:rsidRDefault="00000000">
            <w:pPr>
              <w:jc w:val="center"/>
            </w:pPr>
            <w:r>
              <w:t>74.2%</w:t>
            </w:r>
          </w:p>
        </w:tc>
      </w:tr>
      <w:tr w:rsidR="001E5BD3" w14:paraId="4B22B83B" w14:textId="77777777" w:rsidTr="00A30B98">
        <w:tc>
          <w:tcPr>
            <w:tcW w:w="1249" w:type="dxa"/>
            <w:tcBorders>
              <w:bottom w:val="single" w:sz="4" w:space="0" w:color="auto"/>
            </w:tcBorders>
            <w:tcMar>
              <w:top w:w="55" w:type="dxa"/>
              <w:left w:w="65" w:type="dxa"/>
              <w:bottom w:w="55" w:type="dxa"/>
              <w:right w:w="65" w:type="dxa"/>
            </w:tcMar>
            <w:vAlign w:val="center"/>
          </w:tcPr>
          <w:p w14:paraId="64AD75CE" w14:textId="77777777" w:rsidR="00000000" w:rsidRDefault="00000000">
            <w:r>
              <w:t>DINOv2 ViT-S/14</w:t>
            </w:r>
          </w:p>
        </w:tc>
        <w:tc>
          <w:tcPr>
            <w:tcW w:w="1249" w:type="dxa"/>
            <w:tcBorders>
              <w:bottom w:val="single" w:sz="4" w:space="0" w:color="auto"/>
            </w:tcBorders>
            <w:tcMar>
              <w:top w:w="55" w:type="dxa"/>
              <w:left w:w="65" w:type="dxa"/>
              <w:bottom w:w="55" w:type="dxa"/>
              <w:right w:w="65" w:type="dxa"/>
            </w:tcMar>
            <w:vAlign w:val="center"/>
          </w:tcPr>
          <w:p w14:paraId="6D8D5B3E" w14:textId="77777777" w:rsidR="00000000" w:rsidRDefault="00000000">
            <w:pPr>
              <w:jc w:val="center"/>
            </w:pPr>
            <w:r>
              <w:t>42</w:t>
            </w:r>
          </w:p>
        </w:tc>
        <w:tc>
          <w:tcPr>
            <w:tcW w:w="1249" w:type="dxa"/>
            <w:tcBorders>
              <w:bottom w:val="single" w:sz="4" w:space="0" w:color="auto"/>
            </w:tcBorders>
            <w:tcMar>
              <w:top w:w="55" w:type="dxa"/>
              <w:left w:w="65" w:type="dxa"/>
              <w:bottom w:w="55" w:type="dxa"/>
              <w:right w:w="65" w:type="dxa"/>
            </w:tcMar>
            <w:vAlign w:val="center"/>
          </w:tcPr>
          <w:p w14:paraId="62F23994" w14:textId="77777777" w:rsidR="00000000" w:rsidRDefault="00000000">
            <w:pPr>
              <w:jc w:val="center"/>
            </w:pPr>
            <w:r>
              <w:t>Random, 61.5%</w:t>
            </w:r>
          </w:p>
        </w:tc>
        <w:tc>
          <w:tcPr>
            <w:tcW w:w="1249" w:type="dxa"/>
            <w:tcBorders>
              <w:bottom w:val="single" w:sz="4" w:space="0" w:color="auto"/>
            </w:tcBorders>
            <w:tcMar>
              <w:top w:w="55" w:type="dxa"/>
              <w:left w:w="65" w:type="dxa"/>
              <w:bottom w:w="55" w:type="dxa"/>
              <w:right w:w="65" w:type="dxa"/>
            </w:tcMar>
            <w:vAlign w:val="center"/>
          </w:tcPr>
          <w:p w14:paraId="0197DDE0" w14:textId="77777777" w:rsidR="00000000" w:rsidRDefault="00000000">
            <w:pPr>
              <w:jc w:val="center"/>
            </w:pPr>
            <w:r>
              <w:t>72.2%</w:t>
            </w:r>
          </w:p>
        </w:tc>
        <w:tc>
          <w:tcPr>
            <w:tcW w:w="1249" w:type="dxa"/>
            <w:tcBorders>
              <w:bottom w:val="single" w:sz="4" w:space="0" w:color="auto"/>
            </w:tcBorders>
            <w:tcMar>
              <w:top w:w="55" w:type="dxa"/>
              <w:left w:w="65" w:type="dxa"/>
              <w:bottom w:w="55" w:type="dxa"/>
              <w:right w:w="65" w:type="dxa"/>
            </w:tcMar>
            <w:vAlign w:val="center"/>
          </w:tcPr>
          <w:p w14:paraId="3A279E8F" w14:textId="77777777" w:rsidR="00000000" w:rsidRDefault="00000000">
            <w:pPr>
              <w:jc w:val="center"/>
            </w:pPr>
            <w:r>
              <w:t>69.4%</w:t>
            </w:r>
          </w:p>
        </w:tc>
        <w:tc>
          <w:tcPr>
            <w:tcW w:w="1249" w:type="dxa"/>
            <w:tcBorders>
              <w:bottom w:val="single" w:sz="4" w:space="0" w:color="auto"/>
            </w:tcBorders>
            <w:tcMar>
              <w:top w:w="55" w:type="dxa"/>
              <w:left w:w="65" w:type="dxa"/>
              <w:bottom w:w="55" w:type="dxa"/>
              <w:right w:w="65" w:type="dxa"/>
            </w:tcMar>
            <w:vAlign w:val="center"/>
          </w:tcPr>
          <w:p w14:paraId="1CFAB908" w14:textId="77777777" w:rsidR="00000000" w:rsidRDefault="00000000">
            <w:pPr>
              <w:jc w:val="center"/>
            </w:pPr>
            <w:r>
              <w:t>73.5%</w:t>
            </w:r>
          </w:p>
        </w:tc>
        <w:tc>
          <w:tcPr>
            <w:tcW w:w="1249" w:type="dxa"/>
            <w:tcBorders>
              <w:bottom w:val="single" w:sz="4" w:space="0" w:color="auto"/>
            </w:tcBorders>
            <w:tcMar>
              <w:top w:w="55" w:type="dxa"/>
              <w:left w:w="65" w:type="dxa"/>
              <w:bottom w:w="55" w:type="dxa"/>
              <w:right w:w="65" w:type="dxa"/>
            </w:tcMar>
            <w:vAlign w:val="center"/>
          </w:tcPr>
          <w:p w14:paraId="5999281E" w14:textId="77777777" w:rsidR="00000000" w:rsidRDefault="00000000">
            <w:pPr>
              <w:jc w:val="center"/>
            </w:pPr>
            <w:r>
              <w:t>73.2%</w:t>
            </w:r>
          </w:p>
        </w:tc>
        <w:tc>
          <w:tcPr>
            <w:tcW w:w="1249" w:type="dxa"/>
            <w:tcBorders>
              <w:bottom w:val="single" w:sz="4" w:space="0" w:color="auto"/>
            </w:tcBorders>
            <w:tcMar>
              <w:top w:w="55" w:type="dxa"/>
              <w:left w:w="65" w:type="dxa"/>
              <w:bottom w:w="55" w:type="dxa"/>
              <w:right w:w="65" w:type="dxa"/>
            </w:tcMar>
            <w:vAlign w:val="center"/>
          </w:tcPr>
          <w:p w14:paraId="63A4FA49" w14:textId="77777777" w:rsidR="00000000" w:rsidRDefault="00000000">
            <w:pPr>
              <w:jc w:val="center"/>
            </w:pPr>
            <w:r>
              <w:t>73.0%</w:t>
            </w:r>
          </w:p>
        </w:tc>
      </w:tr>
    </w:tbl>
    <w:p w14:paraId="0E0296FD" w14:textId="77777777" w:rsidR="00000000" w:rsidRDefault="00000000">
      <w:pPr>
        <w:spacing w:after="20"/>
      </w:pPr>
    </w:p>
    <w:p w14:paraId="14671C70" w14:textId="77777777" w:rsidR="00000000" w:rsidRDefault="00000000">
      <w:pPr>
        <w:spacing w:after="100" w:line="259" w:lineRule="auto"/>
        <w:jc w:val="both"/>
      </w:pPr>
      <w:r>
        <w:t>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8 reports the measured accuracy-token curves, while Table II lists rank-16 and rank-32 Top-1 at each architecture's most aggressive tested budget.</w:t>
      </w:r>
    </w:p>
    <w:p w14:paraId="52BAB4D3" w14:textId="77777777" w:rsidR="00000000" w:rsidRDefault="00000000">
      <w:pPr>
        <w:keepNext/>
        <w:keepLines/>
        <w:spacing w:after="20"/>
        <w:jc w:val="center"/>
      </w:pPr>
      <w:r>
        <w:rPr>
          <w:noProof/>
        </w:rPr>
        <w:lastRenderedPageBreak/>
        <w:drawing>
          <wp:inline distT="0" distB="0" distL="0" distR="0" wp14:anchorId="23E22E82" wp14:editId="371EEA2C">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5FB7EF12" w14:textId="77777777" w:rsidR="00000000" w:rsidRDefault="00000000">
      <w:pPr>
        <w:keepLines/>
        <w:spacing w:after="80"/>
        <w:jc w:val="both"/>
      </w:pPr>
      <w:r>
        <w:rPr>
          <w:i/>
          <w:color w:val="4C5963"/>
        </w:rPr>
        <w:t>Figure 8. Confirmatory Top-1 accuracy versus retained patch-token fraction for four architectures. Curves show pruning, Group Mean, ToMe, the full-J oracle, and rank-32; rank-16 Top-1 is listed in Table II at the most aggressive tested budget. Each architecture uses N=1,000 held-out images.</w:t>
      </w:r>
    </w:p>
    <w:p w14:paraId="2E5B7F60" w14:textId="77777777" w:rsidR="00000000" w:rsidRDefault="00000000">
      <w:pPr>
        <w:pStyle w:val="Heading1"/>
        <w:jc w:val="both"/>
      </w:pPr>
      <w:r>
        <w:rPr>
          <w:rFonts w:ascii="Times New Roman" w:hAnsi="Times New Roman"/>
          <w:sz w:val="20"/>
        </w:rPr>
        <w:t>7. Practical Carrier Evaluation</w:t>
      </w:r>
    </w:p>
    <w:p w14:paraId="073246B1" w14:textId="77777777" w:rsidR="00000000" w:rsidRDefault="00000000">
      <w:pPr>
        <w:pStyle w:val="Heading2"/>
        <w:jc w:val="both"/>
      </w:pPr>
      <w:r>
        <w:rPr>
          <w:rFonts w:ascii="Times New Roman" w:hAnsi="Times New Roman"/>
          <w:sz w:val="20"/>
        </w:rPr>
        <w:t>7.1 Static Feature-PCA Corrections</w:t>
      </w:r>
    </w:p>
    <w:p w14:paraId="2ECEAC59" w14:textId="77777777" w:rsidR="00000000" w:rsidRDefault="00000000">
      <w:pPr>
        <w:spacing w:after="100" w:line="259" w:lineRule="auto"/>
        <w:jc w:val="both"/>
      </w:pPr>
      <w:r>
        <w:t>In the separate operator-space cohort, static Feature-PCA at q=16 recovers 54.91% of the restricted-oracle ‖J E‖ gain for DeiT-Small. In a separate q=16 ablation, shuffling PCA coordinates raises mean ‖J E‖ from 6.602 to 8.076 (Δ=1.474). Both are linearized operator-space results, not classifier-level recovery rates.</w:t>
      </w:r>
    </w:p>
    <w:p w14:paraId="49B6A713" w14:textId="77777777" w:rsidR="00000000" w:rsidRDefault="00000000">
      <w:pPr>
        <w:pStyle w:val="Heading2"/>
        <w:jc w:val="both"/>
      </w:pPr>
      <w:r>
        <w:rPr>
          <w:rFonts w:ascii="Times New Roman" w:hAnsi="Times New Roman"/>
          <w:sz w:val="20"/>
        </w:rPr>
        <w:t>7.2 Classification and Throughput Evaluation</w:t>
      </w:r>
    </w:p>
    <w:p w14:paraId="7F346E72" w14:textId="77777777" w:rsidR="00000000" w:rsidRDefault="00000000">
      <w:pPr>
        <w:spacing w:after="100" w:line="259" w:lineRule="auto"/>
        <w:jc w:val="both"/>
      </w:pPr>
      <w:r>
        <w:t>Static Feature-PCA does not consistently improve classifier accuracy over Hybrid Group Mean: both DeiT-Small budgets and the aggressive DINOv2 budget are at or below the baseline, while ViT-B/16 AugReg shows a modest positive case (Table III).</w:t>
      </w:r>
    </w:p>
    <w:p w14:paraId="197E16DC" w14:textId="77777777" w:rsidR="00000000" w:rsidRDefault="00000000">
      <w:pPr>
        <w:spacing w:after="100" w:line="259" w:lineRule="auto"/>
        <w:jc w:val="both"/>
      </w:pPr>
      <w:r>
        <w:t>TABLE III</w:t>
      </w:r>
    </w:p>
    <w:p w14:paraId="153FAAC0" w14:textId="77777777" w:rsidR="00000000" w:rsidRDefault="00000000">
      <w:pPr>
        <w:spacing w:after="100" w:line="259" w:lineRule="auto"/>
        <w:jc w:val="both"/>
      </w:pPr>
      <w:r>
        <w:t>CLASSIFIER-CARRIER COUNTS AT REPORTED BUDGETS</w:t>
      </w:r>
    </w:p>
    <w:p w14:paraId="46863D66" w14:textId="77777777" w:rsidR="00000000" w:rsidRDefault="00000000">
      <w:pPr>
        <w:keepLines/>
        <w:spacing w:after="80"/>
        <w:jc w:val="both"/>
      </w:pPr>
      <w:r>
        <w:t>Correct-prediction counts and Top-1 accuracy on 1,000 held-out images. Parenthetical values are percentage-point changes from Hybrid Group Mean at the same architecture and budget; the classifier cohort is separate from the operator-space study.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1E5BD3" w14:paraId="0D89B564" w14:textId="77777777" w:rsidTr="00A30B98">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26EE4DFE" w14:textId="77777777" w:rsidR="00000000" w:rsidRDefault="00000000">
            <w:pPr>
              <w:jc w:val="center"/>
            </w:pPr>
            <w:r>
              <w:rPr>
                <w:b/>
                <w:color w:val="17232D"/>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F32DE3F" w14:textId="77777777" w:rsidR="00000000" w:rsidRDefault="00000000">
            <w:pPr>
              <w:jc w:val="center"/>
            </w:pPr>
            <w:r>
              <w:rPr>
                <w:b/>
                <w:color w:val="17232D"/>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D84C99C" w14:textId="77777777" w:rsidR="00000000" w:rsidRDefault="00000000">
            <w:pPr>
              <w:jc w:val="center"/>
            </w:pPr>
            <w:r>
              <w:rPr>
                <w:b/>
                <w:color w:val="17232D"/>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A3764BF" w14:textId="77777777" w:rsidR="00000000" w:rsidRDefault="00000000">
            <w:pPr>
              <w:jc w:val="center"/>
            </w:pPr>
            <w:r>
              <w:rPr>
                <w:b/>
                <w:color w:val="17232D"/>
              </w:rPr>
              <w:t>Static Feature-PCA,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A20F5FC" w14:textId="77777777" w:rsidR="00000000" w:rsidRDefault="00000000">
            <w:pPr>
              <w:jc w:val="center"/>
            </w:pPr>
            <w:r>
              <w:rPr>
                <w:b/>
                <w:color w:val="17232D"/>
              </w:rPr>
              <w:t>Static Feature-PCA, q=32</w:t>
            </w:r>
          </w:p>
        </w:tc>
      </w:tr>
      <w:tr w:rsidR="001E5BD3" w14:paraId="16455F56" w14:textId="77777777" w:rsidTr="00A30B98">
        <w:tc>
          <w:tcPr>
            <w:tcW w:w="1999" w:type="dxa"/>
            <w:tcBorders>
              <w:top w:val="single" w:sz="4" w:space="0" w:color="auto"/>
            </w:tcBorders>
            <w:tcMar>
              <w:top w:w="55" w:type="dxa"/>
              <w:left w:w="65" w:type="dxa"/>
              <w:bottom w:w="55" w:type="dxa"/>
              <w:right w:w="65" w:type="dxa"/>
            </w:tcMar>
            <w:vAlign w:val="center"/>
          </w:tcPr>
          <w:p w14:paraId="770085EE" w14:textId="77777777" w:rsidR="00000000" w:rsidRDefault="00000000">
            <w:r>
              <w:t>DeiT-Small</w:t>
            </w:r>
          </w:p>
        </w:tc>
        <w:tc>
          <w:tcPr>
            <w:tcW w:w="1999" w:type="dxa"/>
            <w:tcBorders>
              <w:top w:val="single" w:sz="4" w:space="0" w:color="auto"/>
            </w:tcBorders>
            <w:tcMar>
              <w:top w:w="55" w:type="dxa"/>
              <w:left w:w="65" w:type="dxa"/>
              <w:bottom w:w="55" w:type="dxa"/>
              <w:right w:w="65" w:type="dxa"/>
            </w:tcMar>
            <w:vAlign w:val="center"/>
          </w:tcPr>
          <w:p w14:paraId="6A1EFC09" w14:textId="77777777" w:rsidR="00000000" w:rsidRDefault="00000000">
            <w:pPr>
              <w:jc w:val="center"/>
            </w:pPr>
            <w:r>
              <w:t>98</w:t>
            </w:r>
          </w:p>
        </w:tc>
        <w:tc>
          <w:tcPr>
            <w:tcW w:w="1999" w:type="dxa"/>
            <w:tcBorders>
              <w:top w:val="single" w:sz="4" w:space="0" w:color="auto"/>
            </w:tcBorders>
            <w:tcMar>
              <w:top w:w="55" w:type="dxa"/>
              <w:left w:w="65" w:type="dxa"/>
              <w:bottom w:w="55" w:type="dxa"/>
              <w:right w:w="65" w:type="dxa"/>
            </w:tcMar>
            <w:vAlign w:val="center"/>
          </w:tcPr>
          <w:p w14:paraId="41B7D9C9" w14:textId="77777777" w:rsidR="00000000" w:rsidRDefault="00000000">
            <w:pPr>
              <w:jc w:val="center"/>
            </w:pPr>
            <w:r>
              <w:t>764/1,000 (76.4%)</w:t>
            </w:r>
          </w:p>
        </w:tc>
        <w:tc>
          <w:tcPr>
            <w:tcW w:w="1999" w:type="dxa"/>
            <w:tcBorders>
              <w:top w:val="single" w:sz="4" w:space="0" w:color="auto"/>
            </w:tcBorders>
            <w:tcMar>
              <w:top w:w="55" w:type="dxa"/>
              <w:left w:w="65" w:type="dxa"/>
              <w:bottom w:w="55" w:type="dxa"/>
              <w:right w:w="65" w:type="dxa"/>
            </w:tcMar>
            <w:vAlign w:val="center"/>
          </w:tcPr>
          <w:p w14:paraId="0DBF13F2" w14:textId="77777777" w:rsidR="00CE367B" w:rsidRDefault="00000000">
            <w:pPr>
              <w:jc w:val="center"/>
            </w:pPr>
            <w:r>
              <w:t xml:space="preserve">763/1,000 </w:t>
            </w:r>
          </w:p>
          <w:p w14:paraId="452AB8CE" w14:textId="3713CD7D" w:rsidR="00000000" w:rsidRDefault="00000000">
            <w:pPr>
              <w:jc w:val="center"/>
            </w:pPr>
            <w:r>
              <w:t>(76.3%; −0.1 pp)</w:t>
            </w:r>
          </w:p>
        </w:tc>
        <w:tc>
          <w:tcPr>
            <w:tcW w:w="1999" w:type="dxa"/>
            <w:tcBorders>
              <w:top w:val="single" w:sz="4" w:space="0" w:color="auto"/>
            </w:tcBorders>
            <w:tcMar>
              <w:top w:w="55" w:type="dxa"/>
              <w:left w:w="65" w:type="dxa"/>
              <w:bottom w:w="55" w:type="dxa"/>
              <w:right w:w="65" w:type="dxa"/>
            </w:tcMar>
            <w:vAlign w:val="center"/>
          </w:tcPr>
          <w:p w14:paraId="33C4C870" w14:textId="77777777" w:rsidR="00CE367B" w:rsidRDefault="00000000">
            <w:pPr>
              <w:jc w:val="center"/>
            </w:pPr>
            <w:r>
              <w:t xml:space="preserve">760/1,000 </w:t>
            </w:r>
          </w:p>
          <w:p w14:paraId="130086F0" w14:textId="41D56D09" w:rsidR="00000000" w:rsidRDefault="00000000">
            <w:pPr>
              <w:jc w:val="center"/>
            </w:pPr>
            <w:r>
              <w:t>(76.0%; −0.4 pp)</w:t>
            </w:r>
          </w:p>
        </w:tc>
      </w:tr>
      <w:tr w:rsidR="001E5BD3" w14:paraId="09C43F01" w14:textId="77777777" w:rsidTr="00A30B98">
        <w:tc>
          <w:tcPr>
            <w:tcW w:w="1999" w:type="dxa"/>
            <w:tcMar>
              <w:top w:w="55" w:type="dxa"/>
              <w:left w:w="65" w:type="dxa"/>
              <w:bottom w:w="55" w:type="dxa"/>
              <w:right w:w="65" w:type="dxa"/>
            </w:tcMar>
            <w:vAlign w:val="center"/>
          </w:tcPr>
          <w:p w14:paraId="7E6717EB" w14:textId="77777777" w:rsidR="00000000" w:rsidRDefault="00000000">
            <w:r>
              <w:t>DeiT-Small</w:t>
            </w:r>
          </w:p>
        </w:tc>
        <w:tc>
          <w:tcPr>
            <w:tcW w:w="1999" w:type="dxa"/>
            <w:tcMar>
              <w:top w:w="55" w:type="dxa"/>
              <w:left w:w="65" w:type="dxa"/>
              <w:bottom w:w="55" w:type="dxa"/>
              <w:right w:w="65" w:type="dxa"/>
            </w:tcMar>
            <w:vAlign w:val="center"/>
          </w:tcPr>
          <w:p w14:paraId="540D7C9E" w14:textId="77777777" w:rsidR="00000000" w:rsidRDefault="00000000">
            <w:pPr>
              <w:jc w:val="center"/>
            </w:pPr>
            <w:r>
              <w:t>49</w:t>
            </w:r>
          </w:p>
        </w:tc>
        <w:tc>
          <w:tcPr>
            <w:tcW w:w="1999" w:type="dxa"/>
            <w:tcMar>
              <w:top w:w="55" w:type="dxa"/>
              <w:left w:w="65" w:type="dxa"/>
              <w:bottom w:w="55" w:type="dxa"/>
              <w:right w:w="65" w:type="dxa"/>
            </w:tcMar>
            <w:vAlign w:val="center"/>
          </w:tcPr>
          <w:p w14:paraId="2472A91E" w14:textId="77777777" w:rsidR="00000000" w:rsidRDefault="00000000">
            <w:pPr>
              <w:jc w:val="center"/>
            </w:pPr>
            <w:r>
              <w:t>755/1,000 (75.5%)</w:t>
            </w:r>
          </w:p>
        </w:tc>
        <w:tc>
          <w:tcPr>
            <w:tcW w:w="1999" w:type="dxa"/>
            <w:tcMar>
              <w:top w:w="55" w:type="dxa"/>
              <w:left w:w="65" w:type="dxa"/>
              <w:bottom w:w="55" w:type="dxa"/>
              <w:right w:w="65" w:type="dxa"/>
            </w:tcMar>
            <w:vAlign w:val="center"/>
          </w:tcPr>
          <w:p w14:paraId="4D036CD0" w14:textId="77777777" w:rsidR="00CE367B" w:rsidRDefault="00000000">
            <w:pPr>
              <w:jc w:val="center"/>
            </w:pPr>
            <w:r>
              <w:t xml:space="preserve">740/1,000 </w:t>
            </w:r>
          </w:p>
          <w:p w14:paraId="5DCEB711" w14:textId="766CF517" w:rsidR="00000000" w:rsidRDefault="00000000">
            <w:pPr>
              <w:jc w:val="center"/>
            </w:pPr>
            <w:r>
              <w:t>(74.0%; −1.5 pp)</w:t>
            </w:r>
          </w:p>
        </w:tc>
        <w:tc>
          <w:tcPr>
            <w:tcW w:w="1999" w:type="dxa"/>
            <w:tcMar>
              <w:top w:w="55" w:type="dxa"/>
              <w:left w:w="65" w:type="dxa"/>
              <w:bottom w:w="55" w:type="dxa"/>
              <w:right w:w="65" w:type="dxa"/>
            </w:tcMar>
            <w:vAlign w:val="center"/>
          </w:tcPr>
          <w:p w14:paraId="7F733636" w14:textId="77777777" w:rsidR="00CE367B" w:rsidRDefault="00000000">
            <w:pPr>
              <w:jc w:val="center"/>
            </w:pPr>
            <w:r>
              <w:t xml:space="preserve">740/1,000 </w:t>
            </w:r>
          </w:p>
          <w:p w14:paraId="5E51F8D7" w14:textId="1F4A462F" w:rsidR="00000000" w:rsidRDefault="00000000">
            <w:pPr>
              <w:jc w:val="center"/>
            </w:pPr>
            <w:r>
              <w:t>(74.0%; −1.5 pp)</w:t>
            </w:r>
          </w:p>
        </w:tc>
      </w:tr>
      <w:tr w:rsidR="001E5BD3" w14:paraId="3E90AC48" w14:textId="77777777" w:rsidTr="00A30B98">
        <w:tc>
          <w:tcPr>
            <w:tcW w:w="1999" w:type="dxa"/>
            <w:tcMar>
              <w:top w:w="55" w:type="dxa"/>
              <w:left w:w="65" w:type="dxa"/>
              <w:bottom w:w="55" w:type="dxa"/>
              <w:right w:w="65" w:type="dxa"/>
            </w:tcMar>
            <w:vAlign w:val="center"/>
          </w:tcPr>
          <w:p w14:paraId="48B1B63F" w14:textId="77777777" w:rsidR="00000000" w:rsidRDefault="00000000">
            <w:r>
              <w:t>DINOv2 ViT-S/14</w:t>
            </w:r>
          </w:p>
        </w:tc>
        <w:tc>
          <w:tcPr>
            <w:tcW w:w="1999" w:type="dxa"/>
            <w:tcMar>
              <w:top w:w="55" w:type="dxa"/>
              <w:left w:w="65" w:type="dxa"/>
              <w:bottom w:w="55" w:type="dxa"/>
              <w:right w:w="65" w:type="dxa"/>
            </w:tcMar>
            <w:vAlign w:val="center"/>
          </w:tcPr>
          <w:p w14:paraId="64A96128" w14:textId="77777777" w:rsidR="00000000" w:rsidRDefault="00000000">
            <w:pPr>
              <w:jc w:val="center"/>
            </w:pPr>
            <w:r>
              <w:t>42</w:t>
            </w:r>
          </w:p>
        </w:tc>
        <w:tc>
          <w:tcPr>
            <w:tcW w:w="1999" w:type="dxa"/>
            <w:tcMar>
              <w:top w:w="55" w:type="dxa"/>
              <w:left w:w="65" w:type="dxa"/>
              <w:bottom w:w="55" w:type="dxa"/>
              <w:right w:w="65" w:type="dxa"/>
            </w:tcMar>
            <w:vAlign w:val="center"/>
          </w:tcPr>
          <w:p w14:paraId="5101264E" w14:textId="77777777" w:rsidR="00000000" w:rsidRDefault="00000000">
            <w:pPr>
              <w:jc w:val="center"/>
            </w:pPr>
            <w:r>
              <w:t>613/1,000 (61.3%)</w:t>
            </w:r>
          </w:p>
        </w:tc>
        <w:tc>
          <w:tcPr>
            <w:tcW w:w="1999" w:type="dxa"/>
            <w:tcMar>
              <w:top w:w="55" w:type="dxa"/>
              <w:left w:w="65" w:type="dxa"/>
              <w:bottom w:w="55" w:type="dxa"/>
              <w:right w:w="65" w:type="dxa"/>
            </w:tcMar>
            <w:vAlign w:val="center"/>
          </w:tcPr>
          <w:p w14:paraId="17CD80DD" w14:textId="77777777" w:rsidR="00CE367B" w:rsidRDefault="00000000">
            <w:pPr>
              <w:jc w:val="center"/>
            </w:pPr>
            <w:r>
              <w:t xml:space="preserve">568/1,000 </w:t>
            </w:r>
          </w:p>
          <w:p w14:paraId="342751F5" w14:textId="17725257" w:rsidR="00000000" w:rsidRDefault="00000000">
            <w:pPr>
              <w:jc w:val="center"/>
            </w:pPr>
            <w:r>
              <w:t>(56.8%; −4.5 pp)</w:t>
            </w:r>
          </w:p>
        </w:tc>
        <w:tc>
          <w:tcPr>
            <w:tcW w:w="1999" w:type="dxa"/>
            <w:tcMar>
              <w:top w:w="55" w:type="dxa"/>
              <w:left w:w="65" w:type="dxa"/>
              <w:bottom w:w="55" w:type="dxa"/>
              <w:right w:w="65" w:type="dxa"/>
            </w:tcMar>
            <w:vAlign w:val="center"/>
          </w:tcPr>
          <w:p w14:paraId="7ED4FC8C" w14:textId="77777777" w:rsidR="00CE367B" w:rsidRDefault="00000000">
            <w:pPr>
              <w:jc w:val="center"/>
            </w:pPr>
            <w:r>
              <w:t xml:space="preserve">570/1,000 </w:t>
            </w:r>
          </w:p>
          <w:p w14:paraId="637FF2C0" w14:textId="01F3BE37" w:rsidR="00000000" w:rsidRDefault="00000000">
            <w:pPr>
              <w:jc w:val="center"/>
            </w:pPr>
            <w:r>
              <w:t>(57.0%; −4.3 pp)</w:t>
            </w:r>
          </w:p>
        </w:tc>
      </w:tr>
      <w:tr w:rsidR="001E5BD3" w14:paraId="21BB6F53" w14:textId="77777777" w:rsidTr="00A30B98">
        <w:tc>
          <w:tcPr>
            <w:tcW w:w="1999" w:type="dxa"/>
            <w:tcBorders>
              <w:bottom w:val="single" w:sz="4" w:space="0" w:color="auto"/>
            </w:tcBorders>
            <w:tcMar>
              <w:top w:w="55" w:type="dxa"/>
              <w:left w:w="65" w:type="dxa"/>
              <w:bottom w:w="55" w:type="dxa"/>
              <w:right w:w="65" w:type="dxa"/>
            </w:tcMar>
            <w:vAlign w:val="center"/>
          </w:tcPr>
          <w:p w14:paraId="4F2E1BA6" w14:textId="77777777" w:rsidR="00000000" w:rsidRDefault="00000000">
            <w:r>
              <w:lastRenderedPageBreak/>
              <w:t>ViT-B/16 AugReg</w:t>
            </w:r>
          </w:p>
        </w:tc>
        <w:tc>
          <w:tcPr>
            <w:tcW w:w="1999" w:type="dxa"/>
            <w:tcBorders>
              <w:bottom w:val="single" w:sz="4" w:space="0" w:color="auto"/>
            </w:tcBorders>
            <w:tcMar>
              <w:top w:w="55" w:type="dxa"/>
              <w:left w:w="65" w:type="dxa"/>
              <w:bottom w:w="55" w:type="dxa"/>
              <w:right w:w="65" w:type="dxa"/>
            </w:tcMar>
            <w:vAlign w:val="center"/>
          </w:tcPr>
          <w:p w14:paraId="36E792CF" w14:textId="77777777" w:rsidR="00000000" w:rsidRDefault="00000000">
            <w:pPr>
              <w:jc w:val="center"/>
            </w:pPr>
            <w:r>
              <w:t>49</w:t>
            </w:r>
          </w:p>
        </w:tc>
        <w:tc>
          <w:tcPr>
            <w:tcW w:w="1999" w:type="dxa"/>
            <w:tcBorders>
              <w:bottom w:val="single" w:sz="4" w:space="0" w:color="auto"/>
            </w:tcBorders>
            <w:tcMar>
              <w:top w:w="55" w:type="dxa"/>
              <w:left w:w="65" w:type="dxa"/>
              <w:bottom w:w="55" w:type="dxa"/>
              <w:right w:w="65" w:type="dxa"/>
            </w:tcMar>
            <w:vAlign w:val="center"/>
          </w:tcPr>
          <w:p w14:paraId="6CF7F16E" w14:textId="77777777" w:rsidR="00000000" w:rsidRDefault="00000000">
            <w:pPr>
              <w:jc w:val="center"/>
            </w:pPr>
            <w:r>
              <w:t>712/1,000 (71.2%)</w:t>
            </w:r>
          </w:p>
        </w:tc>
        <w:tc>
          <w:tcPr>
            <w:tcW w:w="1999" w:type="dxa"/>
            <w:tcBorders>
              <w:bottom w:val="single" w:sz="4" w:space="0" w:color="auto"/>
            </w:tcBorders>
            <w:tcMar>
              <w:top w:w="55" w:type="dxa"/>
              <w:left w:w="65" w:type="dxa"/>
              <w:bottom w:w="55" w:type="dxa"/>
              <w:right w:w="65" w:type="dxa"/>
            </w:tcMar>
            <w:vAlign w:val="center"/>
          </w:tcPr>
          <w:p w14:paraId="59BB7061" w14:textId="77777777" w:rsidR="00CE367B" w:rsidRDefault="00000000">
            <w:pPr>
              <w:jc w:val="center"/>
            </w:pPr>
            <w:r>
              <w:t xml:space="preserve">719/1,000 </w:t>
            </w:r>
          </w:p>
          <w:p w14:paraId="7EF5E7D1" w14:textId="4BE98C62" w:rsidR="00000000" w:rsidRDefault="00000000">
            <w:pPr>
              <w:jc w:val="center"/>
            </w:pPr>
            <w:r>
              <w:t>(71.9%; +0.7 pp)</w:t>
            </w:r>
          </w:p>
        </w:tc>
        <w:tc>
          <w:tcPr>
            <w:tcW w:w="1999" w:type="dxa"/>
            <w:tcBorders>
              <w:bottom w:val="single" w:sz="4" w:space="0" w:color="auto"/>
            </w:tcBorders>
            <w:tcMar>
              <w:top w:w="55" w:type="dxa"/>
              <w:left w:w="65" w:type="dxa"/>
              <w:bottom w:w="55" w:type="dxa"/>
              <w:right w:w="65" w:type="dxa"/>
            </w:tcMar>
            <w:vAlign w:val="center"/>
          </w:tcPr>
          <w:p w14:paraId="6C5303A2" w14:textId="77777777" w:rsidR="00CE367B" w:rsidRDefault="00000000">
            <w:pPr>
              <w:jc w:val="center"/>
            </w:pPr>
            <w:r>
              <w:t>716/1,000</w:t>
            </w:r>
          </w:p>
          <w:p w14:paraId="3ACB3BA1" w14:textId="06D31ED8" w:rsidR="00000000" w:rsidRDefault="00000000">
            <w:pPr>
              <w:jc w:val="center"/>
            </w:pPr>
            <w:r>
              <w:t xml:space="preserve"> (71.6%; +0.4 pp)</w:t>
            </w:r>
          </w:p>
        </w:tc>
      </w:tr>
    </w:tbl>
    <w:p w14:paraId="2EAA82D8" w14:textId="77777777" w:rsidR="00000000" w:rsidRDefault="00000000">
      <w:pPr>
        <w:spacing w:after="20"/>
      </w:pPr>
    </w:p>
    <w:p w14:paraId="5E6A5B14" w14:textId="77777777" w:rsidR="00000000" w:rsidRDefault="00000000">
      <w:pPr>
        <w:spacing w:after="100" w:line="259" w:lineRule="auto"/>
        <w:jc w:val="both"/>
      </w:pPr>
      <w:r>
        <w:t>The measured held-out classifier-carrier accuracy–throughput boundary at batch size 64 is shown in Supplementary Figure S13.</w:t>
      </w:r>
    </w:p>
    <w:p w14:paraId="3134FA77" w14:textId="77777777" w:rsidR="00000000" w:rsidRDefault="00000000">
      <w:pPr>
        <w:spacing w:after="100" w:line="259" w:lineRule="auto"/>
        <w:jc w:val="both"/>
      </w:pPr>
      <w:r>
        <w:t>Calibration-frozen selective risk gating also lacks a consistent classifier benefit: at DeiT-Small budget 98 it reaches 75.8% versus 76.4% for Hybrid Group Mean, and at DINOv2 budget 42 it reaches 58.5% versus 61.3%. The exploratory operator-space gate has area under the receiver operating characteristic curve (AUROC) 0.784. On the measured accuracy-throughput frontier, Clean is non-dominated in several regimes, Group Mean is a practical batched baseline, and q=16 adds a narrow ViT-B/16 AugReg point at some batch sizes; q=32 and selective q=16 do not establish a general frontier improvement. These timings cover the full model call rather than isolated operator overhead.</w:t>
      </w:r>
    </w:p>
    <w:p w14:paraId="587965CB" w14:textId="77777777" w:rsidR="00000000" w:rsidRDefault="00000000">
      <w:pPr>
        <w:spacing w:after="100" w:line="259" w:lineRule="auto"/>
        <w:jc w:val="both"/>
      </w:pPr>
      <w:r>
        <w:t>Additional exploratory correction variants are summarized in Supplementary Section S8; they do not change the distinction between operator-space performance and classifier or deployment benefit.</w:t>
      </w:r>
    </w:p>
    <w:p w14:paraId="44431049" w14:textId="77777777" w:rsidR="00000000" w:rsidRDefault="00000000">
      <w:pPr>
        <w:pStyle w:val="Heading1"/>
        <w:jc w:val="both"/>
      </w:pPr>
      <w:r>
        <w:rPr>
          <w:rFonts w:ascii="Times New Roman" w:hAnsi="Times New Roman"/>
          <w:sz w:val="20"/>
        </w:rPr>
        <w:t>8. Limitations</w:t>
      </w:r>
    </w:p>
    <w:p w14:paraId="5BD49DCE" w14:textId="77777777" w:rsidR="00000000" w:rsidRDefault="00000000">
      <w:pPr>
        <w:spacing w:after="100" w:line="259" w:lineRule="auto"/>
        <w:jc w:val="both"/>
      </w:pPr>
      <w:r>
        <w:t>Mechanistic evidence comes from the finite cohorts in Table I and four pretrained vision-transformer families evaluated on one ImageNet validation subset; broader model and task coverage remains untested. The margin-gradient and readout-Jacobian analyses characterize local, first-order behavior, and a threshold-defined near-null fraction does not establish exact nonlinear invariance. The full-J compression objective is an offline oracle requiring per-image Jacobian construction. Classifier-carrier results show that reducing linearized error alone is not sufficient for a deployment gain; measured full-model runtime is specific to the tested hardware, batch sizes, and implementations and does not isolate operator overhead.</w:t>
      </w:r>
    </w:p>
    <w:p w14:paraId="06B6C726" w14:textId="77777777" w:rsidR="00000000" w:rsidRDefault="00000000">
      <w:pPr>
        <w:pStyle w:val="Heading1"/>
        <w:jc w:val="both"/>
      </w:pPr>
      <w:r>
        <w:rPr>
          <w:rFonts w:ascii="Times New Roman" w:hAnsi="Times New Roman"/>
          <w:sz w:val="20"/>
        </w:rPr>
        <w:t>9. Conclusion</w:t>
      </w:r>
    </w:p>
    <w:p w14:paraId="2D02B215" w14:textId="77777777" w:rsidR="00000000" w:rsidRDefault="00000000">
      <w:pPr>
        <w:spacing w:after="100" w:line="259" w:lineRule="auto"/>
        <w:jc w:val="both"/>
      </w:pPr>
      <w:r>
        <w:t xml:space="preserve">Across four tested ViT families, late-layer patch content is conditionally replaceable under feature-geometry and token-position-diversity constraints. The mechanism studies associate this tolerance with architecture-dependent functional sensitivity and coherent Value-path accumulation and cancellation. Normalized effective rank declines with depth in all four models, while near-null expansion at the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threshold is strong in three and small in DINOv2. For the tested four-family mixture of 100 perturbation vectors per model, end-to-end Jacobian predictions are more strongly associated with measured damage than single-block predictions. At the most aggressive tested budgets, operator-aware compression improves on the strongest pruning baseline by 4.2–12.0 percentage points and shifts the accuracy-token frontier in three of four architectures, while ToMe remains competitive and rank-16/32 outcomes vary by architecture and budget. The per-image Jacobian remains an offline oracle, and the practical carrier results do not establish a general deployment gain. Together, these findings link fixed-slot patch-content fungibility to downstream functional geometry and attention-mediated cancellation and show how these mechanisms can guide operator-aware token compression.</w:t>
      </w:r>
    </w:p>
    <w:p w14:paraId="5B7688B9" w14:textId="77777777" w:rsidR="00000000" w:rsidRDefault="00000000">
      <w:pPr>
        <w:pStyle w:val="Heading1"/>
        <w:jc w:val="both"/>
      </w:pPr>
      <w:r>
        <w:rPr>
          <w:rFonts w:ascii="Times New Roman" w:hAnsi="Times New Roman"/>
          <w:sz w:val="20"/>
        </w:rPr>
        <w:t>Reproducibility and Evidence</w:t>
      </w:r>
    </w:p>
    <w:p w14:paraId="6D680AC7" w14:textId="77777777" w:rsidR="00000000" w:rsidRDefault="00000000">
      <w:pPr>
        <w:spacing w:after="100" w:line="259" w:lineRule="auto"/>
        <w:jc w:val="both"/>
      </w:pPr>
      <w:r>
        <w:t>Code and audited data supporting the confirmatory compression and real classifier-carrier benchmarks are available in the [Patch-Content-Fungibility repository](https://github.com/nhatminh-115/Patch-Content-Fungibility).</w:t>
      </w:r>
    </w:p>
    <w:p w14:paraId="4B7271DF" w14:textId="77777777" w:rsidR="00000000" w:rsidRDefault="00000000">
      <w:pPr>
        <w:pStyle w:val="Heading1"/>
        <w:jc w:val="both"/>
      </w:pPr>
      <w:r>
        <w:rPr>
          <w:sz w:val="20"/>
        </w:rPr>
        <w:t>References</w:t>
      </w:r>
    </w:p>
    <w:p w14:paraId="00876257" w14:textId="77777777" w:rsidR="00000000" w:rsidRDefault="00000000">
      <w:pPr>
        <w:spacing w:after="80" w:line="240" w:lineRule="auto"/>
        <w:ind w:left="403" w:hanging="403"/>
        <w:jc w:val="both"/>
      </w:pPr>
      <w:r>
        <w:rPr>
          <w:color w:val="26343D"/>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64D44D6A" w14:textId="77777777" w:rsidR="00000000" w:rsidRDefault="00000000">
      <w:pPr>
        <w:spacing w:after="80" w:line="240" w:lineRule="auto"/>
        <w:ind w:left="403" w:hanging="403"/>
        <w:jc w:val="both"/>
      </w:pPr>
      <w:r>
        <w:rPr>
          <w:color w:val="26343D"/>
        </w:rPr>
        <w:t>[2] A. Dosovitskiy, L. Beyer, A. Kolesnikov, D. Weissenborn, X. Zhai, T. Unterthiner, et al., “An Image is Worth 16x16 Words: Transformers for Image Recognition at Scale,” in Proc. Int. Conf. Learn. Represent., 2021. Available: https://openreview.net/forum?id=YicbFdNTTy.</w:t>
      </w:r>
    </w:p>
    <w:p w14:paraId="3FAAC2FC" w14:textId="77777777" w:rsidR="00000000" w:rsidRDefault="00000000">
      <w:pPr>
        <w:spacing w:after="80" w:line="240" w:lineRule="auto"/>
        <w:ind w:left="403" w:hanging="403"/>
        <w:jc w:val="both"/>
      </w:pPr>
      <w:r>
        <w:rPr>
          <w:color w:val="26343D"/>
        </w:rPr>
        <w:t>[3] H. Touvron, M. Cord, M. Douze, F. Massa, A. Sablayrolles, H. Jégou, “Training data-efficient image transformers &amp; distillation through attention,” in Proc. 38th Int. Conf. Mach. Learn., vol. 139, pp. 10347–10357, 2021. Available: https://proceedings.mlr.press/v139/touvron21a.html.</w:t>
      </w:r>
    </w:p>
    <w:p w14:paraId="15071CEF" w14:textId="77777777" w:rsidR="00000000" w:rsidRDefault="00000000">
      <w:pPr>
        <w:spacing w:after="80" w:line="240" w:lineRule="auto"/>
        <w:ind w:left="403" w:hanging="403"/>
        <w:jc w:val="both"/>
      </w:pPr>
      <w:r>
        <w:rPr>
          <w:color w:val="26343D"/>
        </w:rPr>
        <w:lastRenderedPageBreak/>
        <w:t>[4] M. Caron, H. Touvron, I. Misra, H. Jégou, J. Mairal, P. Bojanowski, et al., “Emerging Properties in Self-Supervised Vision Transformers,” in Proc. IEEE/CVF Int. Conf. Comput. Vis., pp. 9650–9660, 2021. DOI: 10.1109/ICCV48922.2021.00951.</w:t>
      </w:r>
    </w:p>
    <w:p w14:paraId="4CEDB911" w14:textId="77777777" w:rsidR="00000000" w:rsidRDefault="00000000">
      <w:pPr>
        <w:spacing w:after="80" w:line="240" w:lineRule="auto"/>
        <w:ind w:left="403" w:hanging="403"/>
        <w:jc w:val="both"/>
      </w:pPr>
      <w:r>
        <w:rPr>
          <w:color w:val="26343D"/>
        </w:rPr>
        <w:t>[5] M. Oquab, T. Darcet, T. Moutakanni, H. Vo, M. Szafraniec, V. Khalidov, et al., “DINOv2: Learning Robust Visual Features without Supervision,” in Transactions on Machine Learning Research, 2024. Available: https://openreview.net/forum?id=a68SUt6zFt.</w:t>
      </w:r>
    </w:p>
    <w:p w14:paraId="56E19C83" w14:textId="77777777" w:rsidR="00000000" w:rsidRDefault="00000000">
      <w:pPr>
        <w:spacing w:after="80" w:line="240" w:lineRule="auto"/>
        <w:ind w:left="403" w:hanging="403"/>
        <w:jc w:val="both"/>
      </w:pPr>
      <w:r>
        <w:rPr>
          <w:color w:val="26343D"/>
        </w:rPr>
        <w:t>[6] Z. Liu, Y. Lin, Y. Cao, H. Hu, Y. Wei, Z. Zhang, et al., “Swin Transformer: Hierarchical Vision Transformer Using Shifted Windows,” in Proc. IEEE/CVF Int. Conf. Comput. Vis., pp. 10012–10022, 2021. DOI: 10.1109/ICCV48922.2021.00986.</w:t>
      </w:r>
    </w:p>
    <w:p w14:paraId="283E378A" w14:textId="77777777" w:rsidR="00000000" w:rsidRDefault="00000000">
      <w:pPr>
        <w:spacing w:after="80" w:line="240" w:lineRule="auto"/>
        <w:ind w:left="403" w:hanging="403"/>
        <w:jc w:val="both"/>
      </w:pPr>
      <w:r>
        <w:rPr>
          <w:color w:val="26343D"/>
        </w:rPr>
        <w:t>[7] K. He, X. Chen, S. Xie, Y. Li, P. Dollár, R. Girshick, “Masked Autoencoders Are Scalable Vision Learners,” in Proc. IEEE/CVF Conf. Comput. Vis. Pattern Recognit., pp. 16000–16009, 2022. DOI: 10.1109/CVPR52688.2022.01553.</w:t>
      </w:r>
    </w:p>
    <w:p w14:paraId="75E57CD3" w14:textId="77777777" w:rsidR="00000000" w:rsidRDefault="00000000">
      <w:pPr>
        <w:spacing w:after="80" w:line="240" w:lineRule="auto"/>
        <w:ind w:left="403" w:hanging="403"/>
        <w:jc w:val="both"/>
      </w:pPr>
      <w:r>
        <w:rPr>
          <w:color w:val="26343D"/>
        </w:rPr>
        <w:t>[8] X. Zhai, A. Kolesnikov, N. Houlsby, L. Beyer, “Scaling Vision Transformers,” in Proc. IEEE/CVF Conf. Comput. Vis. Pattern Recognit., pp. 12104–12113, 2022. DOI: 10.1109/CVPR52688.2022.01179.</w:t>
      </w:r>
    </w:p>
    <w:p w14:paraId="7FF2A6BB" w14:textId="77777777" w:rsidR="00000000" w:rsidRDefault="00000000">
      <w:pPr>
        <w:spacing w:after="80" w:line="240" w:lineRule="auto"/>
        <w:ind w:left="403" w:hanging="403"/>
        <w:jc w:val="both"/>
      </w:pPr>
      <w:r>
        <w:rPr>
          <w:color w:val="26343D"/>
        </w:rPr>
        <w:t>[9] A. Steiner, A. Kolesnikov, X. Zhai, R. Wightman, J. Uszkoreit, L. Beyer, “How to Train Your ViT? Data, Augmentation, and Regularization in Vision Transformers,” in Transactions on Machine Learning Research, 2022. Available: https://openreview.net/forum?id=4nPswr1KcP.</w:t>
      </w:r>
    </w:p>
    <w:p w14:paraId="1AF34C59" w14:textId="77777777" w:rsidR="00000000" w:rsidRDefault="00000000">
      <w:pPr>
        <w:spacing w:after="80" w:line="240" w:lineRule="auto"/>
        <w:ind w:left="403" w:hanging="403"/>
        <w:jc w:val="both"/>
      </w:pPr>
      <w:r>
        <w:rPr>
          <w:color w:val="26343D"/>
        </w:rPr>
        <w:t>[10] T. Darcet, M. Oquab, J. Mairal, P. Bojanowski, “Vision Transformers Need Registers,” in Proc. Int. Conf. Learn. Represent., 2024. Available: https://openreview.net/forum?id=L6T2bA1sJN.</w:t>
      </w:r>
    </w:p>
    <w:p w14:paraId="02C4A1EA" w14:textId="77777777" w:rsidR="00000000" w:rsidRDefault="00000000">
      <w:pPr>
        <w:spacing w:after="80" w:line="240" w:lineRule="auto"/>
        <w:ind w:left="403" w:hanging="403"/>
        <w:jc w:val="both"/>
      </w:pPr>
      <w:r>
        <w:rPr>
          <w:color w:val="26343D"/>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4C844E98" w14:textId="77777777" w:rsidR="00000000" w:rsidRDefault="00000000">
      <w:pPr>
        <w:spacing w:after="80" w:line="240" w:lineRule="auto"/>
        <w:ind w:left="403" w:hanging="403"/>
        <w:jc w:val="both"/>
      </w:pPr>
      <w:r>
        <w:rPr>
          <w:color w:val="26343D"/>
        </w:rPr>
        <w:t>[12] Y. Liang, C. Ge, Z. Tong, Y. Song, J. Wang, P. Xie, “Not All Patches Are What You Need: Expediting Vision Transformers via Token Reorganizations,” in Proc. Int. Conf. Learn. Represent., 2022. Available: https://openreview.net/forum?id=I90fplp5b3.</w:t>
      </w:r>
    </w:p>
    <w:p w14:paraId="0AC80D18" w14:textId="77777777" w:rsidR="00000000" w:rsidRDefault="00000000">
      <w:pPr>
        <w:spacing w:after="80" w:line="240" w:lineRule="auto"/>
        <w:ind w:left="403" w:hanging="403"/>
        <w:jc w:val="both"/>
      </w:pPr>
      <w:r>
        <w:rPr>
          <w:color w:val="26343D"/>
        </w:rPr>
        <w:t>[13] D. Bolya, C.-Y. Fu, X. Dai, P. Zhang, C. Feichtenhofer, J. Hoffman, “Token Merging: Your ViT But Faster,” in Proc. Int. Conf. Learn. Represent., 2023. Available: https://openreview.net/forum?id=JroZRaRw7Eu.</w:t>
      </w:r>
    </w:p>
    <w:p w14:paraId="37AAFD1A" w14:textId="77777777" w:rsidR="00000000" w:rsidRDefault="00000000">
      <w:pPr>
        <w:spacing w:after="80" w:line="240" w:lineRule="auto"/>
        <w:ind w:left="403" w:hanging="403"/>
        <w:jc w:val="both"/>
      </w:pPr>
      <w:r>
        <w:rPr>
          <w:color w:val="26343D"/>
        </w:rPr>
        <w:t>[14] H. Yin, A. Vahdat, J. M. Alvarez, A. Mallya, J. Kautz, P. Molchanov, “A-ViT: Adaptive Tokens for Efficient Vision Transformer,” in Proc. IEEE/CVF Conf. Comput. Vis. Pattern Recognit., pp. 10809–10818, 2022. DOI: 10.1109/CVPR52688.2022.01054.</w:t>
      </w:r>
    </w:p>
    <w:p w14:paraId="35BCAECE" w14:textId="77777777" w:rsidR="00000000" w:rsidRDefault="00000000">
      <w:pPr>
        <w:spacing w:after="80" w:line="240" w:lineRule="auto"/>
        <w:ind w:left="403" w:hanging="403"/>
        <w:jc w:val="both"/>
      </w:pPr>
      <w:r>
        <w:rPr>
          <w:color w:val="26343D"/>
        </w:rPr>
        <w:t>[15] L. Meng, H. Li, B.-C. Chen, S. Lan, Z. Wu, Y.-G. Jiang, et al., “AdaViT: Adaptive Vision Transformers for Efficient Image Recognition,” in Proc. IEEE/CVF Conf. Comput. Vis. Pattern Recognit., pp. 12309–12318, 2022. DOI: 10.1109/CVPR52688.2022.01199.</w:t>
      </w:r>
    </w:p>
    <w:p w14:paraId="228ADEF1" w14:textId="77777777" w:rsidR="00000000" w:rsidRDefault="00000000">
      <w:pPr>
        <w:spacing w:after="80" w:line="240" w:lineRule="auto"/>
        <w:ind w:left="403" w:hanging="403"/>
        <w:jc w:val="both"/>
      </w:pPr>
      <w:r>
        <w:rPr>
          <w:color w:val="26343D"/>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44978FAE" w14:textId="77777777" w:rsidR="00000000" w:rsidRDefault="00000000">
      <w:pPr>
        <w:spacing w:after="80" w:line="240" w:lineRule="auto"/>
        <w:ind w:left="403" w:hanging="403"/>
        <w:jc w:val="both"/>
      </w:pPr>
      <w:r>
        <w:rPr>
          <w:color w:val="26343D"/>
        </w:rPr>
        <w:t>[17] D. Marin, J.-H. R. Chang, A. Ranjan, A. Prabhu, M. Rastegari, O. Tuzel, “Token Pooling in Vision Transformers for Image Classification,” in Proc. IEEE/CVF Winter Conf. Appl. Comput. Vis., pp. 12–21, 2023. DOI: 10.1109/WACV56688.2023.00010.</w:t>
      </w:r>
    </w:p>
    <w:p w14:paraId="056FCEAC" w14:textId="77777777" w:rsidR="00000000" w:rsidRDefault="00000000">
      <w:pPr>
        <w:spacing w:after="80" w:line="240" w:lineRule="auto"/>
        <w:ind w:left="403" w:hanging="403"/>
        <w:jc w:val="both"/>
      </w:pPr>
      <w:r>
        <w:rPr>
          <w:color w:val="26343D"/>
        </w:rPr>
        <w:t>[18] M. Fayyaz, S. A. Koohpayegani, F. R. Jafari, S. Sengupta, H. R. V. Joze, E. Sommerlade, et al., “Adaptive Token Sampling for Efficient Vision Transformers,” in Computer Vision – ECCV 2022, vol. 13671, pp. 396–414, 2022. DOI: 10.1007/978-3-031-20083-0_24.</w:t>
      </w:r>
    </w:p>
    <w:p w14:paraId="2D584266" w14:textId="77777777" w:rsidR="00000000" w:rsidRDefault="00000000">
      <w:pPr>
        <w:spacing w:after="80" w:line="240" w:lineRule="auto"/>
        <w:ind w:left="403" w:hanging="403"/>
        <w:jc w:val="both"/>
      </w:pPr>
      <w:r>
        <w:rPr>
          <w:color w:val="26343D"/>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2DF81973" w14:textId="77777777" w:rsidR="00000000" w:rsidRDefault="00000000">
      <w:pPr>
        <w:spacing w:after="80" w:line="240" w:lineRule="auto"/>
        <w:ind w:left="403" w:hanging="403"/>
        <w:jc w:val="both"/>
      </w:pPr>
      <w:r>
        <w:rPr>
          <w:color w:val="26343D"/>
        </w:rPr>
        <w:t>[20] Y. Liu, C. Matsoukas, F. Strand, H. Azizpour, K. Smith, “PatchDropout: Economizing Vision Transformers Using Patch Dropout,” in Proc. IEEE/CVF Winter Conf. Appl. Comput. Vis., pp. 3953–3962, 2023. DOI: 10.1109/WACV56688.2023.00394.</w:t>
      </w:r>
    </w:p>
    <w:p w14:paraId="21F514D0" w14:textId="77777777" w:rsidR="00000000" w:rsidRDefault="00000000">
      <w:pPr>
        <w:spacing w:after="80" w:line="240" w:lineRule="auto"/>
        <w:ind w:left="403" w:hanging="403"/>
        <w:jc w:val="both"/>
      </w:pPr>
      <w:r>
        <w:rPr>
          <w:color w:val="26343D"/>
        </w:rPr>
        <w:t>[21] L. Yu, W. Xiang, “X-Pruner: eXplainable Pruning for Vision Transformers,” in Proc. IEEE/CVF Conf. Comput. Vis. Pattern Recognit., pp. 24355–24363, 2023. DOI: 10.1109/CVPR52729.2023.02333.</w:t>
      </w:r>
    </w:p>
    <w:p w14:paraId="522C46B4" w14:textId="77777777" w:rsidR="00000000" w:rsidRDefault="00000000">
      <w:pPr>
        <w:spacing w:after="80" w:line="240" w:lineRule="auto"/>
        <w:ind w:left="403" w:hanging="403"/>
        <w:jc w:val="both"/>
      </w:pPr>
      <w:r>
        <w:rPr>
          <w:color w:val="26343D"/>
        </w:rPr>
        <w:t>[22] H. Yang, H. Yin, M. Shen, P. Molchanov, H. Li, J. Kautz, “Global Vision Transformer Pruning With Hessian-Aware Saliency,” in Proc. IEEE/CVF Conf. Comput. Vis. Pattern Recognit., pp. 18547–18557, 2023. DOI: 10.1109/CVPR52729.2023.01779.</w:t>
      </w:r>
    </w:p>
    <w:p w14:paraId="07A14AC0" w14:textId="77777777" w:rsidR="00000000" w:rsidRDefault="00000000">
      <w:pPr>
        <w:spacing w:after="80" w:line="240" w:lineRule="auto"/>
        <w:ind w:left="403" w:hanging="403"/>
        <w:jc w:val="both"/>
      </w:pPr>
      <w:r>
        <w:rPr>
          <w:color w:val="26343D"/>
        </w:rPr>
        <w:lastRenderedPageBreak/>
        <w:t>[23] S. Wei, T. Ye, S. Zhang, Y. Tang, J. Liang, “Joint Token Pruning and Squeezing Towards More Aggressive Compression of Vision Transformers,” in Proc. IEEE/CVF Conf. Comput. Vis. Pattern Recognit., pp. 2092–2101, 2023. DOI: 10.1109/CVPR52729.2023.00208.</w:t>
      </w:r>
    </w:p>
    <w:p w14:paraId="51BD55AE" w14:textId="77777777" w:rsidR="00000000" w:rsidRDefault="00000000">
      <w:pPr>
        <w:spacing w:after="80" w:line="240" w:lineRule="auto"/>
        <w:ind w:left="403" w:hanging="403"/>
        <w:jc w:val="both"/>
      </w:pPr>
      <w:r>
        <w:rPr>
          <w:color w:val="26343D"/>
        </w:rPr>
        <w:t>[24] Q. Tang, B. Zhang, J. Liu, F. Liu, Y. Liu, “Dynamic Token Pruning in Plain Vision Transformers for Semantic Segmentation,” in Proc. IEEE/CVF Int. Conf. Comput. Vis., pp. 777–786, 2023. DOI: 10.1109/ICCV51070.2023.00078.</w:t>
      </w:r>
    </w:p>
    <w:p w14:paraId="678CDB4F" w14:textId="77777777" w:rsidR="00000000" w:rsidRDefault="00000000">
      <w:pPr>
        <w:spacing w:after="80" w:line="240" w:lineRule="auto"/>
        <w:ind w:left="403" w:hanging="403"/>
        <w:jc w:val="both"/>
      </w:pPr>
      <w:r>
        <w:rPr>
          <w:color w:val="26343D"/>
        </w:rPr>
        <w:t>[25] Y. Xu, Z. Zhang, M. Zhang, K. Sheng, K. Li, W. Dong, et al., “Evo-ViT: Slow-Fast Token Evolution for Dynamic Vision Transformer,” in Proc. AAAI Conf. Artif. Intell., vol. 36, no. 3, pp. 2964–2972, 2022. DOI: 10.1609/aaai.v36i3.20202.</w:t>
      </w:r>
    </w:p>
    <w:p w14:paraId="21C66382" w14:textId="77777777" w:rsidR="00000000" w:rsidRDefault="00000000">
      <w:pPr>
        <w:spacing w:after="80" w:line="240" w:lineRule="auto"/>
        <w:ind w:left="403" w:hanging="403"/>
        <w:jc w:val="both"/>
      </w:pPr>
      <w:r>
        <w:rPr>
          <w:color w:val="26343D"/>
        </w:rPr>
        <w:t>[26] L. Song, S. Zhang, S. Liu, Z. Li, X. He, H. Sun, et al., “Dynamic Grained Encoder for Vision Transformers,” in Advances in Neural Information Processing Systems, vol. 34, 2021. Available: https://proceedings.neurips.cc/paper/2021/hash/2d969e2cee8cfa07ce7ca0bb13c7a36d-Abstract.html.</w:t>
      </w:r>
    </w:p>
    <w:p w14:paraId="52E424BA" w14:textId="77777777" w:rsidR="00000000" w:rsidRDefault="00000000">
      <w:pPr>
        <w:spacing w:after="80" w:line="240" w:lineRule="auto"/>
        <w:ind w:left="403" w:hanging="403"/>
        <w:jc w:val="both"/>
      </w:pPr>
      <w:r>
        <w:rPr>
          <w:color w:val="26343D"/>
        </w:rPr>
        <w:t>[27] Z. Kong, P. Dong, X. Ma, X. Meng, W. Niu, M. Sun, et al., “SPViT: Enabling Faster Vision Transformers via Latency-Aware Soft Token Pruning,” in Computer Vision – ECCV 2022, vol. 13671, pp. 620–640, 2022. DOI: 10.1007/978-3-031-20083-0_37.</w:t>
      </w:r>
    </w:p>
    <w:p w14:paraId="1561DDBF" w14:textId="77777777" w:rsidR="00000000" w:rsidRDefault="00000000">
      <w:pPr>
        <w:spacing w:after="80" w:line="240" w:lineRule="auto"/>
        <w:ind w:left="403" w:hanging="403"/>
        <w:jc w:val="both"/>
      </w:pPr>
      <w:r>
        <w:rPr>
          <w:color w:val="26343D"/>
        </w:rPr>
        <w:t>[28] Y. Tang, K. Han, Y. Wang, C. Xu, J. Guo, C. Xu, et al., “Patch Slimming for Efficient Vision Transformers,” in Proc. IEEE/CVF Conf. Comput. Vis. Pattern Recognit., pp. 12165–12174, 2022. DOI: 10.1109/CVPR52688.2022.01185.</w:t>
      </w:r>
    </w:p>
    <w:p w14:paraId="6684AA9F" w14:textId="77777777" w:rsidR="00000000" w:rsidRDefault="00000000">
      <w:pPr>
        <w:spacing w:after="80" w:line="240" w:lineRule="auto"/>
        <w:ind w:left="403" w:hanging="403"/>
        <w:jc w:val="both"/>
      </w:pPr>
      <w:r>
        <w:rPr>
          <w:color w:val="26343D"/>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0A92857C" w14:textId="77777777" w:rsidR="00000000" w:rsidRDefault="00000000">
      <w:pPr>
        <w:spacing w:after="80" w:line="240" w:lineRule="auto"/>
        <w:ind w:left="403" w:hanging="403"/>
        <w:jc w:val="both"/>
      </w:pPr>
      <w:r>
        <w:rPr>
          <w:color w:val="26343D"/>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321792DB" w14:textId="77777777" w:rsidR="00000000" w:rsidRDefault="00000000">
      <w:pPr>
        <w:spacing w:after="80" w:line="240" w:lineRule="auto"/>
        <w:ind w:left="403" w:hanging="403"/>
        <w:jc w:val="both"/>
      </w:pPr>
      <w:r>
        <w:rPr>
          <w:color w:val="26343D"/>
        </w:rPr>
        <w:t>[31] X. Chen, Z. Liu, H. Tang, L. Yi, H. Zhao, S. Han, “SparseViT: Revisiting Activation Sparsity for Efficient High-Resolution Vision Transformer,” in Proc. IEEE/CVF Conf. Comput. Vis. Pattern Recognit., pp. 2061–2070, 2023. DOI: 10.1109/CVPR52729.2023.00205.</w:t>
      </w:r>
    </w:p>
    <w:p w14:paraId="4D69A6DC" w14:textId="77777777" w:rsidR="00000000" w:rsidRDefault="00000000">
      <w:pPr>
        <w:spacing w:after="80" w:line="240" w:lineRule="auto"/>
        <w:ind w:left="403" w:hanging="403"/>
        <w:jc w:val="both"/>
      </w:pPr>
      <w:r>
        <w:rPr>
          <w:color w:val="26343D"/>
        </w:rPr>
        <w:t>[32] C. Zheng, Z. Li, K. Zhang, Z. Yang, W. Tan, J. Xiao, et al., “SAViT: Structure-Aware Vision Transformer Pruning via Collaborative Optimization,” in Advances in Neural Information Processing Systems, vol. 35, pp. 9010–9023, 2022. DOI: 10.52202/068431-0655.</w:t>
      </w:r>
    </w:p>
    <w:p w14:paraId="693334D0" w14:textId="77777777" w:rsidR="00000000" w:rsidRDefault="00000000">
      <w:pPr>
        <w:spacing w:after="80" w:line="240" w:lineRule="auto"/>
        <w:ind w:left="403" w:hanging="403"/>
        <w:jc w:val="both"/>
      </w:pPr>
      <w:r>
        <w:rPr>
          <w:color w:val="26343D"/>
        </w:rPr>
        <w:t>[33] Y. LeCun, J. S. Denker, S. A. Solla, “Optimal Brain Damage,” in Advances in Neural Information Processing Systems, vol. 2, pp. 598–605, 1989. Available: https://proceedings.neurips.cc/paper/1989/hash/6c9882bbac1c7093bd25041881277658-Abstract.html.</w:t>
      </w:r>
    </w:p>
    <w:p w14:paraId="6C7E092B" w14:textId="77777777" w:rsidR="00000000" w:rsidRDefault="00000000">
      <w:pPr>
        <w:spacing w:after="80" w:line="240" w:lineRule="auto"/>
        <w:ind w:left="403" w:hanging="403"/>
        <w:jc w:val="both"/>
      </w:pPr>
      <w:r>
        <w:rPr>
          <w:color w:val="26343D"/>
        </w:rPr>
        <w:t>[34] B. Hassibi, D. G. Stork, “Optimal Brain Surgeon and general network pruning,” in Proceedings of the IEEE Proc. IEEE Int. Conf. Neural Netw., vol. 1, pp. 293–299, 1993. DOI: 10.1109/ICNN.1993.298572.</w:t>
      </w:r>
    </w:p>
    <w:p w14:paraId="3A32AF42" w14:textId="77777777" w:rsidR="00000000" w:rsidRDefault="00000000">
      <w:pPr>
        <w:spacing w:after="80" w:line="240" w:lineRule="auto"/>
        <w:ind w:left="403" w:hanging="403"/>
        <w:jc w:val="both"/>
      </w:pPr>
      <w:r>
        <w:rPr>
          <w:color w:val="26343D"/>
        </w:rPr>
        <w:t>[35] S. Han, J. Pool, J. Tran, W. J. Dally, “Learning Both Weights and Connections for Efficient Neural Networks,” in Advances in Neural Information Processing Systems, vol. 28, 2015. Available: https://proceedings.neurips.cc/paper/2015/hash/ae0eb3eed39d2bcef4622b2499a05fe6-Abstract.html.</w:t>
      </w:r>
    </w:p>
    <w:p w14:paraId="457A3B89" w14:textId="77777777" w:rsidR="00000000" w:rsidRDefault="00000000">
      <w:pPr>
        <w:spacing w:after="80" w:line="240" w:lineRule="auto"/>
        <w:ind w:left="403" w:hanging="403"/>
        <w:jc w:val="both"/>
      </w:pPr>
      <w:r>
        <w:rPr>
          <w:color w:val="26343D"/>
        </w:rPr>
        <w:t>[36] P. Molchanov, S. Tyree, T. Karras, T. Aila, J. Kautz, “Pruning Convolutional Neural Networks for Resource Efficient Inference,” in Proc. Int. Conf. Learn. Represent., 2017. Available: https://openreview.net/forum?id=SJGCiw5gl.</w:t>
      </w:r>
    </w:p>
    <w:p w14:paraId="7D4AD853" w14:textId="77777777" w:rsidR="00000000" w:rsidRDefault="00000000">
      <w:pPr>
        <w:spacing w:after="80" w:line="240" w:lineRule="auto"/>
        <w:ind w:left="403" w:hanging="403"/>
        <w:jc w:val="both"/>
      </w:pPr>
      <w:r>
        <w:rPr>
          <w:color w:val="26343D"/>
        </w:rPr>
        <w:t>[37] J. Frankle, M. Carbin, “The Lottery Ticket Hypothesis: Finding Sparse, Trainable Neural Networks,” in Proc. Int. Conf. Learn. Represent., 2019. Available: https://openreview.net/forum?id=rJl-b3RcF7.</w:t>
      </w:r>
    </w:p>
    <w:p w14:paraId="3B59D506" w14:textId="77777777" w:rsidR="00000000" w:rsidRDefault="00000000">
      <w:pPr>
        <w:spacing w:after="80" w:line="240" w:lineRule="auto"/>
        <w:ind w:left="403" w:hanging="403"/>
        <w:jc w:val="both"/>
      </w:pPr>
      <w:r>
        <w:rPr>
          <w:color w:val="26343D"/>
        </w:rPr>
        <w:t>[38] V. Sanh, T. Wolf, A. M. Rush, “Movement Pruning: Adaptive Sparsity by Fine-Tuning,” in Advances in Neural Information Processing Systems, vol. 33, pp. 20378–20389, 2020. Available: https://proceedings.neurips.cc/paper/2020/hash/eae15aabaa768ae4a5993a8a4f4fa6e4-Abstract.html.</w:t>
      </w:r>
    </w:p>
    <w:p w14:paraId="004E1E2D" w14:textId="77777777" w:rsidR="00000000" w:rsidRDefault="00000000">
      <w:pPr>
        <w:spacing w:after="80" w:line="240" w:lineRule="auto"/>
        <w:ind w:left="403" w:hanging="403"/>
        <w:jc w:val="both"/>
      </w:pPr>
      <w:r>
        <w:rPr>
          <w:color w:val="26343D"/>
        </w:rPr>
        <w:t>[39] E. Frantar, D. Alistarh, “SparseGPT: Massive Language Models Can Be Accurately Pruned in One-Shot,” in Proc. 40th Int. Conf. Mach. Learn., vol. 202, pp. 10323–10337, 2023. Available: https://proceedings.mlr.press/v202/frantar23a.html.</w:t>
      </w:r>
    </w:p>
    <w:p w14:paraId="4FE85367" w14:textId="77777777" w:rsidR="00000000" w:rsidRDefault="00000000">
      <w:pPr>
        <w:spacing w:after="80" w:line="240" w:lineRule="auto"/>
        <w:ind w:left="403" w:hanging="403"/>
        <w:jc w:val="both"/>
      </w:pPr>
      <w:r>
        <w:rPr>
          <w:color w:val="26343D"/>
        </w:rPr>
        <w:t>[40] M. Sun, Z. Liu, A. Bair, J. Z. Kolter, “A Simple and Effective Pruning Approach for Large Language Models,” in Proc. Int. Conf. Learn. Represent., 2024. Available: https://openreview.net/forum?id=PxoFut3dWW.</w:t>
      </w:r>
    </w:p>
    <w:p w14:paraId="1ED472F5" w14:textId="77777777" w:rsidR="00000000" w:rsidRDefault="00000000">
      <w:pPr>
        <w:spacing w:after="80" w:line="240" w:lineRule="auto"/>
        <w:ind w:left="403" w:hanging="403"/>
        <w:jc w:val="both"/>
      </w:pPr>
      <w:r>
        <w:rPr>
          <w:color w:val="26343D"/>
        </w:rPr>
        <w:t>[41] S. Ashkboos, M. L. Croci, M. Gennari do Nascimento, T. Hoefler, J. Hensman, “SliceGPT: Compress Large Language Models by Deleting Rows and Columns,” in Proc. Int. Conf. Learn. Represent., 2024. Available: https://openreview.net/forum?id=vXxardq6db.</w:t>
      </w:r>
    </w:p>
    <w:p w14:paraId="574AEF61" w14:textId="77777777" w:rsidR="00000000" w:rsidRDefault="00000000">
      <w:pPr>
        <w:spacing w:after="80" w:line="240" w:lineRule="auto"/>
        <w:ind w:left="403" w:hanging="403"/>
        <w:jc w:val="both"/>
      </w:pPr>
      <w:r>
        <w:rPr>
          <w:color w:val="26343D"/>
        </w:rPr>
        <w:lastRenderedPageBreak/>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70CE35ED" w14:textId="77777777" w:rsidR="00000000" w:rsidRDefault="00000000">
      <w:pPr>
        <w:spacing w:after="80" w:line="240" w:lineRule="auto"/>
        <w:ind w:left="403" w:hanging="403"/>
        <w:jc w:val="both"/>
      </w:pPr>
      <w:r>
        <w:rPr>
          <w:color w:val="26343D"/>
        </w:rPr>
        <w:t>[43] S. Jain, B. C. Wallace, “Attention Is Not Explanation,” in Proceedings of the 2019 Conference of the North American Chapter of the Association for Computational Linguistics: Human Language Technologies, pp. 3543–3556, 2019. DOI: 10.18653/v1/N19-1357.</w:t>
      </w:r>
    </w:p>
    <w:p w14:paraId="31F7AF33" w14:textId="77777777" w:rsidR="00000000" w:rsidRDefault="00000000">
      <w:pPr>
        <w:spacing w:after="80" w:line="240" w:lineRule="auto"/>
        <w:ind w:left="403" w:hanging="403"/>
        <w:jc w:val="both"/>
      </w:pPr>
      <w:r>
        <w:rPr>
          <w:color w:val="26343D"/>
        </w:rPr>
        <w:t>[44] S. Serrano, N. A. Smith, “Is Attention Interpretable?,” in Proceedings of the 57th Annual Meeting of the Association for Computational Linguistics, pp. 2931–2951, 2019. DOI: 10.18653/v1/P19-1282.</w:t>
      </w:r>
    </w:p>
    <w:p w14:paraId="0608F2CD" w14:textId="77777777" w:rsidR="00000000" w:rsidRDefault="00000000">
      <w:pPr>
        <w:spacing w:after="80" w:line="240" w:lineRule="auto"/>
        <w:ind w:left="403" w:hanging="403"/>
        <w:jc w:val="both"/>
      </w:pPr>
      <w:r>
        <w:rPr>
          <w:color w:val="26343D"/>
        </w:rPr>
        <w:t>[45] S. Wiegreffe, Y. Pinter, “Attention Is Not Not Explanation,” in Proceedings of the 2019 Conference on Empirical Methods in Natural Language Processing and the 9th International Joint Conference on Natural Language Processing, pp. 11–20, 2019. DOI: 10.18653/v1/D19-1002.</w:t>
      </w:r>
    </w:p>
    <w:p w14:paraId="20574996" w14:textId="77777777" w:rsidR="00000000" w:rsidRDefault="00000000">
      <w:pPr>
        <w:spacing w:after="80" w:line="240" w:lineRule="auto"/>
        <w:ind w:left="403" w:hanging="403"/>
        <w:jc w:val="both"/>
      </w:pPr>
      <w:r>
        <w:rPr>
          <w:color w:val="26343D"/>
        </w:rPr>
        <w:t>[46] S. Abnar, W. Zuidema, “Quantifying Attention Flow in Transformers,” in Proceedings of the 58th Annual Meeting of the Association for Computational Linguistics, pp. 4190–4197, 2020. DOI: 10.18653/v1/2020.acl-main.385.</w:t>
      </w:r>
    </w:p>
    <w:p w14:paraId="4FAED24A" w14:textId="77777777" w:rsidR="00000000" w:rsidRDefault="00000000">
      <w:pPr>
        <w:spacing w:after="80" w:line="240" w:lineRule="auto"/>
        <w:ind w:left="403" w:hanging="403"/>
        <w:jc w:val="both"/>
      </w:pPr>
      <w:r>
        <w:rPr>
          <w:color w:val="26343D"/>
        </w:rPr>
        <w:t>[47] M. Sundararajan, A. Taly, Q. Yan, “Axiomatic Attribution for Deep Networks,” in Proc. 34th Int. Conf. Mach. Learn., vol. 70, pp. 3319–3328, 2017. Available: https://proceedings.mlr.press/v70/sundararajan17a.html.</w:t>
      </w:r>
    </w:p>
    <w:p w14:paraId="00C62FB6" w14:textId="77777777" w:rsidR="00000000" w:rsidRDefault="00000000">
      <w:pPr>
        <w:spacing w:after="80" w:line="240" w:lineRule="auto"/>
        <w:ind w:left="403" w:hanging="403"/>
        <w:jc w:val="both"/>
      </w:pPr>
      <w:r>
        <w:rPr>
          <w:color w:val="26343D"/>
        </w:rPr>
        <w:t>[48] J. Adebayo, J. Gilmer, M. Muelly, I. Goodfellow, M. Hardt, B. Kim, “Sanity Checks for Saliency Maps,” in Advances in Neural Information Processing Systems, vol. 31, pp. 9505–9515, 2018. Available: https://proceedings.neurips.cc/paper/2018/hash/294a8ed24b1ad22ec2e7efea049b8737-Abstract.html.</w:t>
      </w:r>
    </w:p>
    <w:p w14:paraId="4E210FE4" w14:textId="77777777" w:rsidR="00000000" w:rsidRDefault="00000000">
      <w:pPr>
        <w:spacing w:after="80" w:line="240" w:lineRule="auto"/>
        <w:ind w:left="403" w:hanging="403"/>
        <w:jc w:val="both"/>
      </w:pPr>
      <w:r>
        <w:rPr>
          <w:color w:val="26343D"/>
        </w:rPr>
        <w:t>[49] H. Chefer, S. Gur, L. Wolf, “Transformer Interpretability Beyond Attention Visualization,” in Proc. IEEE/CVF Conf. Comput. Vis. Pattern Recognit., pp. 782–791, 2021. DOI: 10.1109/CVPR46437.2021.00084.</w:t>
      </w:r>
    </w:p>
    <w:p w14:paraId="656B6F33" w14:textId="77777777" w:rsidR="00000000" w:rsidRDefault="00000000">
      <w:pPr>
        <w:spacing w:after="80" w:line="240" w:lineRule="auto"/>
        <w:ind w:left="403" w:hanging="403"/>
        <w:jc w:val="both"/>
      </w:pPr>
      <w:r>
        <w:rPr>
          <w:color w:val="26343D"/>
        </w:rPr>
        <w:t>[50] A. Geiger, Z. Wu, C. Potts, T. Icard, N. Goodman, “Inducing Causal Structure for Interpretable Neural Networks,” in Proc. 39th Int. Conf. Mach. Learn., vol. 162, pp. 7324–7338, 2022. Available: https://proceedings.mlr.press/v162/geiger22a.html.</w:t>
      </w:r>
    </w:p>
    <w:p w14:paraId="6595E6DE" w14:textId="77777777" w:rsidR="00000000" w:rsidRDefault="00000000">
      <w:pPr>
        <w:spacing w:after="80" w:line="240" w:lineRule="auto"/>
        <w:ind w:left="403" w:hanging="403"/>
        <w:jc w:val="both"/>
      </w:pPr>
      <w:r>
        <w:rPr>
          <w:color w:val="26343D"/>
        </w:rPr>
        <w:t>[51]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sectPr w:rsidR="001E5BD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6362357">
    <w:abstractNumId w:val="8"/>
  </w:num>
  <w:num w:numId="2" w16cid:durableId="175267175">
    <w:abstractNumId w:val="6"/>
  </w:num>
  <w:num w:numId="3" w16cid:durableId="245116796">
    <w:abstractNumId w:val="5"/>
  </w:num>
  <w:num w:numId="4" w16cid:durableId="1601176928">
    <w:abstractNumId w:val="4"/>
  </w:num>
  <w:num w:numId="5" w16cid:durableId="1723865080">
    <w:abstractNumId w:val="7"/>
  </w:num>
  <w:num w:numId="6" w16cid:durableId="1194226735">
    <w:abstractNumId w:val="3"/>
  </w:num>
  <w:num w:numId="7" w16cid:durableId="738215785">
    <w:abstractNumId w:val="2"/>
  </w:num>
  <w:num w:numId="8" w16cid:durableId="301427539">
    <w:abstractNumId w:val="1"/>
  </w:num>
  <w:num w:numId="9" w16cid:durableId="450173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00D"/>
    <w:rsid w:val="001F55CC"/>
    <w:rsid w:val="001F5AFD"/>
    <w:rsid w:val="0029639D"/>
    <w:rsid w:val="00326F90"/>
    <w:rsid w:val="003B1B74"/>
    <w:rsid w:val="00400930"/>
    <w:rsid w:val="00A30B98"/>
    <w:rsid w:val="00A73C22"/>
    <w:rsid w:val="00AA1D8D"/>
    <w:rsid w:val="00B47730"/>
    <w:rsid w:val="00BA4FBD"/>
    <w:rsid w:val="00BE2857"/>
    <w:rsid w:val="00CB0664"/>
    <w:rsid w:val="00CD2089"/>
    <w:rsid w:val="00CE367B"/>
    <w:rsid w:val="00CF624F"/>
    <w:rsid w:val="00EA071B"/>
    <w:rsid w:val="00F24F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A46D3"/>
  <w14:defaultImageDpi w14:val="300"/>
  <w15:docId w15:val="{A8E5FC89-DEE3-4C6F-BA19-A143E6405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 Id="rId15"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16</Pages>
  <Words>8406</Words>
  <Characters>47918</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12</cp:revision>
  <dcterms:created xsi:type="dcterms:W3CDTF">2013-12-23T23:15:00Z</dcterms:created>
  <dcterms:modified xsi:type="dcterms:W3CDTF">2026-10-09T13:23:00Z</dcterms:modified>
  <cp:category/>
</cp:coreProperties>
</file>