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both"/>
      </w:pPr>
      <w:r>
        <w:rPr>
          <w:rFonts w:ascii="Times New Roman" w:hAnsi="Times New Roman"/>
          <w:b/>
          <w:color w:val="000000"/>
          <w:sz w:val="20"/>
        </w:rPr>
        <w:t>Supplementary Material</w:t>
      </w:r>
    </w:p>
    <w:p>
      <w:pPr>
        <w:pStyle w:val="Heading1"/>
        <w:keepNext/>
        <w:jc w:val="both"/>
      </w:pPr>
      <w:r>
        <w:rPr>
          <w:rFonts w:ascii="Times New Roman" w:hAnsi="Times New Roman"/>
          <w:b/>
          <w:color w:val="000000"/>
          <w:sz w:val="20"/>
        </w:rPr>
        <w:t>Patch-Content Fungibility: Geometry, Functional Transmission, and Operator-Aware Token Compression</w:t>
      </w:r>
    </w:p>
    <w:p>
      <w:pPr>
        <w:spacing w:after="100" w:line="259" w:lineRule="auto"/>
        <w:jc w:val="both"/>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jc w:val="both"/>
      </w:pPr>
      <w:r>
        <w:rPr>
          <w:rFonts w:ascii="Times New Roman" w:hAnsi="Times New Roman"/>
          <w:b/>
          <w:color w:val="000000"/>
          <w:sz w:val="20"/>
        </w:rPr>
        <w:t>S1. Evidence map and study design</w:t>
      </w:r>
    </w:p>
    <w:p>
      <w:pPr>
        <w:spacing w:after="100" w:line="259" w:lineRule="auto"/>
        <w:jc w:val="both"/>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p>
      <w:pPr>
        <w:jc w:val="both"/>
      </w:pPr>
      <w:r>
        <w:rPr>
          <w:sz w:val="20"/>
        </w:rPr>
        <w:t>Supplementary evidence map. Summary of evidence families, scientific questions, model coverage, core conditions, and contributions covered by the supplementary analyses.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Evidence family</w:t>
            </w:r>
          </w:p>
        </w:tc>
        <w:tc>
          <w:tcPr>
            <w:tcW w:type="dxa" w:w="1999"/>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Models</w:t>
            </w:r>
          </w:p>
        </w:tc>
        <w:tc>
          <w:tcPr>
            <w:tcW w:type="dxa" w:w="1999"/>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Core conditions</w:t>
            </w:r>
          </w:p>
        </w:tc>
        <w:tc>
          <w:tcPr>
            <w:tcW w:type="dxa" w:w="1999"/>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Contribution</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Depth-dependent replacement</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All four architectures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Geometric compatibility</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All four architectures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Token-position diversity</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All four architectures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All four architectures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Cohorts listed in Table I</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Operator-aware compression</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All four architectures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Practical carrier evaluation</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All four architectures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All four architectures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Characterizes robustness and application limits.</w:t>
            </w:r>
          </w:p>
        </w:tc>
      </w:tr>
    </w:tbl>
    <w:p>
      <w:pPr>
        <w:spacing w:after="20"/>
      </w:pPr>
    </w:p>
    <w:p>
      <w:pPr>
        <w:spacing w:after="100" w:line="259" w:lineRule="auto"/>
        <w:jc w:val="both"/>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jc w:val="both"/>
      </w:pPr>
      <w:r>
        <w:rPr>
          <w:rFonts w:ascii="Times New Roman" w:hAnsi="Times New Roman"/>
          <w:b/>
          <w:color w:val="000000"/>
          <w:sz w:val="20"/>
        </w:rPr>
        <w:t>S2. Depth transition and held-out generalization</w:t>
      </w:r>
    </w:p>
    <w:p>
      <w:pPr>
        <w:spacing w:after="100" w:line="259" w:lineRule="auto"/>
        <w:jc w:val="both"/>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jc w:val="both"/>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jc w:val="both"/>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The exact transition is architecture-dependent, as shown by the cross-architecture replication, where the strongest window occurs at Block 7 for ViT-B and Block 9 for DINOv2.</w:t>
      </w:r>
    </w:p>
    <w:p>
      <w:pPr>
        <w:spacing w:after="100" w:line="259" w:lineRule="auto"/>
        <w:jc w:val="both"/>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jc w:val="both"/>
      </w:pPr>
      <w:r>
        <w:rPr>
          <w:rFonts w:ascii="Times New Roman" w:hAnsi="Times New Roman"/>
          <w:b/>
          <w:color w:val="000000"/>
          <w:sz w:val="20"/>
        </w:rPr>
        <w:t>S3. Prototype geometry controls</w:t>
      </w:r>
    </w:p>
    <w:p>
      <w:pPr>
        <w:spacing w:after="100" w:line="259" w:lineRule="auto"/>
        <w:jc w:val="both"/>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jc w:val="both"/>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jc w:val="both"/>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jc w:val="both"/>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jc w:val="both"/>
      </w:pPr>
      <w:r>
        <w:rPr>
          <w:rFonts w:ascii="Times New Roman" w:hAnsi="Times New Roman"/>
          <w:b/>
          <w:color w:val="000000"/>
          <w:sz w:val="20"/>
        </w:rPr>
        <w:t>S4. Replacement fraction and the complete-stream boundary</w:t>
      </w:r>
    </w:p>
    <w:p>
      <w:pPr>
        <w:spacing w:after="100" w:line="259" w:lineRule="auto"/>
        <w:jc w:val="both"/>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jc w:val="both"/>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jc w:val="both"/>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rPr>
          <w:sz w:val="20"/>
        </w:rP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rPr>
          <w:sz w:val="20"/>
        </w:rP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pStyle w:val="Heading1"/>
        <w:keepNext/>
        <w:jc w:val="both"/>
      </w:pPr>
      <w:r>
        <w:rPr>
          <w:rFonts w:ascii="Times New Roman" w:hAnsi="Times New Roman"/>
          <w:b/>
          <w:color w:val="000000"/>
          <w:sz w:val="20"/>
        </w:rPr>
        <w:t>S5. Causal isolation of token-to-token diversity</w:t>
      </w:r>
    </w:p>
    <w:p>
      <w:pPr>
        <w:spacing w:after="100" w:line="259" w:lineRule="auto"/>
        <w:jc w:val="both"/>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jc w:val="both"/>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jc w:val="both"/>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jc w:val="both"/>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jc w:val="both"/>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rPr>
          <w:sz w:val="20"/>
        </w:rP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jc w:val="both"/>
      </w:pPr>
      <w:r>
        <w:rPr>
          <w:rFonts w:ascii="Times New Roman" w:hAnsi="Times New Roman"/>
          <w:b/>
          <w:color w:val="000000"/>
          <w:sz w:val="20"/>
        </w:rPr>
        <w:t>S6. Low-dimensional variation and amplitude controls</w:t>
      </w:r>
    </w:p>
    <w:p>
      <w:pPr>
        <w:spacing w:after="100" w:line="259" w:lineRule="auto"/>
        <w:jc w:val="both"/>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jc w:val="both"/>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jc w:val="both"/>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rPr>
          <w:sz w:val="20"/>
        </w:rP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rPr>
          <w:sz w:val="20"/>
        </w:rP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rPr>
          <w:sz w:val="20"/>
        </w:rP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jc w:val="both"/>
      </w:pPr>
      <w:r>
        <w:rPr>
          <w:rFonts w:ascii="Times New Roman" w:hAnsi="Times New Roman"/>
          <w:b/>
          <w:color w:val="000000"/>
          <w:sz w:val="20"/>
        </w:rPr>
        <w:t>S7. Cross-model forward-parity and readout controls</w:t>
      </w:r>
    </w:p>
    <w:p>
      <w:pPr>
        <w:spacing w:after="100" w:line="259" w:lineRule="auto"/>
        <w:jc w:val="both"/>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jc w:val="both"/>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distinction explains why direct corruption of the entire patch stream has a stronger observable effect in DINOv2 and is explicitly accounted for in Sections 6--8 of the main paper.</w:t>
      </w:r>
    </w:p>
    <w:p>
      <w:pPr>
        <w:pStyle w:val="Heading1"/>
        <w:keepNext/>
        <w:jc w:val="both"/>
      </w:pPr>
      <w:r>
        <w:rPr>
          <w:rFonts w:ascii="Times New Roman" w:hAnsi="Times New Roman"/>
          <w:b/>
          <w:color w:val="000000"/>
          <w:sz w:val="20"/>
        </w:rPr>
        <w:t>S8. Compression boundary: exact collapse does not imply competitive compression</w:t>
      </w:r>
    </w:p>
    <w:p>
      <w:pPr>
        <w:spacing w:after="100" w:line="259" w:lineRule="auto"/>
        <w:jc w:val="both"/>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jc w:val="both"/>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jc w:val="both"/>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jc w:val="both"/>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jc w:val="both"/>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rPr>
          <w:sz w:val="20"/>
        </w:rP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rPr>
          <w:sz w:val="20"/>
        </w:rP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rPr>
          <w:sz w:val="20"/>
        </w:rP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jc w:val="both"/>
      </w:pPr>
      <w:r>
        <w:rPr>
          <w:rFonts w:ascii="Times New Roman" w:hAnsi="Times New Roman"/>
          <w:b/>
          <w:color w:val="000000"/>
          <w:sz w:val="20"/>
        </w:rPr>
        <w:t>S9. Synthetic carrier banks at matched token budgets</w:t>
      </w:r>
    </w:p>
    <w:p>
      <w:pPr>
        <w:spacing w:after="100" w:line="259" w:lineRule="auto"/>
        <w:jc w:val="both"/>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jc w:val="both"/>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jc w:val="both"/>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rPr>
          <w:sz w:val="20"/>
        </w:rP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jc w:val="both"/>
      </w:pPr>
      <w:r>
        <w:rPr>
          <w:rFonts w:ascii="Times New Roman" w:hAnsi="Times New Roman"/>
          <w:b/>
          <w:color w:val="000000"/>
          <w:sz w:val="20"/>
        </w:rPr>
        <w:t>S10. Statistical and reproducibility notes</w:t>
      </w:r>
    </w:p>
    <w:p>
      <w:pPr>
        <w:spacing w:after="100" w:line="259" w:lineRule="auto"/>
        <w:jc w:val="both"/>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jc w:val="both"/>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jc w:val="both"/>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jc w:val="both"/>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Analysis</w:t>
            </w:r>
          </w:p>
        </w:tc>
        <w:tc>
          <w:tcPr>
            <w:tcW w:type="dxa" w:w="3331"/>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Stochastic seeds and aggregation</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Figure 2: DeiT-Tiny/Small depth sweep</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Figure 3(a): DeiT geometry controls</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Figure 3(b): DeiT grouped diversity</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Supplementary dense-fraction sweep</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Strict confirmatory compression</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9101; evaluation 9201</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Fixed cohort; no seed-level averaging.</w:t>
            </w:r>
          </w:p>
        </w:tc>
      </w:tr>
    </w:tbl>
    <w:p>
      <w:pPr>
        <w:spacing w:after="20"/>
      </w:pPr>
    </w:p>
    <w:p>
      <w:pPr>
        <w:pStyle w:val="Heading1"/>
        <w:keepNext/>
        <w:jc w:val="both"/>
      </w:pPr>
      <w:r>
        <w:rPr>
          <w:rFonts w:ascii="Times New Roman" w:hAnsi="Times New Roman"/>
          <w:b/>
          <w:color w:val="000000"/>
          <w:sz w:val="20"/>
        </w:rPr>
        <w:t>S11. Cross-architecture mechanistic evidence</w:t>
      </w:r>
    </w:p>
    <w:p>
      <w:pPr>
        <w:spacing w:after="100" w:line="259" w:lineRule="auto"/>
        <w:jc w:val="both"/>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jc w:val="both"/>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Architecture</w:t>
            </w:r>
          </w:p>
        </w:tc>
        <w:tc>
          <w:tcPr>
            <w:tcW w:type="dxa" w:w="142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D, patches</w:t>
            </w:r>
          </w:p>
        </w:tc>
        <w:tc>
          <w:tcPr>
            <w:tcW w:type="dxa" w:w="142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Depth-10 near-null count, 10⁻⁴/10⁻²</w:t>
            </w:r>
          </w:p>
        </w:tc>
      </w:tr>
      <w:tr>
        <w:tc>
          <w:tcPr>
            <w:tcW w:type="dxa" w:w="142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DeiT-Tiny</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192, 196</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0.0891</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2.58 × 10⁻³</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0.52% → 31.77%</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0.541 → 0.125</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1 / 154</w:t>
            </w:r>
          </w:p>
        </w:tc>
      </w:tr>
      <w:tr>
        <w:tc>
          <w:tcPr>
            <w:tcW w:type="dxa" w:w="142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DeiT-Small</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384, 196</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0.0409</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3.52 × 10⁻⁴</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0.26% → 57.03%</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0.467 → 0.114</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47 / 327</w:t>
            </w:r>
          </w:p>
        </w:tc>
      </w:tr>
      <w:tr>
        <w:tc>
          <w:tcPr>
            <w:tcW w:type="dxa" w:w="142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ViT-B/16 AugReg</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768, 196</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65.2</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1.53 × 10⁻⁵</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0.26% → 49.61%</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0.383 → 0.140</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41 / 641</w:t>
            </w:r>
          </w:p>
        </w:tc>
      </w:tr>
      <w:tr>
        <w:tc>
          <w:tcPr>
            <w:tcW w:type="dxa" w:w="142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DINOv2 ViT-S/14</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384, 256</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0.199</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9.75 × 10⁻⁴</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0.26% → 1.56%</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0.453 → 0.323</w:t>
            </w:r>
          </w:p>
        </w:tc>
        <w:tc>
          <w:tcPr>
            <w:tcW w:type="dxa" w:w="142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1 / 249</w:t>
            </w:r>
          </w:p>
        </w:tc>
      </w:tr>
    </w:tbl>
    <w:p>
      <w:pPr>
        <w:spacing w:after="20"/>
      </w:pPr>
    </w:p>
    <w:p>
      <w:pPr>
        <w:spacing w:after="100" w:line="259" w:lineRule="auto"/>
        <w:jc w:val="both"/>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jc w:val="both"/>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rPr>
          <w:sz w:val="20"/>
        </w:rP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jc w:val="both"/>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jc w:val="both"/>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Architecture</w:t>
            </w:r>
          </w:p>
        </w:tc>
        <w:tc>
          <w:tcPr>
            <w:tcW w:type="dxa" w:w="249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Operator</w:t>
            </w:r>
          </w:p>
        </w:tc>
        <w:tc>
          <w:tcPr>
            <w:tcW w:type="dxa" w:w="249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Pearson r (95% CI)</w:t>
            </w:r>
          </w:p>
        </w:tc>
        <w:tc>
          <w:tcPr>
            <w:tcW w:type="dxa" w:w="2498"/>
            <w:vAlign w:val="center"/>
            <w:tcMar>
              <w:top w:w="55" w:type="dxa"/>
              <w:start w:w="65" w:type="dxa"/>
              <w:bottom w:w="55" w:type="dxa"/>
              <w:end w:w="65" w:type="dxa"/>
            </w:tcMar>
            <w:shd w:fill="DCEBF2"/>
          </w:tcPr>
          <w:p>
            <w:pPr>
              <w:spacing w:after="0" w:line="240" w:lineRule="auto"/>
              <w:jc w:val="center"/>
            </w:pPr>
            <w:r>
              <w:rPr>
                <w:sz w:val="20"/>
              </w:rPr>
            </w:r>
            <w:r>
              <w:rPr>
                <w:rFonts w:ascii="Times New Roman" w:hAnsi="Times New Roman"/>
                <w:b/>
                <w:color w:val="17232D"/>
                <w:sz w:val="20"/>
              </w:rPr>
              <w:t>Spearman ρ (95% CI)</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DeiT-Tiny</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Single-block A₈</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0.806 [0.773, 0.843]</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0.720 [0.681, 0.757]</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DeiT-Tiny</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End-to-end J₈→L</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0.964 [0.955, 0.974]</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0.964 [0.951, 0.973]</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DeiT-Small</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Single-block A₈</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0.753 [0.719, 0.790]</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0.735 [0.696, 0.772]</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DeiT-Small</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End-to-end J₈→L</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0.975 [0.966, 0.983]</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0.945 [0.932, 0.958]</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ViT-B/16 AugReg</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Single-block A₈</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0.757 [0.728, 0.786]</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0.725 [0.684, 0.766]</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ViT-B/16 AugReg</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End-to-end J₈→L</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0.954 [0.938, 0.970]</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0.934 [0.911, 0.953]</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DINOv2 ViT-S/14</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Single-block A₈</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0.883 [0.861, 0.903]</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0.829 [0.781, 0.869]</w:t>
            </w:r>
          </w:p>
        </w:tc>
      </w:tr>
      <w:tr>
        <w:tc>
          <w:tcPr>
            <w:tcW w:type="dxa" w:w="2498"/>
            <w:vAlign w:val="center"/>
            <w:tcMar>
              <w:top w:w="55" w:type="dxa"/>
              <w:start w:w="65" w:type="dxa"/>
              <w:bottom w:w="55" w:type="dxa"/>
              <w:end w:w="65" w:type="dxa"/>
            </w:tcMar>
          </w:tcPr>
          <w:p>
            <w:pPr>
              <w:spacing w:after="0" w:line="240" w:lineRule="auto"/>
            </w:pPr>
            <w:r>
              <w:rPr>
                <w:sz w:val="20"/>
              </w:rPr>
            </w:r>
            <w:r>
              <w:rPr>
                <w:rFonts w:ascii="Times New Roman" w:hAnsi="Times New Roman"/>
                <w:b w:val="0"/>
                <w:color w:val="202A32"/>
                <w:sz w:val="20"/>
              </w:rPr>
              <w:t>DINOv2 ViT-S/14</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End-to-end J₈→L</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0.946 [0.941, 0.952]</w:t>
            </w:r>
          </w:p>
        </w:tc>
        <w:tc>
          <w:tcPr>
            <w:tcW w:type="dxa" w:w="2498"/>
            <w:vAlign w:val="center"/>
            <w:tcMar>
              <w:top w:w="55" w:type="dxa"/>
              <w:start w:w="65" w:type="dxa"/>
              <w:bottom w:w="55" w:type="dxa"/>
              <w:end w:w="65" w:type="dxa"/>
            </w:tcMar>
          </w:tcPr>
          <w:p>
            <w:pPr>
              <w:spacing w:after="0" w:line="240" w:lineRule="auto"/>
              <w:jc w:val="center"/>
            </w:pPr>
            <w:r>
              <w:rPr>
                <w:sz w:val="20"/>
              </w:rPr>
            </w:r>
            <w:r>
              <w:rPr>
                <w:rFonts w:ascii="Times New Roman" w:hAnsi="Times New Roman"/>
                <w:b w:val="0"/>
                <w:color w:val="202A32"/>
                <w:sz w:val="20"/>
              </w:rPr>
              <w:t>0.944 [0.932, 0.956]</w:t>
            </w:r>
          </w:p>
        </w:tc>
      </w:tr>
    </w:tbl>
    <w:p>
      <w:pPr>
        <w:spacing w:after="20"/>
      </w:pPr>
    </w:p>
    <w:p>
      <w:pPr>
        <w:spacing w:after="100" w:line="259" w:lineRule="auto"/>
        <w:jc w:val="both"/>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pStyle w:val="Heading1"/>
        <w:keepNext/>
        <w:jc w:val="both"/>
      </w:pPr>
      <w:r>
        <w:rPr>
          <w:rFonts w:ascii="Times New Roman" w:hAnsi="Times New Roman"/>
          <w:b/>
          <w:color w:val="000000"/>
          <w:sz w:val="20"/>
        </w:rPr>
        <w:t>S12. Primary Q/K/V projection-path comparison</w:t>
      </w:r>
    </w:p>
    <w:p>
      <w:pPr>
        <w:spacing w:after="100" w:line="259" w:lineRule="auto"/>
        <w:jc w:val="both"/>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rPr>
          <w:sz w:val="20"/>
        </w:rPr>
        <w:drawing>
          <wp:inline xmlns:a="http://schemas.openxmlformats.org/drawingml/2006/main" xmlns:pic="http://schemas.openxmlformats.org/drawingml/2006/picture">
            <wp:extent cx="6172200" cy="2459702"/>
            <wp:docPr id="12" name="Picture 12"/>
            <wp:cNvGraphicFramePr>
              <a:graphicFrameLocks noChangeAspect="1"/>
            </wp:cNvGraphicFramePr>
            <a:graphic>
              <a:graphicData uri="http://schemas.openxmlformats.org/drawingml/2006/picture">
                <pic:pic>
                  <pic:nvPicPr>
                    <pic:cNvPr id="0" name="figureS12_primary_qkv_decomposition.png"/>
                    <pic:cNvPicPr/>
                  </pic:nvPicPr>
                  <pic:blipFill>
                    <a:blip r:embed="rId20"/>
                    <a:stretch>
                      <a:fillRect/>
                    </a:stretch>
                  </pic:blipFill>
                  <pic:spPr>
                    <a:xfrm>
                      <a:off x="0" y="0"/>
                      <a:ext cx="6172200" cy="2459702"/>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keepNext/>
        <w:keepLines/>
        <w:spacing w:after="80"/>
      </w:pPr>
      <w:r>
        <w:rPr>
          <w:sz w:val="20"/>
        </w:rPr>
        <w:t>The signed true-class logit drop is the clean target-class logit minus the perturbed target-class logit, averaged over the same N=100 outcome images.</w:t>
      </w:r>
    </w:p>
    <w:p>
      <w:pPr>
        <w:keepNext/>
        <w:keepLines/>
        <w:spacing w:after="80"/>
      </w:pPr>
      <w:r>
        <w:rPr>
          <w:sz w:val="20"/>
        </w:rPr>
        <w:t>Contrast(c) = mean true-class logit drop (coherent, c) − mean true-class logit drop (random-sign, c).</w:t>
      </w:r>
    </w:p>
    <w:p>
      <w:pPr>
        <w:keepNext/>
        <w:keepLines/>
        <w:spacing w:after="80"/>
      </w:pPr>
      <w:r>
        <w:rPr>
          <w:sz w:val="20"/>
        </w:rPr>
        <w:t>Ratio (%) = 100 × Contrast(frozen-attention V-only with perturbed residual) / Contrast(full perturbation).</w:t>
      </w:r>
    </w:p>
    <w:p>
      <w:pPr>
        <w:keepNext/>
        <w:keepLines/>
        <w:spacing w:after="80"/>
      </w:pPr>
      <w:r>
        <w:rPr>
          <w:sz w:val="20"/>
        </w:rPr>
        <w:t>The contrasts use feature_dir=jac_top and s=1.0. Both ViT-B/16 AugReg contrasts are negative. Its 102.2% ratio is the quotient of two signed contrasts; it does not indicate more than 100% causal contribution because the interventions are not additive causal components.</w:t>
      </w:r>
    </w:p>
    <w:p>
      <w:pPr>
        <w:keepNext/>
        <w:keepLines/>
        <w:spacing w:after="80"/>
      </w:pPr>
      <w:r>
        <w:rPr>
          <w:b/>
          <w:sz w:val="20"/>
        </w:rPr>
        <w:t>Table S4.</w:t>
      </w:r>
      <w:r>
        <w:rPr>
          <w:sz w:val="20"/>
        </w:rPr>
        <w:t xml:space="preserve"> Signed true-class logit-drop contrasts for the primary Value-path audit.</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cantSplit/>
        </w:trPr>
        <w:tc>
          <w:tcPr>
            <w:tcW w:type="dxa" w:w="1368"/>
            <w:vAlign w:val="center"/>
          </w:tcPr>
          <w:p>
            <w:pPr>
              <w:spacing w:after="0" w:before="0"/>
              <w:jc w:val="left"/>
            </w:pPr>
            <w:r>
              <w:rPr>
                <w:sz w:val="20"/>
              </w:rPr>
              <w:t>Model</w:t>
            </w:r>
          </w:p>
        </w:tc>
        <w:tc>
          <w:tcPr>
            <w:tcW w:type="dxa" w:w="1267"/>
            <w:vAlign w:val="center"/>
          </w:tcPr>
          <w:p>
            <w:pPr>
              <w:spacing w:after="0" w:before="0"/>
              <w:jc w:val="left"/>
            </w:pPr>
            <w:r>
              <w:rPr>
                <w:sz w:val="20"/>
              </w:rPr>
              <w:t>Intervention depth</w:t>
            </w:r>
          </w:p>
        </w:tc>
        <w:tc>
          <w:tcPr>
            <w:tcW w:type="dxa" w:w="2232"/>
            <w:vAlign w:val="center"/>
          </w:tcPr>
          <w:p>
            <w:pPr>
              <w:spacing w:after="0" w:before="0"/>
              <w:jc w:val="left"/>
            </w:pPr>
            <w:r>
              <w:rPr>
                <w:sz w:val="20"/>
              </w:rPr>
              <w:t>Full-block coherent-minus-random-sign contrast</w:t>
            </w:r>
          </w:p>
        </w:tc>
        <w:tc>
          <w:tcPr>
            <w:tcW w:type="dxa" w:w="3139"/>
            <w:vAlign w:val="center"/>
          </w:tcPr>
          <w:p>
            <w:pPr>
              <w:spacing w:after="0" w:before="0"/>
              <w:jc w:val="left"/>
            </w:pPr>
            <w:r>
              <w:rPr>
                <w:sz w:val="20"/>
              </w:rPr>
              <w:t>Frozen-attention V-only with perturbed-residual contrast</w:t>
            </w:r>
          </w:p>
        </w:tc>
        <w:tc>
          <w:tcPr>
            <w:tcW w:type="dxa" w:w="864"/>
            <w:vAlign w:val="center"/>
          </w:tcPr>
          <w:p>
            <w:pPr>
              <w:spacing w:after="0" w:before="0"/>
              <w:jc w:val="center"/>
            </w:pPr>
            <w:r>
              <w:rPr>
                <w:sz w:val="20"/>
              </w:rPr>
              <w:t>Ratio</w:t>
            </w:r>
          </w:p>
        </w:tc>
      </w:tr>
      <w:tr>
        <w:trPr>
          <w:cantSplit/>
        </w:trPr>
        <w:tc>
          <w:tcPr>
            <w:tcW w:type="dxa" w:w="1368"/>
            <w:vAlign w:val="center"/>
          </w:tcPr>
          <w:p>
            <w:pPr>
              <w:spacing w:after="0" w:before="0"/>
              <w:jc w:val="left"/>
            </w:pPr>
            <w:r>
              <w:rPr>
                <w:sz w:val="20"/>
              </w:rPr>
              <w:t>DeiT-Small</w:t>
            </w:r>
          </w:p>
        </w:tc>
        <w:tc>
          <w:tcPr>
            <w:tcW w:type="dxa" w:w="1267"/>
            <w:vAlign w:val="center"/>
          </w:tcPr>
          <w:p>
            <w:pPr>
              <w:spacing w:after="0" w:before="0"/>
              <w:jc w:val="left"/>
            </w:pPr>
            <w:r>
              <w:rPr>
                <w:sz w:val="20"/>
              </w:rPr>
              <w:t>Block 8</w:t>
            </w:r>
          </w:p>
        </w:tc>
        <w:tc>
          <w:tcPr>
            <w:tcW w:type="dxa" w:w="2232"/>
            <w:vAlign w:val="center"/>
          </w:tcPr>
          <w:p>
            <w:pPr>
              <w:spacing w:after="0" w:before="0"/>
              <w:jc w:val="left"/>
            </w:pPr>
            <w:r>
              <w:rPr>
                <w:sz w:val="20"/>
              </w:rPr>
              <w:t>+0.006282993</w:t>
            </w:r>
          </w:p>
        </w:tc>
        <w:tc>
          <w:tcPr>
            <w:tcW w:type="dxa" w:w="3139"/>
            <w:vAlign w:val="center"/>
          </w:tcPr>
          <w:p>
            <w:pPr>
              <w:spacing w:after="0" w:before="0"/>
              <w:jc w:val="left"/>
            </w:pPr>
            <w:r>
              <w:rPr>
                <w:sz w:val="20"/>
              </w:rPr>
              <w:t>+0.004448350</w:t>
            </w:r>
          </w:p>
        </w:tc>
        <w:tc>
          <w:tcPr>
            <w:tcW w:type="dxa" w:w="864"/>
            <w:vAlign w:val="center"/>
          </w:tcPr>
          <w:p>
            <w:pPr>
              <w:spacing w:after="0" w:before="0"/>
              <w:jc w:val="center"/>
            </w:pPr>
            <w:r>
              <w:rPr>
                <w:sz w:val="20"/>
              </w:rPr>
              <w:t>70.8%</w:t>
            </w:r>
          </w:p>
        </w:tc>
      </w:tr>
      <w:tr>
        <w:trPr>
          <w:cantSplit/>
        </w:trPr>
        <w:tc>
          <w:tcPr>
            <w:tcW w:type="dxa" w:w="1368"/>
            <w:vAlign w:val="center"/>
          </w:tcPr>
          <w:p>
            <w:pPr>
              <w:spacing w:after="0" w:before="0"/>
              <w:jc w:val="left"/>
            </w:pPr>
            <w:r>
              <w:rPr>
                <w:sz w:val="20"/>
              </w:rPr>
              <w:t>ViT-B/16 AugReg</w:t>
            </w:r>
          </w:p>
        </w:tc>
        <w:tc>
          <w:tcPr>
            <w:tcW w:type="dxa" w:w="1267"/>
            <w:vAlign w:val="center"/>
          </w:tcPr>
          <w:p>
            <w:pPr>
              <w:spacing w:after="0" w:before="0"/>
              <w:jc w:val="left"/>
            </w:pPr>
            <w:r>
              <w:rPr>
                <w:sz w:val="20"/>
              </w:rPr>
              <w:t>Block 7</w:t>
            </w:r>
          </w:p>
        </w:tc>
        <w:tc>
          <w:tcPr>
            <w:tcW w:type="dxa" w:w="2232"/>
            <w:vAlign w:val="center"/>
          </w:tcPr>
          <w:p>
            <w:pPr>
              <w:spacing w:after="0" w:before="0"/>
              <w:jc w:val="left"/>
            </w:pPr>
            <w:r>
              <w:rPr>
                <w:sz w:val="20"/>
              </w:rPr>
              <w:t>−0.247199488</w:t>
            </w:r>
          </w:p>
        </w:tc>
        <w:tc>
          <w:tcPr>
            <w:tcW w:type="dxa" w:w="3139"/>
            <w:vAlign w:val="center"/>
          </w:tcPr>
          <w:p>
            <w:pPr>
              <w:spacing w:after="0" w:before="0"/>
              <w:jc w:val="left"/>
            </w:pPr>
            <w:r>
              <w:rPr>
                <w:sz w:val="20"/>
              </w:rPr>
              <w:t>−0.252697120</w:t>
            </w:r>
          </w:p>
        </w:tc>
        <w:tc>
          <w:tcPr>
            <w:tcW w:type="dxa" w:w="864"/>
            <w:vAlign w:val="center"/>
          </w:tcPr>
          <w:p>
            <w:pPr>
              <w:spacing w:after="0" w:before="0"/>
              <w:jc w:val="center"/>
            </w:pPr>
            <w:r>
              <w:rPr>
                <w:sz w:val="20"/>
              </w:rPr>
              <w:t>102.2%</w:t>
            </w:r>
          </w:p>
        </w:tc>
      </w:tr>
    </w:tbl>
    <w:p>
      <w:pPr>
        <w:pStyle w:val="Heading1"/>
        <w:keepNext/>
        <w:jc w:val="both"/>
      </w:pPr>
      <w:r>
        <w:rPr>
          <w:rFonts w:ascii="Times New Roman" w:hAnsi="Times New Roman"/>
          <w:b/>
          <w:color w:val="000000"/>
          <w:sz w:val="20"/>
        </w:rPr>
        <w:t>S13. Measured classifier-carrier boundary</w:t>
      </w:r>
    </w:p>
    <w:p>
      <w:pPr>
        <w:keepNext/>
        <w:spacing w:after="100" w:line="259" w:lineRule="auto"/>
        <w:jc w:val="both"/>
      </w:pPr>
      <w:r>
        <w:rPr>
          <w:rFonts w:ascii="Times New Roman" w:hAnsi="Times New Roman"/>
          <w:i w:val="0"/>
          <w:color w:val="202A32"/>
          <w:sz w:val="20"/>
        </w:rPr>
        <w:t>The held-out classifier-carrier study reports accuracy and measured full-model throughput at batch size 64. The q=16 variant contributes a narrow ViT-B/16 AugReg point to the tested frontier; the figure does not imply a general deployment gain.</w:t>
      </w:r>
    </w:p>
    <w:p>
      <w:pPr>
        <w:keepNext/>
        <w:keepLines/>
        <w:spacing w:after="20"/>
        <w:jc w:val="center"/>
      </w:pPr>
      <w:r>
        <w:rPr>
          <w:sz w:val="20"/>
        </w:rPr>
        <w:drawing>
          <wp:inline xmlns:a="http://schemas.openxmlformats.org/drawingml/2006/main" xmlns:pic="http://schemas.openxmlformats.org/drawingml/2006/picture">
            <wp:extent cx="6172200" cy="3897608"/>
            <wp:docPr id="13" name="Picture 13"/>
            <wp:cNvGraphicFramePr>
              <a:graphicFrameLocks noChangeAspect="1"/>
            </wp:cNvGraphicFramePr>
            <a:graphic>
              <a:graphicData uri="http://schemas.openxmlformats.org/drawingml/2006/picture">
                <pic:pic>
                  <pic:nvPicPr>
                    <pic:cNvPr id="0" name="figureS13_real_carrier_boundary.png"/>
                    <pic:cNvPicPr/>
                  </pic:nvPicPr>
                  <pic:blipFill>
                    <a:blip r:embed="rId21"/>
                    <a:stretch>
                      <a:fillRect/>
                    </a:stretch>
                  </pic:blipFill>
                  <pic:spPr>
                    <a:xfrm>
                      <a:off x="0" y="0"/>
                      <a:ext cx="6172200" cy="3897608"/>
                    </a:xfrm>
                    <a:prstGeom prst="rect"/>
                  </pic:spPr>
                </pic:pic>
              </a:graphicData>
            </a:graphic>
          </wp:inline>
        </w:drawing>
      </w:r>
    </w:p>
    <w:p>
      <w:pPr>
        <w:keepLines/>
        <w:spacing w:after="100" w:line="259" w:lineRule="auto"/>
        <w:jc w:val="both"/>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keepLines/>
        <w:spacing w:after="100" w:line="259" w:lineRule="auto"/>
        <w:jc w:val="both"/>
      </w:pPr>
      <w:r>
        <w:rPr>
          <w:rFonts w:ascii="Times New Roman" w:hAnsi="Times New Roman"/>
          <w:sz w:val="20"/>
        </w:rPr>
        <w:t>The joint-stream depth grid covers DeiT-Small at depths 5, 8, and 10 and ViT-B/16 AugReg at depths 5, 7, and 10. DeiT-Tiny and DINOv2 were assessed only in reduced Block-8 replications and are not included in this six-panel grid. For each model, the same N=100-image cohort estimates the feature directions and scores outcomes; these measurements are not held out.</w:t>
      </w:r>
    </w:p>
    <w:p>
      <w:pPr>
        <w:keepLines/>
        <w:spacing w:after="100" w:line="259" w:lineRule="auto"/>
        <w:jc w:val="center"/>
      </w:pPr>
      <w:r>
        <w:drawing>
          <wp:inline xmlns:a="http://schemas.openxmlformats.org/drawingml/2006/main" xmlns:pic="http://schemas.openxmlformats.org/drawingml/2006/picture">
            <wp:extent cx="6172200" cy="4421690"/>
            <wp:docPr id="14" name="Picture 14"/>
            <wp:cNvGraphicFramePr>
              <a:graphicFrameLocks noChangeAspect="1"/>
            </wp:cNvGraphicFramePr>
            <a:graphic>
              <a:graphicData uri="http://schemas.openxmlformats.org/drawingml/2006/picture">
                <pic:pic>
                  <pic:nvPicPr>
                    <pic:cNvPr id="0" name="figureS14_joint_stream_geometry.png"/>
                    <pic:cNvPicPr/>
                  </pic:nvPicPr>
                  <pic:blipFill>
                    <a:blip r:embed="rId22"/>
                    <a:stretch>
                      <a:fillRect/>
                    </a:stretch>
                  </pic:blipFill>
                  <pic:spPr>
                    <a:xfrm>
                      <a:off x="0" y="0"/>
                      <a:ext cx="6172200" cy="4421690"/>
                    </a:xfrm>
                    <a:prstGeom prst="rect"/>
                  </pic:spPr>
                </pic:pic>
              </a:graphicData>
            </a:graphic>
          </wp:inline>
        </w:drawing>
      </w:r>
    </w:p>
    <w:p>
      <w:pPr>
        <w:keepLines/>
        <w:spacing w:after="100" w:line="259" w:lineRule="auto"/>
        <w:jc w:val="both"/>
      </w:pPr>
      <w:r>
        <w:rPr>
          <w:rFonts w:ascii="Times New Roman" w:hAnsi="Times New Roman"/>
          <w:b/>
          <w:sz w:val="20"/>
        </w:rPr>
        <w:t>Supplementary Figure S14.</w:t>
      </w:r>
      <w:r>
        <w:rPr>
          <w:rFonts w:ascii="Times New Roman" w:hAnsi="Times New Roman"/>
          <w:sz w:val="20"/>
        </w:rPr>
        <w:t xml:space="preserve"> Mean per-image final-logit L₂ change at s=1 across the six model–depth combinations listed above. Each panel shows the same eight token-space patterns by five feature-space directions, with the shared logarithmic color scale used in Figure 6. “Grad. top” and “Grad. near-null” denote the joint-stream audit’s mean patch-margin-gradient directions; PC1, Random, and Centroid follow their Figure 6 definitions. The same N=100-image cohort per model estimates directions and scores outcomes.</w:t>
      </w:r>
    </w:p>
    <w:p>
      <w:pPr>
        <w:pStyle w:val="Heading1"/>
        <w:keepNext/>
        <w:jc w:val="both"/>
      </w:pPr>
      <w:r>
        <w:rPr>
          <w:rFonts w:ascii="Times New Roman" w:hAnsi="Times New Roman"/>
          <w:b/>
          <w:sz w:val="20"/>
        </w:rPr>
        <w:t>Code and data availability</w:t>
      </w:r>
    </w:p>
    <w:p>
      <w:pPr>
        <w:spacing w:after="100" w:line="259" w:lineRule="auto"/>
        <w:jc w:val="both"/>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