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rPr>
          <w:rFonts w:ascii="Times New Roman" w:hAnsi="Times New Roman"/>
          <w:b/>
          <w:color w:val="17232D"/>
          <w:sz w:val="36"/>
        </w:rPr>
        <w:t>Patch-Content Fungibility: Geometry, Functional Transmission, and Operator-Aware Token Compression</w:t>
      </w:r>
    </w:p>
    <w:p>
      <w:pPr>
        <w:spacing w:after="100" w:line="259" w:lineRule="auto"/>
      </w:pPr>
      <w:r>
        <w:rPr>
          <w:rFonts w:ascii="Times New Roman" w:hAnsi="Times New Roman"/>
          <w:i w:val="0"/>
          <w:color w:val="202A32"/>
          <w:sz w:val="20"/>
        </w:rPr>
        <w:t>Anonymous Authors</w:t>
      </w:r>
    </w:p>
    <w:p>
      <w:pPr>
        <w:spacing w:after="100" w:line="259" w:lineRule="auto"/>
      </w:pPr>
      <w:r>
        <w:rPr>
          <w:rFonts w:ascii="Times New Roman" w:hAnsi="Times New Roman"/>
          <w:i w:val="0"/>
          <w:color w:val="202A32"/>
          <w:sz w:val="20"/>
        </w:rPr>
        <w:t>Under review</w:t>
      </w:r>
    </w:p>
    <w:p>
      <w:pPr>
        <w:pStyle w:val="Heading1"/>
        <w:keepNext/>
      </w:pPr>
      <w:r>
        <w:rPr>
          <w:rFonts w:ascii="Times New Roman" w:hAnsi="Times New Roman"/>
          <w:b/>
          <w:color w:val="173D52"/>
          <w:sz w:val="28"/>
        </w:rPr>
        <w:t>Abstract</w:t>
      </w:r>
    </w:p>
    <w:p>
      <w:pPr>
        <w:spacing w:after="100" w:line="259" w:lineRule="auto"/>
      </w:pPr>
      <w:r>
        <w:rPr>
          <w:rFonts w:ascii="Times New Roman" w:hAnsi="Times New Roman"/>
          <w:i w:val="0"/>
          <w:color w:val="202A32"/>
          <w:sz w:val="20"/>
        </w:rPr>
        <w:t>Vision transformers represent an image as a fixed sequence of patch slots, yet the role of each slot’s image-specific content in late layers remains unclear. We causally replace selected late-layer patch activations with class-agnostic calibration surrogates while preserving token slots, sequence length, model weights, and all subsequent computation. In the tested models, this fixed-slot content replacement reveals conditional fungibility bounded by feature geometry and token diversity, distinct from token pruning or merging. Mechanistic audits associate replaceability with anisotropic downstream transmission, coherent accumulation and cancellation through the attention value path, and a larger functional near-null subspace in later layers. We use an end-to-end downstream Jacobian to define a compression objective and evaluate it on 1,000 held-out images per architecture. At the most aggressive tested budgets, operator-aware variants improve classification accuracy by 4.2–12.0 percentage points over the strongest pruning baseline for each architecture; the accuracy-token frontier shifts on three of four architectures, while a strong merging baseline remains competitive. A separate classifier-carrier study shows that gains in linearized operator space do not reliably improve nonlinear classification or establish a general deployment frontier. The evidence supports a bounded vision-transformer-specific causal chain from fixed-slot patch-content replacement through geometry and coherent functional transmission to downstream compression, with limited translation to practical carrier corrections.</w:t>
      </w:r>
    </w:p>
    <w:p>
      <w:pPr>
        <w:pStyle w:val="Heading1"/>
        <w:keepNext/>
      </w:pPr>
      <w:r>
        <w:rPr>
          <w:rFonts w:ascii="Times New Roman" w:hAnsi="Times New Roman"/>
          <w:b/>
          <w:color w:val="173D52"/>
          <w:sz w:val="28"/>
        </w:rPr>
        <w:t>1. Introduction</w:t>
      </w:r>
    </w:p>
    <w:p>
      <w:pPr>
        <w:spacing w:after="100" w:line="259" w:lineRule="auto"/>
      </w:pPr>
      <w:r>
        <w:rPr>
          <w:rFonts w:ascii="Times New Roman" w:hAnsi="Times New Roman"/>
          <w:i w:val="0"/>
          <w:color w:val="202A32"/>
          <w:sz w:val="20"/>
        </w:rPr>
        <w:t xml:space="preserve">Transformers use self-attention to mix token representations </w:t>
      </w:r>
      <w:r>
        <w:rPr>
          <w:rFonts w:ascii="Times New Roman" w:hAnsi="Times New Roman"/>
          <w:color w:val="202A32"/>
          <w:sz w:val="20"/>
        </w:rPr>
        <w:t>[1]</w:t>
      </w:r>
      <w:r>
        <w:rPr>
          <w:rFonts w:ascii="Times New Roman" w:hAnsi="Times New Roman"/>
          <w:i w:val="0"/>
          <w:color w:val="202A32"/>
          <w:sz w:val="20"/>
        </w:rPr>
        <w:t xml:space="preserve">, while vision transformers (ViTs) represent an image as a sequence of patch embeddings </w:t>
      </w:r>
      <w:r>
        <w:rPr>
          <w:rFonts w:ascii="Times New Roman" w:hAnsi="Times New Roman"/>
          <w:color w:val="202A32"/>
          <w:sz w:val="20"/>
        </w:rPr>
        <w:t>[2]</w:t>
      </w:r>
      <w:r>
        <w:rPr>
          <w:rFonts w:ascii="Times New Roman" w:hAnsi="Times New Roman"/>
          <w:i w:val="0"/>
          <w:color w:val="202A32"/>
          <w:sz w:val="20"/>
        </w:rPr>
        <w:t xml:space="preserve">. Published ViT families include data-efficient supervised training </w:t>
      </w:r>
      <w:r>
        <w:rPr>
          <w:rFonts w:ascii="Times New Roman" w:hAnsi="Times New Roman"/>
          <w:color w:val="202A32"/>
          <w:sz w:val="20"/>
        </w:rPr>
        <w:t>[3]</w:t>
      </w:r>
      <w:r>
        <w:rPr>
          <w:rFonts w:ascii="Times New Roman" w:hAnsi="Times New Roman"/>
          <w:i w:val="0"/>
          <w:color w:val="202A32"/>
          <w:sz w:val="20"/>
        </w:rPr>
        <w:t xml:space="preserve">, self-supervised representations </w:t>
      </w:r>
      <w:r>
        <w:rPr>
          <w:rFonts w:ascii="Times New Roman" w:hAnsi="Times New Roman"/>
          <w:color w:val="202A32"/>
          <w:sz w:val="20"/>
        </w:rPr>
        <w:t>[4], [5]</w:t>
      </w:r>
      <w:r>
        <w:rPr>
          <w:rFonts w:ascii="Times New Roman" w:hAnsi="Times New Roman"/>
          <w:i w:val="0"/>
          <w:color w:val="202A32"/>
          <w:sz w:val="20"/>
        </w:rPr>
        <w:t xml:space="preserve">, hierarchical attention </w:t>
      </w:r>
      <w:r>
        <w:rPr>
          <w:rFonts w:ascii="Times New Roman" w:hAnsi="Times New Roman"/>
          <w:color w:val="202A32"/>
          <w:sz w:val="20"/>
        </w:rPr>
        <w:t>[6]</w:t>
      </w:r>
      <w:r>
        <w:rPr>
          <w:rFonts w:ascii="Times New Roman" w:hAnsi="Times New Roman"/>
          <w:i w:val="0"/>
          <w:color w:val="202A32"/>
          <w:sz w:val="20"/>
        </w:rPr>
        <w:t xml:space="preserve">, masked pretraining </w:t>
      </w:r>
      <w:r>
        <w:rPr>
          <w:rFonts w:ascii="Times New Roman" w:hAnsi="Times New Roman"/>
          <w:color w:val="202A32"/>
          <w:sz w:val="20"/>
        </w:rPr>
        <w:t>[7]</w:t>
      </w:r>
      <w:r>
        <w:rPr>
          <w:rFonts w:ascii="Times New Roman" w:hAnsi="Times New Roman"/>
          <w:i w:val="0"/>
          <w:color w:val="202A32"/>
          <w:sz w:val="20"/>
        </w:rPr>
        <w:t xml:space="preserve">, scaling </w:t>
      </w:r>
      <w:r>
        <w:rPr>
          <w:rFonts w:ascii="Times New Roman" w:hAnsi="Times New Roman"/>
          <w:color w:val="202A32"/>
          <w:sz w:val="20"/>
        </w:rPr>
        <w:t>[8]</w:t>
      </w:r>
      <w:r>
        <w:rPr>
          <w:rFonts w:ascii="Times New Roman" w:hAnsi="Times New Roman"/>
          <w:i w:val="0"/>
          <w:color w:val="202A32"/>
          <w:sz w:val="20"/>
        </w:rPr>
        <w:t xml:space="preserve">, training regularization </w:t>
      </w:r>
      <w:r>
        <w:rPr>
          <w:rFonts w:ascii="Times New Roman" w:hAnsi="Times New Roman"/>
          <w:color w:val="202A32"/>
          <w:sz w:val="20"/>
        </w:rPr>
        <w:t>[9]</w:t>
      </w:r>
      <w:r>
        <w:rPr>
          <w:rFonts w:ascii="Times New Roman" w:hAnsi="Times New Roman"/>
          <w:i w:val="0"/>
          <w:color w:val="202A32"/>
          <w:sz w:val="20"/>
        </w:rPr>
        <w:t xml:space="preserve">, and register tokens </w:t>
      </w:r>
      <w:r>
        <w:rPr>
          <w:rFonts w:ascii="Times New Roman" w:hAnsi="Times New Roman"/>
          <w:color w:val="202A32"/>
          <w:sz w:val="20"/>
        </w:rPr>
        <w:t>[10]</w:t>
      </w:r>
      <w:r>
        <w:rPr>
          <w:rFonts w:ascii="Times New Roman" w:hAnsi="Times New Roman"/>
          <w:i w:val="0"/>
          <w:color w:val="202A32"/>
          <w:sz w:val="20"/>
        </w:rPr>
        <w:t>. Token-reduction methods lower computation by changing which tokens are processed or how they are combined. We ask a different question: when does the remaining network require the image-specific content carried by a late patch slot?</w:t>
      </w:r>
    </w:p>
    <w:p>
      <w:pPr>
        <w:spacing w:after="100" w:line="259" w:lineRule="auto"/>
      </w:pPr>
      <w:r>
        <w:rPr>
          <w:rFonts w:ascii="Times New Roman" w:hAnsi="Times New Roman"/>
          <w:i w:val="0"/>
          <w:color w:val="202A32"/>
          <w:sz w:val="20"/>
        </w:rPr>
        <w:t>We answer with a controlled content intervention. At a selected late layer, image-specific patch activations are causally removed and replaced with class-agnostic calibration surrogates while token slots, sequence length, model weights, and all downstream computation are held fixed. The intervention isolates content dependence while preserving the structure of the sequence received by later layers. Replaceability is conditional: tolerated content changes depend on feature geometry and token diversity, and this result does not establish that deleting a token is harmless. Fig. 1 maps the intervention to the geometric constraints, anisotropic and coherent transmission, Value-path cancellation, downstream operator, and compression study.</w:t>
      </w:r>
    </w:p>
    <w:p>
      <w:pPr>
        <w:keepLines/>
        <w:spacing w:after="20"/>
        <w:jc w:val="center"/>
      </w:pPr>
      <w:r>
        <w:drawing>
          <wp:inline xmlns:a="http://schemas.openxmlformats.org/drawingml/2006/main" xmlns:pic="http://schemas.openxmlformats.org/drawingml/2006/picture">
            <wp:extent cx="6172200" cy="3537155"/>
            <wp:docPr id="1" name="Picture 1"/>
            <wp:cNvGraphicFramePr>
              <a:graphicFrameLocks noChangeAspect="1"/>
            </wp:cNvGraphicFramePr>
            <a:graphic>
              <a:graphicData uri="http://schemas.openxmlformats.org/drawingml/2006/picture">
                <pic:pic>
                  <pic:nvPicPr>
                    <pic:cNvPr id="0" name="figure1_overview.png"/>
                    <pic:cNvPicPr/>
                  </pic:nvPicPr>
                  <pic:blipFill>
                    <a:blip r:embed="rId9"/>
                    <a:stretch>
                      <a:fillRect/>
                    </a:stretch>
                  </pic:blipFill>
                  <pic:spPr>
                    <a:xfrm>
                      <a:off x="0" y="0"/>
                      <a:ext cx="6172200" cy="3537155"/>
                    </a:xfrm>
                    <a:prstGeom prst="rect"/>
                  </pic:spPr>
                </pic:pic>
              </a:graphicData>
            </a:graphic>
          </wp:inline>
        </w:drawing>
      </w:r>
    </w:p>
    <w:p>
      <w:pPr>
        <w:spacing w:after="80"/>
        <w:jc w:val="center"/>
      </w:pPr>
      <w:r>
        <w:rPr>
          <w:rFonts w:ascii="Times New Roman" w:hAnsi="Times New Roman"/>
          <w:i/>
          <w:color w:val="4C5963"/>
          <w:sz w:val="17"/>
        </w:rPr>
        <w:t>Fig. 1. Conceptual overview of (a) fixed-slot late-layer patch-content substitution, (b) geometry, token-diversity, and Value-path cancellation constraints, and (c) anisotropic downstream transmission. The schematic summarizes the paper’s mechanisms and is not a quantitative result.</w:t>
      </w:r>
    </w:p>
    <w:p>
      <w:pPr>
        <w:spacing w:after="100" w:line="259" w:lineRule="auto"/>
      </w:pPr>
      <w:r>
        <w:rPr>
          <w:rFonts w:ascii="Times New Roman" w:hAnsi="Times New Roman"/>
          <w:i w:val="0"/>
          <w:color w:val="202A32"/>
          <w:sz w:val="20"/>
        </w:rPr>
        <w:t>The contribution is the connected ViT-specific causal chain: fixed-slot patch-content substitution, geometric and diversity constraints, Value-mediated coherence and cancellation, downstream-persistent functional transmission, and operator-aware token compression. We do not claim novelty for Jacobians, singular-value decompositions, anisotropy in general, token redundancy, pruning, merging, low-rank operators, or generic output-aware compression. The predictor and practical-carrier branch remains secondary: operator-space improvement is observed, but translation to nonlinear classification and deployment is limited in the measured settings.</w:t>
      </w:r>
    </w:p>
    <w:p>
      <w:pPr>
        <w:pStyle w:val="Heading1"/>
        <w:keepNext/>
      </w:pPr>
      <w:r>
        <w:rPr>
          <w:rFonts w:ascii="Times New Roman" w:hAnsi="Times New Roman"/>
          <w:b/>
          <w:color w:val="173D52"/>
          <w:sz w:val="28"/>
        </w:rPr>
        <w:t>2. Related Work</w:t>
      </w:r>
    </w:p>
    <w:p>
      <w:pPr>
        <w:spacing w:after="100" w:line="259" w:lineRule="auto"/>
      </w:pPr>
      <w:r>
        <w:rPr>
          <w:rFonts w:ascii="Times New Roman" w:hAnsi="Times New Roman"/>
          <w:i w:val="0"/>
          <w:color w:val="202A32"/>
          <w:sz w:val="20"/>
        </w:rPr>
        <w:t xml:space="preserve">Token-reduction methods change the sequence or the computation applied to it. DynamicViT and Expediting Vision Transformers via Token Reorganizations (EViT) score or reorganize tokens </w:t>
      </w:r>
      <w:r>
        <w:rPr>
          <w:rFonts w:ascii="Times New Roman" w:hAnsi="Times New Roman"/>
          <w:color w:val="202A32"/>
          <w:sz w:val="20"/>
        </w:rPr>
        <w:t>[11], [12]</w:t>
      </w:r>
      <w:r>
        <w:rPr>
          <w:rFonts w:ascii="Times New Roman" w:hAnsi="Times New Roman"/>
          <w:i w:val="0"/>
          <w:color w:val="202A32"/>
          <w:sz w:val="20"/>
        </w:rPr>
        <w:t xml:space="preserve">; Token Merging (ToMe) combines similar tokens </w:t>
      </w:r>
      <w:r>
        <w:rPr>
          <w:rFonts w:ascii="Times New Roman" w:hAnsi="Times New Roman"/>
          <w:color w:val="202A32"/>
          <w:sz w:val="20"/>
        </w:rPr>
        <w:t>[13]</w:t>
      </w:r>
      <w:r>
        <w:rPr>
          <w:rFonts w:ascii="Times New Roman" w:hAnsi="Times New Roman"/>
          <w:i w:val="0"/>
          <w:color w:val="202A32"/>
          <w:sz w:val="20"/>
        </w:rPr>
        <w:t xml:space="preserve">; A-ViT (Adaptive Tokens for Efficient Vision Transformer) and AdaViT (Adaptive Vision Transformers for Efficient Image Recognition) use adaptive token computation </w:t>
      </w:r>
      <w:r>
        <w:rPr>
          <w:rFonts w:ascii="Times New Roman" w:hAnsi="Times New Roman"/>
          <w:color w:val="202A32"/>
          <w:sz w:val="20"/>
        </w:rPr>
        <w:t>[14], [15]</w:t>
      </w:r>
      <w:r>
        <w:rPr>
          <w:rFonts w:ascii="Times New Roman" w:hAnsi="Times New Roman"/>
          <w:i w:val="0"/>
          <w:color w:val="202A32"/>
          <w:sz w:val="20"/>
        </w:rPr>
        <w:t xml:space="preserve">; and TokenLearner and Token Pooling form smaller, learned or pooled representations </w:t>
      </w:r>
      <w:r>
        <w:rPr>
          <w:rFonts w:ascii="Times New Roman" w:hAnsi="Times New Roman"/>
          <w:color w:val="202A32"/>
          <w:sz w:val="20"/>
        </w:rPr>
        <w:t>[16], [17]</w:t>
      </w:r>
      <w:r>
        <w:rPr>
          <w:rFonts w:ascii="Times New Roman" w:hAnsi="Times New Roman"/>
          <w:i w:val="0"/>
          <w:color w:val="202A32"/>
          <w:sz w:val="20"/>
        </w:rPr>
        <w:t xml:space="preserve">. Adaptive Token Sampling (ATS) and Interpretability-Aware Redundancy Reduction (IA-RED²) select tokens using sampling or redundancy criteria </w:t>
      </w:r>
      <w:r>
        <w:rPr>
          <w:rFonts w:ascii="Times New Roman" w:hAnsi="Times New Roman"/>
          <w:color w:val="202A32"/>
          <w:sz w:val="20"/>
        </w:rPr>
        <w:t>[18], [19]</w:t>
      </w:r>
      <w:r>
        <w:rPr>
          <w:rFonts w:ascii="Times New Roman" w:hAnsi="Times New Roman"/>
          <w:i w:val="0"/>
          <w:color w:val="202A32"/>
          <w:sz w:val="20"/>
        </w:rPr>
        <w:t xml:space="preserve">. Other approaches include PatchDropout, X-Pruner, and global structural pruning </w:t>
      </w:r>
      <w:r>
        <w:rPr>
          <w:rFonts w:ascii="Times New Roman" w:hAnsi="Times New Roman"/>
          <w:color w:val="202A32"/>
          <w:sz w:val="20"/>
        </w:rPr>
        <w:t>[20]–[22]</w:t>
      </w:r>
      <w:r>
        <w:rPr>
          <w:rFonts w:ascii="Times New Roman" w:hAnsi="Times New Roman"/>
          <w:i w:val="0"/>
          <w:color w:val="202A32"/>
          <w:sz w:val="20"/>
        </w:rPr>
        <w:t xml:space="preserve">; joint pruning and squeezing </w:t>
      </w:r>
      <w:r>
        <w:rPr>
          <w:rFonts w:ascii="Times New Roman" w:hAnsi="Times New Roman"/>
          <w:color w:val="202A32"/>
          <w:sz w:val="20"/>
        </w:rPr>
        <w:t>[23]</w:t>
      </w:r>
      <w:r>
        <w:rPr>
          <w:rFonts w:ascii="Times New Roman" w:hAnsi="Times New Roman"/>
          <w:i w:val="0"/>
          <w:color w:val="202A32"/>
          <w:sz w:val="20"/>
        </w:rPr>
        <w:t xml:space="preserve">; and early-exit pruning for dense prediction </w:t>
      </w:r>
      <w:r>
        <w:rPr>
          <w:rFonts w:ascii="Times New Roman" w:hAnsi="Times New Roman"/>
          <w:color w:val="202A32"/>
          <w:sz w:val="20"/>
        </w:rPr>
        <w:t>[24]</w:t>
      </w:r>
      <w:r>
        <w:rPr>
          <w:rFonts w:ascii="Times New Roman" w:hAnsi="Times New Roman"/>
          <w:i w:val="0"/>
          <w:color w:val="202A32"/>
          <w:sz w:val="20"/>
        </w:rPr>
        <w:t xml:space="preserve">. Evo-ViT, Dynamic Grained Encoder, and SPViT adapt token computation or selection </w:t>
      </w:r>
      <w:r>
        <w:rPr>
          <w:rFonts w:ascii="Times New Roman" w:hAnsi="Times New Roman"/>
          <w:color w:val="202A32"/>
          <w:sz w:val="20"/>
        </w:rPr>
        <w:t>[25]–[27]</w:t>
      </w:r>
      <w:r>
        <w:rPr>
          <w:rFonts w:ascii="Times New Roman" w:hAnsi="Times New Roman"/>
          <w:i w:val="0"/>
          <w:color w:val="202A32"/>
          <w:sz w:val="20"/>
        </w:rPr>
        <w:t xml:space="preserve">, while Patch Slimming, Dynamic Transformers, end-to-end sparsity, activation sparsity, and structure-aware pruning explore complementary efficiency settings </w:t>
      </w:r>
      <w:r>
        <w:rPr>
          <w:rFonts w:ascii="Times New Roman" w:hAnsi="Times New Roman"/>
          <w:color w:val="202A32"/>
          <w:sz w:val="20"/>
        </w:rPr>
        <w:t>[28]–[32]</w:t>
      </w:r>
      <w:r>
        <w:rPr>
          <w:rFonts w:ascii="Times New Roman" w:hAnsi="Times New Roman"/>
          <w:i w:val="0"/>
          <w:color w:val="202A32"/>
          <w:sz w:val="20"/>
        </w:rPr>
        <w:t>. These methods establish strong baselines and context, but alter token count, token identity, or computation. Our Patch-Content Fungibility (PCF) intervention instead changes patch content while preserving slots and downstream computation in the tested causal audit.</w:t>
      </w:r>
    </w:p>
    <w:p>
      <w:pPr>
        <w:spacing w:after="100" w:line="259" w:lineRule="auto"/>
      </w:pPr>
      <w:r>
        <w:rPr>
          <w:rFonts w:ascii="Times New Roman" w:hAnsi="Times New Roman"/>
          <w:i w:val="0"/>
          <w:color w:val="202A32"/>
          <w:sz w:val="20"/>
        </w:rPr>
        <w:t xml:space="preserve">Compression by weight or structure pruning has a longer history. Optimal Brain Damage and Optimal Brain Surgeon use sensitivity-based approximations to remove parameters </w:t>
      </w:r>
      <w:r>
        <w:rPr>
          <w:rFonts w:ascii="Times New Roman" w:hAnsi="Times New Roman"/>
          <w:color w:val="202A32"/>
          <w:sz w:val="20"/>
        </w:rPr>
        <w:t>[33], [34]</w:t>
      </w:r>
      <w:r>
        <w:rPr>
          <w:rFonts w:ascii="Times New Roman" w:hAnsi="Times New Roman"/>
          <w:i w:val="0"/>
          <w:color w:val="202A32"/>
          <w:sz w:val="20"/>
        </w:rPr>
        <w:t xml:space="preserve">. Later work studies connection pruning, resource-aware pruning, sparse trainable subnetworks, and movement-based pruning </w:t>
      </w:r>
      <w:r>
        <w:rPr>
          <w:rFonts w:ascii="Times New Roman" w:hAnsi="Times New Roman"/>
          <w:color w:val="202A32"/>
          <w:sz w:val="20"/>
        </w:rPr>
        <w:t>[35]–[38]</w:t>
      </w:r>
      <w:r>
        <w:rPr>
          <w:rFonts w:ascii="Times New Roman" w:hAnsi="Times New Roman"/>
          <w:i w:val="0"/>
          <w:color w:val="202A32"/>
          <w:sz w:val="20"/>
        </w:rPr>
        <w:t xml:space="preserve">. SparseGPT and Wanda study one-shot pruning of large language models (LLMs), while SliceGPT removes dimensions. Singular value decomposition (SVD) is also used for large-language-model compression in the published SVD-LLM method, which applies a truncation-aware variant </w:t>
      </w:r>
      <w:r>
        <w:rPr>
          <w:rFonts w:ascii="Times New Roman" w:hAnsi="Times New Roman"/>
          <w:color w:val="202A32"/>
          <w:sz w:val="20"/>
        </w:rPr>
        <w:t>[39]–[42]</w:t>
      </w:r>
      <w:r>
        <w:rPr>
          <w:rFonts w:ascii="Times New Roman" w:hAnsi="Times New Roman"/>
          <w:i w:val="0"/>
          <w:color w:val="202A32"/>
          <w:sz w:val="20"/>
        </w:rPr>
        <w:t>. These works are relevant precedents for compression, but they do not establish the PCF claim or evaluate the fixed-slot patch-content intervention. We use a downstream operator as an empirical objective for grouping and correcting patch carriers; the Jacobian, singular-value decomposition, and output-sensitive objectives themselves are established tools.</w:t>
      </w:r>
    </w:p>
    <w:p>
      <w:pPr>
        <w:spacing w:after="100" w:line="259" w:lineRule="auto"/>
      </w:pPr>
      <w:r>
        <w:rPr>
          <w:rFonts w:ascii="Times New Roman" w:hAnsi="Times New Roman"/>
          <w:i w:val="0"/>
          <w:color w:val="202A32"/>
          <w:sz w:val="20"/>
        </w:rPr>
        <w:t xml:space="preserve">Interpretability research cautions that attention weights alone need not explain a model’s decision. Controlled studies examine whether attention is explanation and how explanation changes under interventions </w:t>
      </w:r>
      <w:r>
        <w:rPr>
          <w:rFonts w:ascii="Times New Roman" w:hAnsi="Times New Roman"/>
          <w:color w:val="202A32"/>
          <w:sz w:val="20"/>
        </w:rPr>
        <w:t>[43]–[45]</w:t>
      </w:r>
      <w:r>
        <w:rPr>
          <w:rFonts w:ascii="Times New Roman" w:hAnsi="Times New Roman"/>
          <w:i w:val="0"/>
          <w:color w:val="202A32"/>
          <w:sz w:val="20"/>
        </w:rPr>
        <w:t xml:space="preserve">. Attention flow, Integrated Gradients, saliency-map sanity checks, and transformer-specific relevance propagation provide complementary methods for tracing or attributing model behavior </w:t>
      </w:r>
      <w:r>
        <w:rPr>
          <w:rFonts w:ascii="Times New Roman" w:hAnsi="Times New Roman"/>
          <w:color w:val="202A32"/>
          <w:sz w:val="20"/>
        </w:rPr>
        <w:t>[46]–[49]</w:t>
      </w:r>
      <w:r>
        <w:rPr>
          <w:rFonts w:ascii="Times New Roman" w:hAnsi="Times New Roman"/>
          <w:i w:val="0"/>
          <w:color w:val="202A32"/>
          <w:sz w:val="20"/>
        </w:rPr>
        <w:t xml:space="preserve">. Causal abstraction offers a framework for connecting interventions to model-level causal structure </w:t>
      </w:r>
      <w:r>
        <w:rPr>
          <w:rFonts w:ascii="Times New Roman" w:hAnsi="Times New Roman"/>
          <w:color w:val="202A32"/>
          <w:sz w:val="20"/>
        </w:rPr>
        <w:t>[50]</w:t>
      </w:r>
      <w:r>
        <w:rPr>
          <w:rFonts w:ascii="Times New Roman" w:hAnsi="Times New Roman"/>
          <w:i w:val="0"/>
          <w:color w:val="202A32"/>
          <w:sz w:val="20"/>
        </w:rPr>
        <w:t>. Our evidence uses direct activation interventions and held-out prediction of perturbation damage; it is bounded to the tested models, readouts, and cohorts.</w:t>
      </w:r>
    </w:p>
    <w:p>
      <w:pPr>
        <w:pStyle w:val="Heading1"/>
        <w:keepNext/>
      </w:pPr>
      <w:r>
        <w:rPr>
          <w:rFonts w:ascii="Times New Roman" w:hAnsi="Times New Roman"/>
          <w:b/>
          <w:color w:val="173D52"/>
          <w:sz w:val="28"/>
        </w:rPr>
        <w:t>3. Experimental Scope and Measurement Units</w:t>
      </w:r>
    </w:p>
    <w:p>
      <w:pPr>
        <w:spacing w:after="100" w:line="259" w:lineRule="auto"/>
      </w:pPr>
      <w:r>
        <w:rPr>
          <w:rFonts w:ascii="Times New Roman" w:hAnsi="Times New Roman"/>
          <w:i w:val="0"/>
          <w:color w:val="202A32"/>
          <w:sz w:val="20"/>
        </w:rPr>
        <w:t>The paper reports distinct evidence cohorts and keeps their units separate. Table I lists the sampling unit and inference scope for each study. Here, N denotes the count of the stated sampling unit; it is not interchangeable across image-based and perturbation-based studies. Top-1 accuracy means the fraction of evaluated images for which the highest-scoring class equals the ground-truth label.</w:t>
      </w:r>
    </w:p>
    <w:p>
      <w:pPr>
        <w:spacing w:after="100" w:line="259" w:lineRule="auto"/>
      </w:pPr>
      <w:r>
        <w:rPr>
          <w:rFonts w:ascii="Times New Roman" w:hAnsi="Times New Roman"/>
          <w:i w:val="0"/>
          <w:color w:val="202A32"/>
          <w:sz w:val="20"/>
        </w:rPr>
        <w:t>TABLE I</w:t>
      </w:r>
    </w:p>
    <w:p>
      <w:pPr>
        <w:spacing w:after="100" w:line="259" w:lineRule="auto"/>
      </w:pPr>
      <w:r>
        <w:rPr>
          <w:rFonts w:ascii="Times New Roman" w:hAnsi="Times New Roman"/>
          <w:i w:val="0"/>
          <w:color w:val="202A32"/>
          <w:sz w:val="20"/>
        </w:rPr>
        <w:t>EVIDENCE COHORTS AND INFERENCE BOUNDARIES</w:t>
      </w:r>
    </w:p>
    <w:tbl>
      <w:tblPr>
        <w:tblStyle w:val="TableGrid"/>
        <w:tblW w:type="auto" w:w="0"/>
        <w:tblLayout w:type="autofit"/>
        <w:tblLook w:firstColumn="1" w:firstRow="1" w:lastColumn="0" w:lastRow="0" w:noHBand="0" w:noVBand="1" w:val="04A0"/>
      </w:tblPr>
      <w:tblGrid>
        <w:gridCol w:w="2498"/>
        <w:gridCol w:w="2498"/>
        <w:gridCol w:w="2498"/>
        <w:gridCol w:w="2498"/>
      </w:tblGrid>
      <w:tr>
        <w:trPr>
          <w:tblHeader w:val="true"/>
        </w:trPr>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Evidence family</w:t>
            </w:r>
          </w:p>
        </w:tc>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Evaluation unit</w:t>
            </w:r>
          </w:p>
        </w:tc>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Calibration/control unit</w:t>
            </w:r>
          </w:p>
        </w:tc>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Inference scope</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Attention causal audit</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 images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Frozen-attention path controls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Mechanistic evidence only</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Functional geometry</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 images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Threshold-defined subspace analysis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Pilot association only</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Joint-stream geometry</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 images per model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Coherent and sign-varying token patterns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Joint direction/coherence evidence</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Multi-block operator</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 held-out perturbations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Perturbation-level held-out comparison</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Damage-prediction association</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V0.7 activation replacement</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N=1,000 images per model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50% replacement; stated controls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Classifier outcomes for that study</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Depth-6 follow-up</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N=1,000 evaluation images per model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Separate N=1,000-image calibration set per model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Follow-up at the tested layer and replacement fraction</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V0.9 learned-direction replacement</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N=1,000 evaluation images per DeiT model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Disjoint N=1,000-image calibration set per model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Relative learned-versus-random comparison</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Strict confirmatory compression</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N=1,000 held-out images per architecture</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Frozen protocol and architecture-specific budgets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Confirmatory classifier result</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Real classifier-carrier benchmark</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N=1,000 held-out images per architecture</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Separate full-model timing runs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Classification and measured timing</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Operator-space carrier experiments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 held-out operator-space images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Separate operator-space calibration/evaluation protocol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Linearized error; no classification claim</w:t>
            </w:r>
          </w:p>
        </w:tc>
      </w:tr>
    </w:tbl>
    <w:p>
      <w:pPr>
        <w:spacing w:after="20"/>
      </w:pPr>
    </w:p>
    <w:p>
      <w:pPr>
        <w:spacing w:after="80"/>
        <w:jc w:val="center"/>
      </w:pPr>
      <w:r>
        <w:rPr>
          <w:rFonts w:ascii="Times New Roman" w:hAnsi="Times New Roman"/>
          <w:i/>
          <w:color w:val="4C5963"/>
          <w:sz w:val="17"/>
        </w:rPr>
        <w:t>Table I. Sample units are reported as recorded in each study. Image cohorts are separate unless a source explicitly states otherwise; the multi-block unit counts perturbations, and operator-space carrier results do not measure classification.</w:t>
      </w:r>
    </w:p>
    <w:p>
      <w:pPr>
        <w:spacing w:after="100" w:line="259" w:lineRule="auto"/>
      </w:pPr>
      <w:r>
        <w:rPr>
          <w:rFonts w:ascii="Times New Roman" w:hAnsi="Times New Roman"/>
          <w:i w:val="0"/>
          <w:color w:val="202A32"/>
          <w:sz w:val="20"/>
        </w:rPr>
        <w:t>For the intervention, let P_ℓ∈ℝ^{N×D} be the matrix of N patch activations at layer ℓ, and let p_{ℓ,i}∈ℝ^D denote row i. The class-agnostic calibration surrogate for that row is r_{ℓ,i}. The binary indicator m_i is one only for selected slots:</w:t>
      </w:r>
    </w:p>
    <w:p>
      <w:pPr>
        <w:keepLines/>
        <w:spacing w:before="40" w:after="80"/>
        <w:jc w:val="center"/>
      </w:pPr>
      <m:oMathPara>
        <m:oMath>
          <m:r>
            <m:t xml:space="preserve">p̃ₗ,ᵢ=(1−mᵢ)pₗ,ᵢ+mᵢ rₗ,ᵢ, mᵢ∈{0,1}, i=1,…,N.</m:t>
          </m:r>
        </m:oMath>
      </m:oMathPara>
    </w:p>
    <w:p>
      <w:pPr>
        <w:spacing w:after="100" w:line="259" w:lineRule="auto"/>
      </w:pPr>
      <w:r>
        <w:rPr>
          <w:rFonts w:ascii="Times New Roman" w:hAnsi="Times New Roman"/>
          <w:i w:val="0"/>
          <w:color w:val="202A32"/>
          <w:sz w:val="20"/>
        </w:rPr>
        <w:t>Thus, when m_i=0 the original activation remains, and when m_i=1 it is replaced by the corresponding surrogate. The class token, position indices, number of rows, model weights, and subsequent computation remain unchanged. The intervention therefore isolates dependence on image-specific content; it does not test whether deleting a token can be harmless.</w:t>
      </w:r>
    </w:p>
    <w:p>
      <w:pPr>
        <w:spacing w:after="100" w:line="259" w:lineRule="auto"/>
      </w:pPr>
      <w:r>
        <w:rPr>
          <w:rFonts w:ascii="Times New Roman" w:hAnsi="Times New Roman"/>
          <w:i w:val="0"/>
          <w:color w:val="202A32"/>
          <w:sz w:val="20"/>
        </w:rPr>
        <w:t>For compression, an end-to-end Jacobian locally maps a perturbation of the patch matrix at layer ℓ to the measured downstream readout z. The Jacobian is evaluated at the unperturbed activation; its product with a flattened perturbation gives a first-order prediction of the readout change. The full-J oracle uses a per-example Jacobian and is an offline reference, not a deployable inference procedure. Section 6 defines the operator objective and its grouping variables.</w:t>
      </w:r>
    </w:p>
    <w:p>
      <w:pPr>
        <w:pStyle w:val="Heading1"/>
        <w:keepNext/>
      </w:pPr>
      <w:r>
        <w:rPr>
          <w:rFonts w:ascii="Times New Roman" w:hAnsi="Times New Roman"/>
          <w:b/>
          <w:color w:val="173D52"/>
          <w:sz w:val="28"/>
        </w:rPr>
        <w:t>4. Late Patch-Content Fungibility Has Geometric and Diversity Boundaries</w:t>
      </w:r>
    </w:p>
    <w:p>
      <w:pPr>
        <w:spacing w:after="100" w:line="259" w:lineRule="auto"/>
      </w:pPr>
      <w:r>
        <w:rPr>
          <w:rFonts w:ascii="Times New Roman" w:hAnsi="Times New Roman"/>
          <w:i w:val="0"/>
          <w:color w:val="202A32"/>
          <w:sz w:val="20"/>
        </w:rPr>
        <w:t>Across the audited replacement controls, late-layer patch content is more replaceable than early-layer content, but arbitrary substitutions do not preserve function. The original V1 depthwise validation evaluates 1,000 images per architecture under 25% patch replacement. A separately recorded follow-up measured the previously unsampled depth 6 with the same split seeds, replacement fraction, controls, and 1,000-image calibration and evaluation sets for ViT-B/16 AugReg and DINOv2. At depth 6, centroid/Gaussian replacement gives 73.9%/74.9% for ViT-B and 70.6%/74.6% for DINOv2, compared with zero replacement at 71.5%/28.8%; Gaussian values are means over three seeds. Fig. 2 combines that follow-up with the original depths 5, 7, 8, 9, and 10. These results are conditional on the tested models, layer, replacement fraction, calibration distribution, and readout.</w:t>
      </w:r>
    </w:p>
    <w:p>
      <w:pPr>
        <w:keepLines/>
        <w:spacing w:after="20"/>
        <w:jc w:val="center"/>
      </w:pPr>
      <w:r>
        <w:drawing>
          <wp:inline xmlns:a="http://schemas.openxmlformats.org/drawingml/2006/main" xmlns:pic="http://schemas.openxmlformats.org/drawingml/2006/picture">
            <wp:extent cx="6172200" cy="2359499"/>
            <wp:docPr id="2" name="Picture 2"/>
            <wp:cNvGraphicFramePr>
              <a:graphicFrameLocks noChangeAspect="1"/>
            </wp:cNvGraphicFramePr>
            <a:graphic>
              <a:graphicData uri="http://schemas.openxmlformats.org/drawingml/2006/picture">
                <pic:pic>
                  <pic:nvPicPr>
                    <pic:cNvPr id="0" name="figure2_depthwise.png"/>
                    <pic:cNvPicPr/>
                  </pic:nvPicPr>
                  <pic:blipFill>
                    <a:blip r:embed="rId10"/>
                    <a:stretch>
                      <a:fillRect/>
                    </a:stretch>
                  </pic:blipFill>
                  <pic:spPr>
                    <a:xfrm>
                      <a:off x="0" y="0"/>
                      <a:ext cx="6172200" cy="2359499"/>
                    </a:xfrm>
                    <a:prstGeom prst="rect"/>
                  </pic:spPr>
                </pic:pic>
              </a:graphicData>
            </a:graphic>
          </wp:inline>
        </w:drawing>
      </w:r>
    </w:p>
    <w:p>
      <w:pPr>
        <w:spacing w:after="80"/>
        <w:jc w:val="center"/>
      </w:pPr>
      <w:r>
        <w:rPr>
          <w:rFonts w:ascii="Times New Roman" w:hAnsi="Times New Roman"/>
          <w:i/>
          <w:color w:val="4C5963"/>
          <w:sz w:val="17"/>
        </w:rPr>
        <w:t>Fig. 2. Depth-wise replacement accuracy for ViT-B/16 AugReg and DINOv2 under 25% spatial-patch replacement. Original V1 depths are 5, 7, 8, 9, and 10; depth 6 is a separately recorded follow-up. Each evaluation uses N=1,000 images per model. Error bars show Gaussian seed-level standard deviation; dashed lines mark clean accuracy.</w:t>
      </w:r>
    </w:p>
    <w:p>
      <w:pPr>
        <w:spacing w:after="100" w:line="259" w:lineRule="auto"/>
      </w:pPr>
      <w:r>
        <w:rPr>
          <w:rFonts w:ascii="Times New Roman" w:hAnsi="Times New Roman"/>
          <w:i w:val="0"/>
          <w:color w:val="202A32"/>
          <w:sz w:val="20"/>
        </w:rPr>
        <w:t>Geometry and diversity constrain replacement. In the separate V0.7 activation-replacement experiment (N=1,000 images per model; 50% replacement), coordinate permutation changes Top-1 accuracy from 66.3% to 52.2% on DeiT-Tiny and from 75.6% to 62.6% on DeiT-Small; sign inversion reduces it to 0.7% and 1.1%, respectively. These are classifier outcomes from the N=1,000 replacement study. A distinct N=100 DeiT-Small operator-space control finds that shuffling principal component analysis (PCA) coordinates increases mean ‖J E‖ by 1.474 (from 6.602 to 8.076); this is linearized operator-space evidence, not Top-1 accuracy. Fig. 3 compares the audited geometry and token-diversity controls.</w:t>
      </w:r>
    </w:p>
    <w:p>
      <w:pPr>
        <w:keepLines/>
        <w:spacing w:after="20"/>
        <w:jc w:val="center"/>
      </w:pPr>
      <w:r>
        <w:drawing>
          <wp:inline xmlns:a="http://schemas.openxmlformats.org/drawingml/2006/main" xmlns:pic="http://schemas.openxmlformats.org/drawingml/2006/picture">
            <wp:extent cx="6172200" cy="2479776"/>
            <wp:docPr id="3" name="Picture 3"/>
            <wp:cNvGraphicFramePr>
              <a:graphicFrameLocks noChangeAspect="1"/>
            </wp:cNvGraphicFramePr>
            <a:graphic>
              <a:graphicData uri="http://schemas.openxmlformats.org/drawingml/2006/picture">
                <pic:pic>
                  <pic:nvPicPr>
                    <pic:cNvPr id="0" name="figure3_geometry_diversity.png"/>
                    <pic:cNvPicPr/>
                  </pic:nvPicPr>
                  <pic:blipFill>
                    <a:blip r:embed="rId11"/>
                    <a:stretch>
                      <a:fillRect/>
                    </a:stretch>
                  </pic:blipFill>
                  <pic:spPr>
                    <a:xfrm>
                      <a:off x="0" y="0"/>
                      <a:ext cx="6172200" cy="2479776"/>
                    </a:xfrm>
                    <a:prstGeom prst="rect"/>
                  </pic:spPr>
                </pic:pic>
              </a:graphicData>
            </a:graphic>
          </wp:inline>
        </w:drawing>
      </w:r>
    </w:p>
    <w:p>
      <w:pPr>
        <w:spacing w:after="80"/>
        <w:jc w:val="center"/>
      </w:pPr>
      <w:r>
        <w:rPr>
          <w:rFonts w:ascii="Times New Roman" w:hAnsi="Times New Roman"/>
          <w:i/>
          <w:color w:val="4C5963"/>
          <w:sz w:val="17"/>
        </w:rPr>
        <w:t>Fig. 3. (a) V1 geometry controls at 50% replacement for ViT-B/16 AugReg and DINOv2 ViT-S/14 compare a calibration centroid, a coordinate-shuffled centroid, and a sign-inverted centroid. (b) The V0.8 grouped-diversity sweep on DeiT-Tiny and DeiT-Small varies K, the number of distinct replacement vectors across all 196 patch positions. Gray dashed lines mark each model’s clean Top-1 accuracy. Bars and line markers show means; dots show recorded runs; error bars show across-seed standard deviation where repeated seeds are available. Each model uses N=1,000 evaluation images and separate calibration data. These are distinct study cohorts, so conditions should be compared within each panel rather than treated as a matched-model contrast.</w:t>
      </w:r>
    </w:p>
    <w:p>
      <w:pPr>
        <w:spacing w:after="100" w:line="259" w:lineRule="auto"/>
      </w:pPr>
      <w:r>
        <w:rPr>
          <w:rFonts w:ascii="Times New Roman" w:hAnsi="Times New Roman"/>
          <w:i w:val="0"/>
          <w:color w:val="202A32"/>
          <w:sz w:val="20"/>
        </w:rPr>
        <w:t>V0.8 diversity tests show that low-dimensional variation does not restore full performance and that the tested setting requires high-dimensional structure. In the separate V0.9 study, with 100% patch replacement, N=1,000 evaluation images and a disjoint N=1,000 calibration set per DeiT model, learned low-dimensional variation is more compatible than energy-matched random directions. This relative advantage is model- and amplitude-dependent and does not establish rank-1 sufficiency. Taken together, the interventions support constrained replaceability, not universal interchangeability and not a direct inference that tokens can be deleted at no cost.</w:t>
      </w:r>
    </w:p>
    <w:p>
      <w:pPr>
        <w:pStyle w:val="Heading1"/>
        <w:keepNext/>
      </w:pPr>
      <w:r>
        <w:rPr>
          <w:rFonts w:ascii="Times New Roman" w:hAnsi="Times New Roman"/>
          <w:b/>
          <w:color w:val="173D52"/>
          <w:sz w:val="28"/>
        </w:rPr>
        <w:t>5. Anisotropic Transmission, Value-Path Cancellation, and End-to-End Geometry</w:t>
      </w:r>
    </w:p>
    <w:p>
      <w:pPr>
        <w:spacing w:after="100" w:line="259" w:lineRule="auto"/>
      </w:pPr>
      <w:r>
        <w:rPr>
          <w:rFonts w:ascii="Times New Roman" w:hAnsi="Times New Roman"/>
          <w:i w:val="0"/>
          <w:color w:val="202A32"/>
          <w:sz w:val="20"/>
        </w:rPr>
        <w:t>Functional transmission is direction-dependent. In the attention causal audit (N=100 evaluation images), the frozen-attention Value-only path explains 70.8% of the defined coherence-gap margin effect in DeiT-Small and 102.2% in ViT-B. The same path reproduces approximately 97.4% and 99.3% of the immediate readout disturbance, respectively. The ratio above 100% in ViT-B is possible because a secondary contribution partially opposes the Value-path effect. Perturbing patch keys does not change the unperturbed classification-token query in this setup, so the immediate query contribution is zero; key-mediated rerouting remains secondary rather than absent. The frozen-attention algebraic parity check is not independent generalization evidence. Fig. 4 summarizes the audited depth-wise sensitivity pattern, and Fig. 5 compares coherent with sign-varying Value-path transmission.</w:t>
      </w:r>
    </w:p>
    <w:p>
      <w:pPr>
        <w:keepLines/>
        <w:spacing w:after="20"/>
        <w:jc w:val="center"/>
      </w:pPr>
      <w:r>
        <w:drawing>
          <wp:inline xmlns:a="http://schemas.openxmlformats.org/drawingml/2006/main" xmlns:pic="http://schemas.openxmlformats.org/drawingml/2006/picture">
            <wp:extent cx="6172200" cy="2532839"/>
            <wp:docPr id="4" name="Picture 4"/>
            <wp:cNvGraphicFramePr>
              <a:graphicFrameLocks noChangeAspect="1"/>
            </wp:cNvGraphicFramePr>
            <a:graphic>
              <a:graphicData uri="http://schemas.openxmlformats.org/drawingml/2006/picture">
                <pic:pic>
                  <pic:nvPicPr>
                    <pic:cNvPr id="0" name="figure4_anisotropic_geometry.png"/>
                    <pic:cNvPicPr/>
                  </pic:nvPicPr>
                  <pic:blipFill>
                    <a:blip r:embed="rId12"/>
                    <a:stretch>
                      <a:fillRect/>
                    </a:stretch>
                  </pic:blipFill>
                  <pic:spPr>
                    <a:xfrm>
                      <a:off x="0" y="0"/>
                      <a:ext cx="6172200" cy="2532839"/>
                    </a:xfrm>
                    <a:prstGeom prst="rect"/>
                  </pic:spPr>
                </pic:pic>
              </a:graphicData>
            </a:graphic>
          </wp:inline>
        </w:drawing>
      </w:r>
    </w:p>
    <w:p>
      <w:pPr>
        <w:spacing w:after="80"/>
        <w:jc w:val="center"/>
      </w:pPr>
      <w:r>
        <w:rPr>
          <w:rFonts w:ascii="Times New Roman" w:hAnsi="Times New Roman"/>
          <w:i/>
          <w:color w:val="4C5963"/>
          <w:sz w:val="17"/>
        </w:rPr>
        <w:t>Fig. 4. Ratio between the leading-principal-component and bottom-principal-component sensitivity across depths in the N=100 functional-geometry pilot. The vector diagram is explanatory.</w:t>
      </w:r>
    </w:p>
    <w:p>
      <w:pPr>
        <w:keepLines/>
        <w:spacing w:after="20"/>
        <w:jc w:val="center"/>
      </w:pPr>
      <w:r>
        <w:drawing>
          <wp:inline xmlns:a="http://schemas.openxmlformats.org/drawingml/2006/main" xmlns:pic="http://schemas.openxmlformats.org/drawingml/2006/picture">
            <wp:extent cx="6172200" cy="2632480"/>
            <wp:docPr id="5" name="Picture 5"/>
            <wp:cNvGraphicFramePr>
              <a:graphicFrameLocks noChangeAspect="1"/>
            </wp:cNvGraphicFramePr>
            <a:graphic>
              <a:graphicData uri="http://schemas.openxmlformats.org/drawingml/2006/picture">
                <pic:pic>
                  <pic:nvPicPr>
                    <pic:cNvPr id="0" name="figure5_value_path_cancellation.png"/>
                    <pic:cNvPicPr/>
                  </pic:nvPicPr>
                  <pic:blipFill>
                    <a:blip r:embed="rId13"/>
                    <a:stretch>
                      <a:fillRect/>
                    </a:stretch>
                  </pic:blipFill>
                  <pic:spPr>
                    <a:xfrm>
                      <a:off x="0" y="0"/>
                      <a:ext cx="6172200" cy="2632480"/>
                    </a:xfrm>
                    <a:prstGeom prst="rect"/>
                  </pic:spPr>
                </pic:pic>
              </a:graphicData>
            </a:graphic>
          </wp:inline>
        </w:drawing>
      </w:r>
    </w:p>
    <w:p>
      <w:pPr>
        <w:spacing w:after="80"/>
        <w:jc w:val="center"/>
      </w:pPr>
      <w:r>
        <w:rPr>
          <w:rFonts w:ascii="Times New Roman" w:hAnsi="Times New Roman"/>
          <w:i/>
          <w:color w:val="4C5963"/>
          <w:sz w:val="17"/>
        </w:rPr>
        <w:t>Fig. 5. Immediate readout disturbance for Value-only and key-plus-value pathways under coherent, random-sign, and checkerboard patterns in two N=100 attention-audit settings.</w:t>
      </w:r>
    </w:p>
    <w:p>
      <w:pPr>
        <w:spacing w:after="100" w:line="259" w:lineRule="auto"/>
      </w:pPr>
      <w:r>
        <w:rPr>
          <w:rFonts w:ascii="Times New Roman" w:hAnsi="Times New Roman"/>
          <w:i w:val="0"/>
          <w:color w:val="202A32"/>
          <w:sz w:val="20"/>
        </w:rPr>
        <w:t>With attention weights frozen, the Value-only contribution to the perturbation of readout token i is</w:t>
      </w:r>
    </w:p>
    <w:p>
      <w:pPr>
        <w:keepLines/>
        <w:spacing w:before="40" w:after="80"/>
        <w:jc w:val="center"/>
      </w:pPr>
      <m:oMathPara>
        <m:oMath>
          <m:r>
            <m:t xml:space="preserve">Δhᵢⱽ=WₒΣⱼ₌₁ᴺAᵢⱼWᵥδxⱼ.</m:t>
          </m:r>
        </m:oMath>
      </m:oMathPara>
    </w:p>
    <w:p>
      <w:pPr>
        <w:spacing w:after="100" w:line="259" w:lineRule="auto"/>
      </w:pPr>
      <w:r>
        <w:rPr>
          <w:rFonts w:ascii="Times New Roman" w:hAnsi="Times New Roman"/>
          <w:i w:val="0"/>
          <w:color w:val="202A32"/>
          <w:sz w:val="20"/>
        </w:rPr>
        <w:t>Here, A_{ij} is the fixed attention weight from patch j to readout i, W_V and W_O are the Value and output projections, and δx_j is the patch perturbation. When attention weights are held fixed, similarly directed patch perturbations can add through the value aggregation, while sign-varying perturbations can partly cancel. This equation describes the audited Value path; it does not claim that the full nonlinear transformer is globally linear or that the Value path is the only causal route.</w:t>
      </w:r>
    </w:p>
    <w:p>
      <w:pPr>
        <w:spacing w:after="100" w:line="259" w:lineRule="auto"/>
      </w:pPr>
      <w:r>
        <w:rPr>
          <w:rFonts w:ascii="Times New Roman" w:hAnsi="Times New Roman"/>
          <w:i w:val="0"/>
          <w:color w:val="202A32"/>
          <w:sz w:val="20"/>
        </w:rPr>
        <w:t>Local geometry is not sufficient to characterize later readout damage. The multi-block operator study evaluates N=100 held-out perturbations. On these held-out perturbations, damage prediction has higher correlation for the multi-block operator (Pearson r=0.975; Spearman ρ=0.945) than for the single-block operator (r=0.753; ρ=0.735). The mean principal angle from block 8 to block 9 is 49.0 degrees in the reported comparison. Fig. 6 shows this local-versus-end-to-end comparison. Separately, the N=100-image functional-geometry pilot finds that the threshold-defined downstream functional near-null subspace expands with depth while effective functional rank declines in late layers. This is consistent with greater late-layer replacement tolerance measured in separate interventions, but remains an empirical mechanistic association rather than a theorem or universal explanation. A distinct joint-stream geometry audit (N=100 images per model) finds that downstream damage depends jointly on feature direction and token-space coherence: sensitive feature directions are most damaging under coherent token patterns, whereas functionally near-null directions remain comparatively tolerated across the tested patterns.</w:t>
      </w:r>
    </w:p>
    <w:p>
      <w:pPr>
        <w:keepLines/>
        <w:spacing w:after="20"/>
        <w:jc w:val="center"/>
      </w:pPr>
      <w:r>
        <w:drawing>
          <wp:inline xmlns:a="http://schemas.openxmlformats.org/drawingml/2006/main" xmlns:pic="http://schemas.openxmlformats.org/drawingml/2006/picture">
            <wp:extent cx="6172200" cy="2378649"/>
            <wp:docPr id="6" name="Picture 6"/>
            <wp:cNvGraphicFramePr>
              <a:graphicFrameLocks noChangeAspect="1"/>
            </wp:cNvGraphicFramePr>
            <a:graphic>
              <a:graphicData uri="http://schemas.openxmlformats.org/drawingml/2006/picture">
                <pic:pic>
                  <pic:nvPicPr>
                    <pic:cNvPr id="0" name="figure6_end_to_end_operator.png"/>
                    <pic:cNvPicPr/>
                  </pic:nvPicPr>
                  <pic:blipFill>
                    <a:blip r:embed="rId14"/>
                    <a:stretch>
                      <a:fillRect/>
                    </a:stretch>
                  </pic:blipFill>
                  <pic:spPr>
                    <a:xfrm>
                      <a:off x="0" y="0"/>
                      <a:ext cx="6172200" cy="2378649"/>
                    </a:xfrm>
                    <a:prstGeom prst="rect"/>
                  </pic:spPr>
                </pic:pic>
              </a:graphicData>
            </a:graphic>
          </wp:inline>
        </w:drawing>
      </w:r>
    </w:p>
    <w:p>
      <w:pPr>
        <w:spacing w:after="80"/>
        <w:jc w:val="center"/>
      </w:pPr>
      <w:r>
        <w:rPr>
          <w:rFonts w:ascii="Times New Roman" w:hAnsi="Times New Roman"/>
          <w:i/>
          <w:color w:val="4C5963"/>
          <w:sz w:val="17"/>
        </w:rPr>
        <w:t>Fig. 6. Damage-prediction correlation for single-block and end-to-end multi-block operators on 100 held-out perturbations; the diagram summarizes downstream composition, with a 49.0-degree mean principal angle from block 8 to block 9.</w:t>
      </w:r>
    </w:p>
    <w:p>
      <w:pPr>
        <w:spacing w:after="100" w:line="259" w:lineRule="auto"/>
      </w:pPr>
      <w:r>
        <w:rPr>
          <w:rFonts w:ascii="Times New Roman" w:hAnsi="Times New Roman"/>
          <w:i w:val="0"/>
          <w:color w:val="202A32"/>
          <w:sz w:val="20"/>
        </w:rPr>
        <w:t>The end-to-end linearization used in this comparison is</w:t>
      </w:r>
    </w:p>
    <w:p>
      <w:pPr>
        <w:keepLines/>
        <w:spacing w:before="40" w:after="80"/>
        <w:jc w:val="center"/>
      </w:pPr>
      <m:oMathPara>
        <m:oMath>
          <m:r>
            <m:t xml:space="preserve">Jₗ→ᴸ=∂z/∂flat(Pₗ), Δz≈Jₗ→ᴸ flat(ΔPₗ).</m:t>
          </m:r>
        </m:oMath>
      </m:oMathPara>
    </w:p>
    <w:p>
      <w:pPr>
        <w:spacing w:after="100" w:line="259" w:lineRule="auto"/>
      </w:pPr>
      <w:r>
        <w:rPr>
          <w:rFonts w:ascii="Times New Roman" w:hAnsi="Times New Roman"/>
          <w:i w:val="0"/>
          <w:color w:val="202A32"/>
          <w:sz w:val="20"/>
        </w:rPr>
        <w:t>Here, z is the measured downstream readout, and flat(·) denotes the row-major vectorization used by the implementation. The first expression defines the local Jacobian; multiplying it by a flattened perturbation gives the first-order readout-change approximation in the second expression. This is an empirical model of transmission for the tested perturbations, not an exact identity for large perturbations or a universal explanation of transformer behavior.</w:t>
      </w:r>
    </w:p>
    <w:p>
      <w:pPr>
        <w:pStyle w:val="Heading1"/>
        <w:keepNext/>
      </w:pPr>
      <w:r>
        <w:rPr>
          <w:rFonts w:ascii="Times New Roman" w:hAnsi="Times New Roman"/>
          <w:b/>
          <w:color w:val="173D52"/>
          <w:sz w:val="28"/>
        </w:rPr>
        <w:t>6. Confirmatory Operator-Aware Token Compression</w:t>
      </w:r>
    </w:p>
    <w:p>
      <w:pPr>
        <w:spacing w:after="100" w:line="259" w:lineRule="auto"/>
      </w:pPr>
      <w:r>
        <w:rPr>
          <w:rFonts w:ascii="Times New Roman" w:hAnsi="Times New Roman"/>
          <w:i w:val="0"/>
          <w:color w:val="202A32"/>
          <w:sz w:val="20"/>
        </w:rPr>
        <w:t>Strict confirmatory compression uses N=1,000 held-out images per architecture. At each architecture’s most aggressive tested token budget, Table II reports the exact Top-1 comparison among the best pruning baseline, Group Mean, ToMe, the full-J oracle, and its rank-16 and rank-32 approximations. The selected budgets differ by architecture (32 retained tokens for DeiT-Tiny, DeiT-Small, and ViT-B/16; 42 for DINOv2 ViT-S/14), so the rows are within-architecture comparisons rather than a matched token-count experiment. Fig. 7 presents the full accuracy-token curves.</w:t>
      </w:r>
    </w:p>
    <w:p>
      <w:pPr>
        <w:spacing w:after="100" w:line="259" w:lineRule="auto"/>
      </w:pPr>
      <w:r>
        <w:rPr>
          <w:rFonts w:ascii="Times New Roman" w:hAnsi="Times New Roman"/>
          <w:i w:val="0"/>
          <w:color w:val="202A32"/>
          <w:sz w:val="20"/>
        </w:rPr>
        <w:t>TABLE II</w:t>
      </w:r>
    </w:p>
    <w:p>
      <w:pPr>
        <w:spacing w:after="100" w:line="259" w:lineRule="auto"/>
      </w:pPr>
      <w:r>
        <w:rPr>
          <w:rFonts w:ascii="Times New Roman" w:hAnsi="Times New Roman"/>
          <w:i w:val="0"/>
          <w:color w:val="202A32"/>
          <w:sz w:val="20"/>
        </w:rPr>
        <w:t>STRICT CONFIRMATORY TOP-1 ACCURACY AT THE MOST AGGRESSIVE TESTED BUDGET</w:t>
      </w:r>
    </w:p>
    <w:tbl>
      <w:tblPr>
        <w:tblStyle w:val="TableGrid"/>
        <w:tblW w:type="auto" w:w="0"/>
        <w:tblLayout w:type="autofit"/>
        <w:tblLook w:firstColumn="1" w:firstRow="1" w:lastColumn="0" w:lastRow="0" w:noHBand="0" w:noVBand="1" w:val="04A0"/>
      </w:tblPr>
      <w:tblGrid>
        <w:gridCol w:w="1249"/>
        <w:gridCol w:w="1249"/>
        <w:gridCol w:w="1249"/>
        <w:gridCol w:w="1249"/>
        <w:gridCol w:w="1249"/>
        <w:gridCol w:w="1249"/>
        <w:gridCol w:w="1249"/>
        <w:gridCol w:w="1249"/>
      </w:tblGrid>
      <w:tr>
        <w:trPr>
          <w:tblHeader w:val="true"/>
        </w:trPr>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Architecture</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Budget</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Best pruning baseline</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Group Mean</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ToMe</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Full-J oracle</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Rank-16</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Rank-32</w:t>
            </w:r>
          </w:p>
        </w:tc>
      </w:tr>
      <w:tr>
        <w:tc>
          <w:tcPr>
            <w:tcW w:type="dxa" w:w="1249"/>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DeiT-Tiny</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Random, 58.6%</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66.5%</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65.8%</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67.1%</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67.1%</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67.9%</w:t>
            </w:r>
          </w:p>
        </w:tc>
      </w:tr>
      <w:tr>
        <w:tc>
          <w:tcPr>
            <w:tcW w:type="dxa" w:w="1249"/>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DeiT-Small</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Attention, 71.6%</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76.4%</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76.4%</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75.8%</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76.5%</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76.5%</w:t>
            </w:r>
          </w:p>
        </w:tc>
      </w:tr>
      <w:tr>
        <w:tc>
          <w:tcPr>
            <w:tcW w:type="dxa" w:w="1249"/>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ViT-B/16</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Random, 69.2%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73.2%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73.0%</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74.4%</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73.7%</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74.2%</w:t>
            </w:r>
          </w:p>
        </w:tc>
      </w:tr>
      <w:tr>
        <w:tc>
          <w:tcPr>
            <w:tcW w:type="dxa" w:w="1249"/>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DINOv2 ViT-S/14</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42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Random, 61.5%</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72.2%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69.4%</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73.5%</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73.2%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73.0%</w:t>
            </w:r>
          </w:p>
        </w:tc>
      </w:tr>
    </w:tbl>
    <w:p>
      <w:pPr>
        <w:spacing w:after="20"/>
      </w:pPr>
    </w:p>
    <w:p>
      <w:pPr>
        <w:spacing w:after="80"/>
        <w:jc w:val="center"/>
      </w:pPr>
      <w:r>
        <w:rPr>
          <w:rFonts w:ascii="Times New Roman" w:hAnsi="Times New Roman"/>
          <w:i/>
          <w:color w:val="4C5963"/>
          <w:sz w:val="17"/>
        </w:rPr>
        <w:t>Table II. Top-1 accuracy on N=1,000 held-out images per architecture. The pruning entry is the strongest among Random, Norm, and Attention Pruning at the listed budget. The architecture-specific budgets are the lowest budgets evaluated in the strict confirmatory sweep.</w:t>
      </w:r>
    </w:p>
    <w:p>
      <w:pPr>
        <w:spacing w:after="100" w:line="259" w:lineRule="auto"/>
      </w:pPr>
      <w:r>
        <w:rPr>
          <w:rFonts w:ascii="Times New Roman" w:hAnsi="Times New Roman"/>
          <w:i w:val="0"/>
          <w:color w:val="202A32"/>
          <w:sz w:val="20"/>
        </w:rPr>
        <w:t>For each image, N patch tokens are assigned to B carriers. Let S∈{0,1}^{N×B} be the assignment matrix, with exactly one nonzero per row, and let C∈ℝ^{B×D} contain the carrier vectors. The reconstructed patch matrix is P̂=SC. The set G_j contains the patch indices assigned to carrier j, and m_j=|G_j| is its membership count. The Group Mean baseline sets each carrier to the average of the patches assigned to that group:</w:t>
      </w:r>
    </w:p>
    <w:p>
      <w:pPr>
        <w:keepLines/>
        <w:spacing w:before="40" w:after="80"/>
        <w:jc w:val="center"/>
      </w:pPr>
      <m:oMathPara>
        <m:oMath>
          <m:r>
            <m:t xml:space="preserve">cⱼᵐᵉᵃⁿ=(1/mⱼ)Σᵢ∈Gⱼpᵢ, mⱼ=|Gⱼ|.</m:t>
          </m:r>
        </m:oMath>
      </m:oMathPara>
    </w:p>
    <w:p>
      <w:pPr>
        <w:spacing w:after="100" w:line="259" w:lineRule="auto"/>
      </w:pPr>
      <w:r>
        <w:rPr>
          <w:rFonts w:ascii="Times New Roman" w:hAnsi="Times New Roman"/>
          <w:i w:val="0"/>
          <w:color w:val="202A32"/>
          <w:sz w:val="20"/>
        </w:rPr>
        <w:t>The residual matrix E=P−SC contains the difference between the original and reconstructed patches. The operator-aware oracle adjusts the carriers to reduce the Jacobian-predicted effect of this residual on the downstream readout:</w:t>
      </w:r>
    </w:p>
    <w:p>
      <w:pPr>
        <w:keepLines/>
        <w:spacing w:before="40" w:after="80"/>
        <w:jc w:val="center"/>
      </w:pPr>
      <m:oMathPara>
        <m:oMath>
          <m:sSup>
            <m:e>
              <m:r>
                <m:t xml:space="preserve">C</m:t>
              </m:r>
            </m:e>
            <m:sup>
              <m:r>
                <m:t xml:space="preserve">*</m:t>
              </m:r>
            </m:sup>
          </m:sSup>
          <m:r>
            <m:t xml:space="preserve">=</m:t>
          </m:r>
          <m:r>
            <m:t xml:space="preserve">arg </m:t>
          </m:r>
          <m:sSub>
            <m:e>
              <m:r>
                <m:t xml:space="preserve">min</m:t>
              </m:r>
            </m:e>
            <m:sub>
              <m:r>
                <m:t xml:space="preserve">C</m:t>
              </m:r>
            </m:sub>
          </m:sSub>
          <m:r>
            <m:t xml:space="preserve"> ‖Jₗ→ᴸ flat(P−SC)‖₂² + λ</m:t>
          </m:r>
          <m:sSubSup>
            <m:e>
              <m:r>
                <m:t xml:space="preserve">‖P−SC‖</m:t>
              </m:r>
            </m:e>
            <m:sub>
              <m:r>
                <m:t xml:space="preserve">F</m:t>
              </m:r>
            </m:sub>
            <m:sup>
              <m:r>
                <m:t xml:space="preserve">2</m:t>
              </m:r>
            </m:sup>
          </m:sSubSup>
          <m:r>
            <m:t xml:space="preserve">.</m:t>
          </m:r>
        </m:oMath>
      </m:oMathPara>
    </w:p>
    <w:p>
      <w:pPr>
        <w:spacing w:after="100" w:line="259" w:lineRule="auto"/>
      </w:pPr>
      <w:r>
        <w:rPr>
          <w:rFonts w:ascii="Times New Roman" w:hAnsi="Times New Roman"/>
          <w:i w:val="0"/>
          <w:color w:val="202A32"/>
          <w:sz w:val="20"/>
        </w:rPr>
        <w:t>The first term penalizes the readout change predicted by the full downstream Jacobian; the second is a trace-scaled Tikhonov penalty that stabilizes the carrier correction. In the implementation, K_j=Σ_{i∈G_j}J_i is the sum of the Jacobian blocks for patches assigned to carrier j, and Σ=Σ_j K_jK_jᵀ/m_j is the group-size-normalized covariance used to scale regularization. The covariance and regularization scale are</w:t>
      </w:r>
    </w:p>
    <w:p>
      <w:pPr>
        <w:keepLines/>
        <w:spacing w:before="40" w:after="80"/>
        <w:jc w:val="center"/>
      </w:pPr>
      <m:oMathPara>
        <m:oMath>
          <m:r>
            <m:t xml:space="preserve">Kⱼ=Σᵢ∈GⱼJᵢ, Σ=Σⱼ(KⱼKⱼᵀ/mⱼ), λ=10·tr(Σ)/dim(z).</m:t>
          </m:r>
        </m:oMath>
      </m:oMathPara>
    </w:p>
    <w:p>
      <w:pPr>
        <w:spacing w:after="100" w:line="259" w:lineRule="auto"/>
      </w:pPr>
      <w:r>
        <w:rPr>
          <w:rFonts w:ascii="Times New Roman" w:hAnsi="Times New Roman"/>
          <w:i w:val="0"/>
          <w:color w:val="202A32"/>
          <w:sz w:val="20"/>
        </w:rPr>
        <w:t>Here, J_i is the Jacobian block for patch i, the sum runs over all B carrier groups, and dim(z) is the readout dimension. Thus the penalty scale follows the trace of the operator-space covariance and the readout dimension. The full-J solution is computed per image and is an offline oracle, not a deployable inference method. Low-rank approximations reduce the operator basis and are evaluated on the same confirmatory cohort.</w:t>
      </w:r>
    </w:p>
    <w:p>
      <w:pPr>
        <w:spacing w:after="100" w:line="259" w:lineRule="auto"/>
      </w:pPr>
      <w:r>
        <w:rPr>
          <w:rFonts w:ascii="Times New Roman" w:hAnsi="Times New Roman"/>
          <w:i w:val="0"/>
          <w:color w:val="202A32"/>
          <w:sz w:val="20"/>
        </w:rPr>
        <w:t>Across 30,000 method/budget/seed condition rows per architecture, the same 1,000 held-out images are reused across conditions. Operator residual ‖J E‖ is associated with measured logit-L2 distortion: per-architecture Pearson r ranges from 0.739 to 0.866, and Spearman ρ ranges from 0.792 to 0.916. These are condition-level associations, not 120,000 independent images. Rank-16 and rank-32 approximations retain more than 98% of the Group-Mean-to-full-J-oracle compression benefit. This denominator is the benefit from Group Mean to the full-J oracle; it is not an accuracy-recovery ratio, retained spectral energy, practical-predictor recovery, restricted-carrier-oracle recovery, or static-alpha recovery. Fig. 7 reports the confirmatory curves and the audited benefit denominator.</w:t>
      </w:r>
    </w:p>
    <w:p>
      <w:pPr>
        <w:keepLines/>
        <w:spacing w:after="20"/>
        <w:jc w:val="center"/>
      </w:pPr>
      <w:r>
        <w:drawing>
          <wp:inline xmlns:a="http://schemas.openxmlformats.org/drawingml/2006/main" xmlns:pic="http://schemas.openxmlformats.org/drawingml/2006/picture">
            <wp:extent cx="6172200" cy="3663846"/>
            <wp:docPr id="7" name="Picture 7"/>
            <wp:cNvGraphicFramePr>
              <a:graphicFrameLocks noChangeAspect="1"/>
            </wp:cNvGraphicFramePr>
            <a:graphic>
              <a:graphicData uri="http://schemas.openxmlformats.org/drawingml/2006/picture">
                <pic:pic>
                  <pic:nvPicPr>
                    <pic:cNvPr id="0" name="figure7_operator_compression.png"/>
                    <pic:cNvPicPr/>
                  </pic:nvPicPr>
                  <pic:blipFill>
                    <a:blip r:embed="rId15"/>
                    <a:stretch>
                      <a:fillRect/>
                    </a:stretch>
                  </pic:blipFill>
                  <pic:spPr>
                    <a:xfrm>
                      <a:off x="0" y="0"/>
                      <a:ext cx="6172200" cy="3663846"/>
                    </a:xfrm>
                    <a:prstGeom prst="rect"/>
                  </pic:spPr>
                </pic:pic>
              </a:graphicData>
            </a:graphic>
          </wp:inline>
        </w:drawing>
      </w:r>
    </w:p>
    <w:p>
      <w:pPr>
        <w:spacing w:after="80"/>
        <w:jc w:val="center"/>
      </w:pPr>
      <w:r>
        <w:rPr>
          <w:rFonts w:ascii="Times New Roman" w:hAnsi="Times New Roman"/>
          <w:i/>
          <w:color w:val="4C5963"/>
          <w:sz w:val="17"/>
        </w:rPr>
        <w:t>Fig. 7. Confirmatory Top-1 accuracy versus retained patch-token fraction for four architectures and the audited rank-16/32 benefit result. The &gt;98% denominator is the Group-Mean-to-full-J-oracle compression benefit, not an accuracy ratio or spectral energy. Each architecture uses N=1,000 held-out images.</w:t>
      </w:r>
    </w:p>
    <w:p>
      <w:pPr>
        <w:pStyle w:val="Heading1"/>
        <w:keepNext/>
      </w:pPr>
      <w:r>
        <w:rPr>
          <w:rFonts w:ascii="Times New Roman" w:hAnsi="Times New Roman"/>
          <w:b/>
          <w:color w:val="173D52"/>
          <w:sz w:val="28"/>
        </w:rPr>
        <w:t>7. Carrier-Space Results and Practical Boundary</w:t>
      </w:r>
    </w:p>
    <w:p>
      <w:pPr>
        <w:spacing w:after="100" w:line="259" w:lineRule="auto"/>
      </w:pPr>
      <w:r>
        <w:rPr>
          <w:rFonts w:ascii="Times New Roman" w:hAnsi="Times New Roman"/>
          <w:i w:val="0"/>
          <w:color w:val="202A32"/>
          <w:sz w:val="20"/>
        </w:rPr>
        <w:t>The separate carrier branch tests whether corrections can be amortized in a compact PCA feature basis. The operator-space experiment uses N=100 held-out operator-space images and does not measure classification. For DeiT-Small at feature dimension q=16, static Feature-PCA recovers 54.91% of the restricted-oracle ‖J E‖ gain. This is operator-space evidence only. Table III reports the corresponding real classifier-carrier results at the selected budgets.</w:t>
      </w:r>
    </w:p>
    <w:p>
      <w:pPr>
        <w:spacing w:after="100" w:line="259" w:lineRule="auto"/>
      </w:pPr>
      <w:r>
        <w:rPr>
          <w:rFonts w:ascii="Times New Roman" w:hAnsi="Times New Roman"/>
          <w:i w:val="0"/>
          <w:color w:val="202A32"/>
          <w:sz w:val="20"/>
        </w:rPr>
        <w:t>TABLE III</w:t>
      </w:r>
    </w:p>
    <w:p>
      <w:pPr>
        <w:spacing w:after="100" w:line="259" w:lineRule="auto"/>
      </w:pPr>
      <w:r>
        <w:rPr>
          <w:rFonts w:ascii="Times New Roman" w:hAnsi="Times New Roman"/>
          <w:i w:val="0"/>
          <w:color w:val="202A32"/>
          <w:sz w:val="20"/>
        </w:rPr>
        <w:t>REAL CLASSIFIER-CARRIER COUNTS AT REPORTED BUDGETS</w:t>
      </w:r>
    </w:p>
    <w:tbl>
      <w:tblPr>
        <w:tblStyle w:val="TableGrid"/>
        <w:tblW w:type="auto" w:w="0"/>
        <w:tblLayout w:type="autofit"/>
        <w:tblLook w:firstColumn="1" w:firstRow="1" w:lastColumn="0" w:lastRow="0" w:noHBand="0" w:noVBand="1" w:val="04A0"/>
      </w:tblPr>
      <w:tblGrid>
        <w:gridCol w:w="1999"/>
        <w:gridCol w:w="1999"/>
        <w:gridCol w:w="1999"/>
        <w:gridCol w:w="1999"/>
        <w:gridCol w:w="1999"/>
      </w:tblGrid>
      <w:tr>
        <w:trPr>
          <w:tblHeader w:val="true"/>
        </w:trPr>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Architecture</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Budget</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Hybrid Group Mean</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Static Feature-PCA, q=16</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Static Feature-PCA, q=32</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DeiT-Small</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98</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764/1,000 (76.4%)</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763/1,000 (76.3%; −0.1 pp)</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760/1,000 (76.0%; −0.4 pp)</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DeiT-Small</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49</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755/1,000 (75.5%)</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740/1,000 (74.0%; −1.5 pp)</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740/1,000 (74.0%; −1.5 pp)</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DINOv2 ViT-S/14</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42</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613/1,000 (61.3%)</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568/1,000 (56.8%; −4.5 pp)</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570/1,000 (57.0%; −4.3 pp)</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ViT-B/16 AugReg</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49</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712/1,000 (71.2%)</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719/1,000 (71.9%; +0.7 pp)</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716/1,000 (71.6%; +0.4 pp)</w:t>
            </w:r>
          </w:p>
        </w:tc>
      </w:tr>
    </w:tbl>
    <w:p>
      <w:pPr>
        <w:spacing w:after="20"/>
      </w:pPr>
    </w:p>
    <w:p>
      <w:pPr>
        <w:spacing w:after="80"/>
        <w:jc w:val="center"/>
      </w:pPr>
      <w:r>
        <w:rPr>
          <w:rFonts w:ascii="Times New Roman" w:hAnsi="Times New Roman"/>
          <w:i/>
          <w:color w:val="4C5963"/>
          <w:sz w:val="17"/>
        </w:rPr>
        <w:t>Table III. Correct predictions out of 1,000 held-out images and Top-1 accuracy for the separate real classifier-carrier benchmark. Parenthetical differences are percentage-point (pp) changes from Hybrid Group Mean at the same architecture and budget. These rows are not the N=100 operator-space experiment.</w:t>
      </w:r>
    </w:p>
    <w:p>
      <w:pPr>
        <w:spacing w:after="100" w:line="259" w:lineRule="auto"/>
      </w:pPr>
      <w:r>
        <w:rPr>
          <w:rFonts w:ascii="Times New Roman" w:hAnsi="Times New Roman"/>
          <w:i w:val="0"/>
          <w:color w:val="202A32"/>
          <w:sz w:val="20"/>
        </w:rPr>
        <w:t>The real-final benchmark evaluates actual model predictions on N=1,000 held-out images per architecture. Compact Feature-PCA corrections do not consistently improve classification: both DeiT-Small budgets and the aggressive DINOv2 budget are at or below Hybrid Group Mean, while ViT-B/16 has a limited positive case. Fig. S1 shows the separate full-model throughput boundary; it does not establish a general deployment improvement.</w:t>
      </w:r>
    </w:p>
    <w:p>
      <w:pPr>
        <w:keepLines/>
        <w:spacing w:after="20"/>
        <w:jc w:val="center"/>
      </w:pPr>
      <w:r>
        <w:drawing>
          <wp:inline xmlns:a="http://schemas.openxmlformats.org/drawingml/2006/main" xmlns:pic="http://schemas.openxmlformats.org/drawingml/2006/picture">
            <wp:extent cx="6172200" cy="3897608"/>
            <wp:docPr id="8" name="Picture 8"/>
            <wp:cNvGraphicFramePr>
              <a:graphicFrameLocks noChangeAspect="1"/>
            </wp:cNvGraphicFramePr>
            <a:graphic>
              <a:graphicData uri="http://schemas.openxmlformats.org/drawingml/2006/picture">
                <pic:pic>
                  <pic:nvPicPr>
                    <pic:cNvPr id="0" name="figureS1_real_carrier_boundary.png"/>
                    <pic:cNvPicPr/>
                  </pic:nvPicPr>
                  <pic:blipFill>
                    <a:blip r:embed="rId16"/>
                    <a:stretch>
                      <a:fillRect/>
                    </a:stretch>
                  </pic:blipFill>
                  <pic:spPr>
                    <a:xfrm>
                      <a:off x="0" y="0"/>
                      <a:ext cx="6172200" cy="3897608"/>
                    </a:xfrm>
                    <a:prstGeom prst="rect"/>
                  </pic:spPr>
                </pic:pic>
              </a:graphicData>
            </a:graphic>
          </wp:inline>
        </w:drawing>
      </w:r>
    </w:p>
    <w:p>
      <w:pPr>
        <w:spacing w:after="80"/>
        <w:jc w:val="center"/>
      </w:pPr>
      <w:r>
        <w:rPr>
          <w:rFonts w:ascii="Times New Roman" w:hAnsi="Times New Roman"/>
          <w:i/>
          <w:color w:val="4C5963"/>
          <w:sz w:val="17"/>
        </w:rPr>
        <w:t>Fig. S1. Real-final classification and full-model throughput at batch size 64; q=16 has a narrow ViT-B/16 frontier contribution.</w:t>
      </w:r>
    </w:p>
    <w:p>
      <w:pPr>
        <w:spacing w:after="100" w:line="259" w:lineRule="auto"/>
      </w:pPr>
      <w:r>
        <w:rPr>
          <w:rFonts w:ascii="Times New Roman" w:hAnsi="Times New Roman"/>
          <w:i w:val="0"/>
          <w:color w:val="202A32"/>
          <w:sz w:val="20"/>
        </w:rPr>
        <w:t xml:space="preserve">Selective risk gating is also bounded. Its historical operator-space area under the receiver operating characteristic curve (AUROC) is 0.784 and is exploratory; the calibration-frozen real classifier gate does not consistently improve accuracy (DeiT-Small budget 98: 75.8% versus Hybrid Group Mean 76.4%; DINOv2 budget 42: 58.5% versus Hybrid Group Mean 61.3%). For the measured accuracy-throughput frontier, we use only </w:t>
      </w:r>
      <w:r>
        <w:rPr>
          <w:rFonts w:ascii="Consolas" w:hAnsi="Consolas"/>
          <w:color w:val="34495E"/>
          <w:sz w:val="18"/>
        </w:rPr>
        <w:t>outputs/fungibility_real_final/real_accuracy_throughput_frontier.csv</w:t>
      </w:r>
      <w:r>
        <w:rPr>
          <w:rFonts w:ascii="Times New Roman" w:hAnsi="Times New Roman"/>
          <w:i w:val="0"/>
          <w:color w:val="202A32"/>
          <w:sz w:val="20"/>
        </w:rPr>
        <w:t>: Clean is non-dominated in several regimes, Group Mean is a practical batched baseline, and static q=16 adds a narrow ViT-B/16 point at some batch sizes. q=32 and selective q=16 do not establish a general frontier improvement. Full-call measurements are not isolated operator overhead.</w:t>
      </w:r>
    </w:p>
    <w:p>
      <w:pPr>
        <w:spacing w:after="100" w:line="259" w:lineRule="auto"/>
      </w:pPr>
      <w:r>
        <w:rPr>
          <w:rFonts w:ascii="Times New Roman" w:hAnsi="Times New Roman"/>
          <w:i w:val="0"/>
          <w:color w:val="202A32"/>
          <w:sz w:val="20"/>
        </w:rPr>
        <w:t>These results distinguish replaceability from compressibility. Single-token carrier attempts fail; scalar layer prediction does not generalize; a compact shared linear envelope with K≤64 captures little of the tested operator subspace; dynamic alpha prediction fails out of sample; and dynamic operator prediction is costly. Static Feature-PCA may improve linearized operator error without improving Top-1 accuracy, while the selective gate has no general deployment-frontier result. These are negative or bounded findings, not another optimization claim.</w:t>
      </w:r>
    </w:p>
    <w:p>
      <w:pPr>
        <w:pStyle w:val="Heading1"/>
        <w:keepNext/>
      </w:pPr>
      <w:r>
        <w:rPr>
          <w:rFonts w:ascii="Times New Roman" w:hAnsi="Times New Roman"/>
          <w:b/>
          <w:color w:val="173D52"/>
          <w:sz w:val="28"/>
        </w:rPr>
        <w:t>8. Limitations</w:t>
      </w:r>
    </w:p>
    <w:p>
      <w:pPr>
        <w:spacing w:after="100" w:line="259" w:lineRule="auto"/>
      </w:pPr>
      <w:r>
        <w:rPr>
          <w:rFonts w:ascii="Times New Roman" w:hAnsi="Times New Roman"/>
          <w:i w:val="0"/>
          <w:color w:val="202A32"/>
          <w:sz w:val="20"/>
        </w:rPr>
        <w:t>The mechanism studies are finite: N=100 images for the attention causal audit and functional-geometry pilot, N=100 images per model for joint-stream geometry, and N=100 held-out perturbations for multi-block operator prediction. Their conclusions should not be generalized beyond the tested architectures, layers, perturbations, or readouts. Confirmatory results cover four pretrained vision-transformer families and a specific ImageNet validation subset of N=1,000 held-out images per architecture; broader model and task coverage remains untested. The Jacobian objective is a local linearization, and the full-J oracle requires per-image downstream-Jacobian construction. Real carrier classification shows that reducing linearized error is not sufficient for a deployment gain; measured full-call runtime is also specific to the tested hardware, batch sizes, and implementations and does not isolate operator overhead.</w:t>
      </w:r>
    </w:p>
    <w:p>
      <w:pPr>
        <w:pStyle w:val="Heading1"/>
        <w:keepNext/>
      </w:pPr>
      <w:r>
        <w:rPr>
          <w:rFonts w:ascii="Times New Roman" w:hAnsi="Times New Roman"/>
          <w:b/>
          <w:color w:val="173D52"/>
          <w:sz w:val="28"/>
        </w:rPr>
        <w:t>9. Conclusion</w:t>
      </w:r>
    </w:p>
    <w:p>
      <w:pPr>
        <w:spacing w:after="100" w:line="259" w:lineRule="auto"/>
      </w:pPr>
      <w:r>
        <w:rPr>
          <w:rFonts w:ascii="Times New Roman" w:hAnsi="Times New Roman"/>
          <w:i w:val="0"/>
          <w:color w:val="202A32"/>
          <w:sz w:val="20"/>
        </w:rPr>
        <w:t>Late patch activations can be replaceable under constrained geometry and diversity, but that property alone does not imply token deletion or practical acceleration. N=100 mechanism audits connect coherent Value-path transmission and downstream subspace rotation to the need for an end-to-end operator. A strict N=1,000-per-architecture evaluation shows that operator-aware token compression improves over pruning and shifts strong-merging frontiers on three of four architectures, with rank-16/32 retaining more than 98% of the full-J oracle compression benefit. Compact carrier corrections improve operator-space metrics but do not reliably improve classifier accuracy or yield a general measured frontier. This evidence supports a mechanistic result and a bounded constructive compression result, with explicit limits on practical translation.</w:t>
      </w:r>
    </w:p>
    <w:p>
      <w:pPr>
        <w:pStyle w:val="Heading1"/>
        <w:keepNext/>
      </w:pPr>
      <w:r>
        <w:rPr>
          <w:rFonts w:ascii="Times New Roman" w:hAnsi="Times New Roman"/>
          <w:b/>
          <w:color w:val="173D52"/>
          <w:sz w:val="28"/>
        </w:rPr>
        <w:t>Reproducibility and Evidence</w:t>
      </w:r>
    </w:p>
    <w:p>
      <w:pPr>
        <w:spacing w:after="100" w:line="259" w:lineRule="auto"/>
      </w:pPr>
      <w:r>
        <w:rPr>
          <w:rFonts w:ascii="Times New Roman" w:hAnsi="Times New Roman"/>
          <w:i w:val="0"/>
          <w:color w:val="202A32"/>
          <w:sz w:val="20"/>
        </w:rPr>
        <w:t>The canonical repository is [Patch-Content-Fungibility](https://github.com/nhatminh-115/Patch-Content-Fungibility). Confirmatory compression outputs are in outputs/fungibility_operator_compression_confirmatory/; real classifier-carrier accuracy and full-call timings are in outputs/fungibility_real_final/. The figure and number traceability maps identify source files and sample units. Historical proxy-backed consolidation tables are not empirical support for this manuscript.</w:t>
      </w:r>
    </w:p>
    <w:p>
      <w:pPr>
        <w:pStyle w:val="Heading1"/>
      </w:pPr>
      <w:r>
        <w:t>References</w:t>
      </w:r>
    </w:p>
    <w:p>
      <w:pPr>
        <w:spacing w:after="80" w:line="240" w:lineRule="auto"/>
        <w:ind w:left="403" w:hanging="403"/>
      </w:pPr>
      <w:r>
        <w:rPr>
          <w:rFonts w:ascii="Times New Roman" w:hAnsi="Times New Roman"/>
          <w:color w:val="26343D"/>
          <w:sz w:val="17"/>
        </w:rPr>
        <w:t>[1] A. Vaswani, N. Shazeer, N. Parmar, J. Uszkoreit, L. Jones, A. N. Gomez, et al., “Attention is All you Need,” in Advances in Neural Information Processing Systems, vol. 30, pp. 5998–6008, 2017. Available: https://proceedings.neurips.cc/paper_files/paper/2017/hash/3f5ee243547dee91fbd053c1c4a845aa-Abstract.html.</w:t>
      </w:r>
    </w:p>
    <w:p>
      <w:pPr>
        <w:spacing w:after="80" w:line="240" w:lineRule="auto"/>
        <w:ind w:left="403" w:hanging="403"/>
      </w:pPr>
      <w:r>
        <w:rPr>
          <w:rFonts w:ascii="Times New Roman" w:hAnsi="Times New Roman"/>
          <w:color w:val="26343D"/>
          <w:sz w:val="17"/>
        </w:rPr>
        <w:t>[2] A. Dosovitskiy, L. Beyer, A. Kolesnikov, D. Weissenborn, X. Zhai, T. Unterthiner, et al., “An Image is Worth 16x16 Words: Transformers for Image Recognition at Scale,” in Proc. Int. Conf. Learn. Represent., 2021. Available: https://openreview.net/forum?id=YicbFdNTTy.</w:t>
      </w:r>
    </w:p>
    <w:p>
      <w:pPr>
        <w:spacing w:after="80" w:line="240" w:lineRule="auto"/>
        <w:ind w:left="403" w:hanging="403"/>
      </w:pPr>
      <w:r>
        <w:rPr>
          <w:rFonts w:ascii="Times New Roman" w:hAnsi="Times New Roman"/>
          <w:color w:val="26343D"/>
          <w:sz w:val="17"/>
        </w:rPr>
        <w:t>[3] H. Touvron, M. Cord, M. Douze, F. Massa, A. Sablayrolles, H. Jégou, “Training data-efficient image transformers &amp; distillation through attention,” in Proc. 38th Int. Conf. Mach. Learn., vol. 139, pp. 10347–10357, 2021. Available: https://proceedings.mlr.press/v139/touvron21a.html.</w:t>
      </w:r>
    </w:p>
    <w:p>
      <w:pPr>
        <w:spacing w:after="80" w:line="240" w:lineRule="auto"/>
        <w:ind w:left="403" w:hanging="403"/>
      </w:pPr>
      <w:r>
        <w:rPr>
          <w:rFonts w:ascii="Times New Roman" w:hAnsi="Times New Roman"/>
          <w:color w:val="26343D"/>
          <w:sz w:val="17"/>
        </w:rPr>
        <w:t>[4] M. Caron, H. Touvron, I. Misra, H. Jégou, J. Mairal, P. Bojanowski, et al., “Emerging Properties in Self-Supervised Vision Transformers,” in Proc. IEEE/CVF Int. Conf. Comput. Vis., pp. 9650–9660, 2021. DOI: 10.1109/ICCV48922.2021.00951.</w:t>
      </w:r>
    </w:p>
    <w:p>
      <w:pPr>
        <w:spacing w:after="80" w:line="240" w:lineRule="auto"/>
        <w:ind w:left="403" w:hanging="403"/>
      </w:pPr>
      <w:r>
        <w:rPr>
          <w:rFonts w:ascii="Times New Roman" w:hAnsi="Times New Roman"/>
          <w:color w:val="26343D"/>
          <w:sz w:val="17"/>
        </w:rPr>
        <w:t>[5] M. Oquab, T. Darcet, T. Moutakanni, H. Vo, M. Szafraniec, V. Khalidov, et al., “DINOv2: Learning Robust Visual Features without Supervision,” in Transactions on Machine Learning Research, 2024. Available: https://openreview.net/forum?id=a68SUt6zFt.</w:t>
      </w:r>
    </w:p>
    <w:p>
      <w:pPr>
        <w:spacing w:after="80" w:line="240" w:lineRule="auto"/>
        <w:ind w:left="403" w:hanging="403"/>
      </w:pPr>
      <w:r>
        <w:rPr>
          <w:rFonts w:ascii="Times New Roman" w:hAnsi="Times New Roman"/>
          <w:color w:val="26343D"/>
          <w:sz w:val="17"/>
        </w:rPr>
        <w:t>[6] Z. Liu, Y. Lin, Y. Cao, H. Hu, Y. Wei, Z. Zhang, et al., “Swin Transformer: Hierarchical Vision Transformer Using Shifted Windows,” in Proc. IEEE/CVF Int. Conf. Comput. Vis., pp. 10012–10022, 2021. DOI: 10.1109/ICCV48922.2021.00986.</w:t>
      </w:r>
    </w:p>
    <w:p>
      <w:pPr>
        <w:spacing w:after="80" w:line="240" w:lineRule="auto"/>
        <w:ind w:left="403" w:hanging="403"/>
      </w:pPr>
      <w:r>
        <w:rPr>
          <w:rFonts w:ascii="Times New Roman" w:hAnsi="Times New Roman"/>
          <w:color w:val="26343D"/>
          <w:sz w:val="17"/>
        </w:rPr>
        <w:t>[7] K. He, X. Chen, S. Xie, Y. Li, P. Dollár, R. Girshick, “Masked Autoencoders Are Scalable Vision Learners,” in Proc. IEEE/CVF Conf. Comput. Vis. Pattern Recognit., pp. 16000–16009, 2022. DOI: 10.1109/CVPR52688.2022.01553.</w:t>
      </w:r>
    </w:p>
    <w:p>
      <w:pPr>
        <w:spacing w:after="80" w:line="240" w:lineRule="auto"/>
        <w:ind w:left="403" w:hanging="403"/>
      </w:pPr>
      <w:r>
        <w:rPr>
          <w:rFonts w:ascii="Times New Roman" w:hAnsi="Times New Roman"/>
          <w:color w:val="26343D"/>
          <w:sz w:val="17"/>
        </w:rPr>
        <w:t>[8] X. Zhai, A. Kolesnikov, N. Houlsby, L. Beyer, “Scaling Vision Transformers,” in Proc. IEEE/CVF Conf. Comput. Vis. Pattern Recognit., pp. 12104–12113, 2022. DOI: 10.1109/CVPR52688.2022.01179.</w:t>
      </w:r>
    </w:p>
    <w:p>
      <w:pPr>
        <w:spacing w:after="80" w:line="240" w:lineRule="auto"/>
        <w:ind w:left="403" w:hanging="403"/>
      </w:pPr>
      <w:r>
        <w:rPr>
          <w:rFonts w:ascii="Times New Roman" w:hAnsi="Times New Roman"/>
          <w:color w:val="26343D"/>
          <w:sz w:val="17"/>
        </w:rPr>
        <w:t>[9] A. Steiner, A. Kolesnikov, X. Zhai, R. Wightman, J. Uszkoreit, L. Beyer, “How to Train Your ViT? Data, Augmentation, and Regularization in Vision Transformers,” in Transactions on Machine Learning Research, 2022. Available: https://openreview.net/forum?id=4nPswr1KcP.</w:t>
      </w:r>
    </w:p>
    <w:p>
      <w:pPr>
        <w:spacing w:after="80" w:line="240" w:lineRule="auto"/>
        <w:ind w:left="403" w:hanging="403"/>
      </w:pPr>
      <w:r>
        <w:rPr>
          <w:rFonts w:ascii="Times New Roman" w:hAnsi="Times New Roman"/>
          <w:color w:val="26343D"/>
          <w:sz w:val="17"/>
        </w:rPr>
        <w:t>[10] T. Darcet, M. Oquab, J. Mairal, P. Bojanowski, “Vision Transformers Need Registers,” in Proc. Int. Conf. Learn. Represent., 2024. Available: https://openreview.net/forum?id=L6T2bA1sJN.</w:t>
      </w:r>
    </w:p>
    <w:p>
      <w:pPr>
        <w:spacing w:after="80" w:line="240" w:lineRule="auto"/>
        <w:ind w:left="403" w:hanging="403"/>
      </w:pPr>
      <w:r>
        <w:rPr>
          <w:rFonts w:ascii="Times New Roman" w:hAnsi="Times New Roman"/>
          <w:color w:val="26343D"/>
          <w:sz w:val="17"/>
        </w:rPr>
        <w:t>[11] Y. Rao, W. Zhao, B. Liu, J. Lu, J. Zhou, C.-J. Hsieh, “DynamicViT: Efficient Vision Transformers with Dynamic Token Sparsification,” in Advances in Neural Information Processing Systems, vol. 34, pp. 13937–13949, 2021. Available: https://proceedings.neurips.cc/paper/2021/hash/747d3443e319a22747fbb873e8b2f9f2-Abstract.html.</w:t>
      </w:r>
    </w:p>
    <w:p>
      <w:pPr>
        <w:spacing w:after="80" w:line="240" w:lineRule="auto"/>
        <w:ind w:left="403" w:hanging="403"/>
      </w:pPr>
      <w:r>
        <w:rPr>
          <w:rFonts w:ascii="Times New Roman" w:hAnsi="Times New Roman"/>
          <w:color w:val="26343D"/>
          <w:sz w:val="17"/>
        </w:rPr>
        <w:t>[12] Y. Liang, C. Ge, Z. Tong, Y. Song, J. Wang, P. Xie, “Not All Patches Are What You Need: Expediting Vision Transformers via Token Reorganizations,” in Proc. Int. Conf. Learn. Represent., 2022. Available: https://openreview.net/forum?id=I90fplp5b3.</w:t>
      </w:r>
    </w:p>
    <w:p>
      <w:pPr>
        <w:spacing w:after="80" w:line="240" w:lineRule="auto"/>
        <w:ind w:left="403" w:hanging="403"/>
      </w:pPr>
      <w:r>
        <w:rPr>
          <w:rFonts w:ascii="Times New Roman" w:hAnsi="Times New Roman"/>
          <w:color w:val="26343D"/>
          <w:sz w:val="17"/>
        </w:rPr>
        <w:t>[13] D. Bolya, C.-Y. Fu, X. Dai, P. Zhang, C. Feichtenhofer, J. Hoffman, “Token Merging: Your ViT But Faster,” in Proc. Int. Conf. Learn. Represent., 2023. Available: https://openreview.net/forum?id=JroZRaRw7Eu.</w:t>
      </w:r>
    </w:p>
    <w:p>
      <w:pPr>
        <w:spacing w:after="80" w:line="240" w:lineRule="auto"/>
        <w:ind w:left="403" w:hanging="403"/>
      </w:pPr>
      <w:r>
        <w:rPr>
          <w:rFonts w:ascii="Times New Roman" w:hAnsi="Times New Roman"/>
          <w:color w:val="26343D"/>
          <w:sz w:val="17"/>
        </w:rPr>
        <w:t>[14] H. Yin, A. Vahdat, J. M. Alvarez, A. Mallya, J. Kautz, P. Molchanov, “A-ViT: Adaptive Tokens for Efficient Vision Transformer,” in Proc. IEEE/CVF Conf. Comput. Vis. Pattern Recognit., pp. 10809–10818, 2022. DOI: 10.1109/CVPR52688.2022.01054.</w:t>
      </w:r>
    </w:p>
    <w:p>
      <w:pPr>
        <w:spacing w:after="80" w:line="240" w:lineRule="auto"/>
        <w:ind w:left="403" w:hanging="403"/>
      </w:pPr>
      <w:r>
        <w:rPr>
          <w:rFonts w:ascii="Times New Roman" w:hAnsi="Times New Roman"/>
          <w:color w:val="26343D"/>
          <w:sz w:val="17"/>
        </w:rPr>
        <w:t>[15] L. Meng, H. Li, B.-C. Chen, S. Lan, Z. Wu, Y.-G. Jiang, et al., “AdaViT: Adaptive Vision Transformers for Efficient Image Recognition,” in Proc. IEEE/CVF Conf. Comput. Vis. Pattern Recognit., pp. 12309–12318, 2022. DOI: 10.1109/CVPR52688.2022.01199.</w:t>
      </w:r>
    </w:p>
    <w:p>
      <w:pPr>
        <w:spacing w:after="80" w:line="240" w:lineRule="auto"/>
        <w:ind w:left="403" w:hanging="403"/>
      </w:pPr>
      <w:r>
        <w:rPr>
          <w:rFonts w:ascii="Times New Roman" w:hAnsi="Times New Roman"/>
          <w:color w:val="26343D"/>
          <w:sz w:val="17"/>
        </w:rPr>
        <w:t>[16] M. S. Ryoo, A. J. Piergiovanni, A. Arnab, M. Dehghani, A. Angelova, “TokenLearner: Adaptive Space-Time Tokenization for Videos,” in Advances in Neural Information Processing Systems, vol. 34, pp. 12786–12797, 2021. Available: https://proceedings.neurips.cc/paper/2021/hash/6a30e32e56fce5cf381895dfe6ca7b6f-Abstract.html.</w:t>
      </w:r>
    </w:p>
    <w:p>
      <w:pPr>
        <w:spacing w:after="80" w:line="240" w:lineRule="auto"/>
        <w:ind w:left="403" w:hanging="403"/>
      </w:pPr>
      <w:r>
        <w:rPr>
          <w:rFonts w:ascii="Times New Roman" w:hAnsi="Times New Roman"/>
          <w:color w:val="26343D"/>
          <w:sz w:val="17"/>
        </w:rPr>
        <w:t>[17] D. Marin, J.-H. R. Chang, A. Ranjan, A. Prabhu, M. Rastegari, O. Tuzel, “Token Pooling in Vision Transformers for Image Classification,” in Proc. IEEE/CVF Winter Conf. Appl. Comput. Vis., pp. 12–21, 2023. DOI: 10.1109/WACV56688.2023.00010.</w:t>
      </w:r>
    </w:p>
    <w:p>
      <w:pPr>
        <w:spacing w:after="80" w:line="240" w:lineRule="auto"/>
        <w:ind w:left="403" w:hanging="403"/>
      </w:pPr>
      <w:r>
        <w:rPr>
          <w:rFonts w:ascii="Times New Roman" w:hAnsi="Times New Roman"/>
          <w:color w:val="26343D"/>
          <w:sz w:val="17"/>
        </w:rPr>
        <w:t>[18] M. Fayyaz, S. A. Koohpayegani, F. R. Jafari, S. Sengupta, H. R. V. Joze, E. Sommerlade, et al., “Adaptive Token Sampling for Efficient Vision Transformers,” in Computer Vision – ECCV 2022, vol. 13671, pp. 396–414, 2022. DOI: 10.1007/978-3-031-20083-0_24.</w:t>
      </w:r>
    </w:p>
    <w:p>
      <w:pPr>
        <w:spacing w:after="80" w:line="240" w:lineRule="auto"/>
        <w:ind w:left="403" w:hanging="403"/>
      </w:pPr>
      <w:r>
        <w:rPr>
          <w:rFonts w:ascii="Times New Roman" w:hAnsi="Times New Roman"/>
          <w:color w:val="26343D"/>
          <w:sz w:val="17"/>
        </w:rPr>
        <w:t>[19] B. Pan, R. Panda, Y. Jiang, Z. Wang, R. Feris, A. Oliva, “IA-RED²: Interpretability-Aware Redundancy Reduction for Vision Transformers,” in Advances in Neural Information Processing Systems, vol. 34, 2021. Available: https://proceedings.neurips.cc/paper/2021/hash/d072677d210ac4c03ba046120f0802ec-Abstract.html.</w:t>
      </w:r>
    </w:p>
    <w:p>
      <w:pPr>
        <w:spacing w:after="80" w:line="240" w:lineRule="auto"/>
        <w:ind w:left="403" w:hanging="403"/>
      </w:pPr>
      <w:r>
        <w:rPr>
          <w:rFonts w:ascii="Times New Roman" w:hAnsi="Times New Roman"/>
          <w:color w:val="26343D"/>
          <w:sz w:val="17"/>
        </w:rPr>
        <w:t>[20] Y. Liu, C. Matsoukas, F. Strand, H. Azizpour, K. Smith, “PatchDropout: Economizing Vision Transformers Using Patch Dropout,” in Proc. IEEE/CVF Winter Conf. Appl. Comput. Vis., pp. 3953–3962, 2023. DOI: 10.1109/WACV56688.2023.00394.</w:t>
      </w:r>
    </w:p>
    <w:p>
      <w:pPr>
        <w:spacing w:after="80" w:line="240" w:lineRule="auto"/>
        <w:ind w:left="403" w:hanging="403"/>
      </w:pPr>
      <w:r>
        <w:rPr>
          <w:rFonts w:ascii="Times New Roman" w:hAnsi="Times New Roman"/>
          <w:color w:val="26343D"/>
          <w:sz w:val="17"/>
        </w:rPr>
        <w:t>[21] L. Yu, W. Xiang, “X-Pruner: eXplainable Pruning for Vision Transformers,” in Proc. IEEE/CVF Conf. Comput. Vis. Pattern Recognit., pp. 24355–24363, 2023. DOI: 10.1109/CVPR52729.2023.02333.</w:t>
      </w:r>
    </w:p>
    <w:p>
      <w:pPr>
        <w:spacing w:after="80" w:line="240" w:lineRule="auto"/>
        <w:ind w:left="403" w:hanging="403"/>
      </w:pPr>
      <w:r>
        <w:rPr>
          <w:rFonts w:ascii="Times New Roman" w:hAnsi="Times New Roman"/>
          <w:color w:val="26343D"/>
          <w:sz w:val="17"/>
        </w:rPr>
        <w:t>[22] H. Yang, H. Yin, M. Shen, P. Molchanov, H. Li, J. Kautz, “Global Vision Transformer Pruning With Hessian-Aware Saliency,” in Proc. IEEE/CVF Conf. Comput. Vis. Pattern Recognit., pp. 18547–18557, 2023. DOI: 10.1109/CVPR52729.2023.01779.</w:t>
      </w:r>
    </w:p>
    <w:p>
      <w:pPr>
        <w:spacing w:after="80" w:line="240" w:lineRule="auto"/>
        <w:ind w:left="403" w:hanging="403"/>
      </w:pPr>
      <w:r>
        <w:rPr>
          <w:rFonts w:ascii="Times New Roman" w:hAnsi="Times New Roman"/>
          <w:color w:val="26343D"/>
          <w:sz w:val="17"/>
        </w:rPr>
        <w:t>[23] S. Wei, T. Ye, S. Zhang, Y. Tang, J. Liang, “Joint Token Pruning and Squeezing Towards More Aggressive Compression of Vision Transformers,” in Proc. IEEE/CVF Conf. Comput. Vis. Pattern Recognit., pp. 2092–2101, 2023. DOI: 10.1109/CVPR52729.2023.00208.</w:t>
      </w:r>
    </w:p>
    <w:p>
      <w:pPr>
        <w:spacing w:after="80" w:line="240" w:lineRule="auto"/>
        <w:ind w:left="403" w:hanging="403"/>
      </w:pPr>
      <w:r>
        <w:rPr>
          <w:rFonts w:ascii="Times New Roman" w:hAnsi="Times New Roman"/>
          <w:color w:val="26343D"/>
          <w:sz w:val="17"/>
        </w:rPr>
        <w:t>[24] Q. Tang, B. Zhang, J. Liu, F. Liu, Y. Liu, “Dynamic Token Pruning in Plain Vision Transformers for Semantic Segmentation,” in Proc. IEEE/CVF Int. Conf. Comput. Vis., pp. 777–786, 2023. DOI: 10.1109/ICCV51070.2023.00078.</w:t>
      </w:r>
    </w:p>
    <w:p>
      <w:pPr>
        <w:spacing w:after="80" w:line="240" w:lineRule="auto"/>
        <w:ind w:left="403" w:hanging="403"/>
      </w:pPr>
      <w:r>
        <w:rPr>
          <w:rFonts w:ascii="Times New Roman" w:hAnsi="Times New Roman"/>
          <w:color w:val="26343D"/>
          <w:sz w:val="17"/>
        </w:rPr>
        <w:t>[25] Y. Xu, Z. Zhang, M. Zhang, K. Sheng, K. Li, W. Dong, et al., “Evo-ViT: Slow-Fast Token Evolution for Dynamic Vision Transformer,” in Proc. AAAI Conf. Artif. Intell., vol. 36, no. 3, pp. 2964–2972, 2022. DOI: 10.1609/aaai.v36i3.20202.</w:t>
      </w:r>
    </w:p>
    <w:p>
      <w:pPr>
        <w:spacing w:after="80" w:line="240" w:lineRule="auto"/>
        <w:ind w:left="403" w:hanging="403"/>
      </w:pPr>
      <w:r>
        <w:rPr>
          <w:rFonts w:ascii="Times New Roman" w:hAnsi="Times New Roman"/>
          <w:color w:val="26343D"/>
          <w:sz w:val="17"/>
        </w:rPr>
        <w:t>[26] L. Song, S. Zhang, S. Liu, Z. Li, X. He, H. Sun, et al., “Dynamic Grained Encoder for Vision Transformers,” in Advances in Neural Information Processing Systems, vol. 34, 2021. Available: https://proceedings.neurips.cc/paper/2021/hash/2d969e2cee8cfa07ce7ca0bb13c7a36d-Abstract.html.</w:t>
      </w:r>
    </w:p>
    <w:p>
      <w:pPr>
        <w:spacing w:after="80" w:line="240" w:lineRule="auto"/>
        <w:ind w:left="403" w:hanging="403"/>
      </w:pPr>
      <w:r>
        <w:rPr>
          <w:rFonts w:ascii="Times New Roman" w:hAnsi="Times New Roman"/>
          <w:color w:val="26343D"/>
          <w:sz w:val="17"/>
        </w:rPr>
        <w:t>[27] Z. Kong, P. Dong, X. Ma, X. Meng, W. Niu, M. Sun, et al., “SPViT: Enabling Faster Vision Transformers via Latency-Aware Soft Token Pruning,” in Computer Vision – ECCV 2022, vol. 13671, pp. 620–640, 2022. DOI: 10.1007/978-3-031-20083-0_37.</w:t>
      </w:r>
    </w:p>
    <w:p>
      <w:pPr>
        <w:spacing w:after="80" w:line="240" w:lineRule="auto"/>
        <w:ind w:left="403" w:hanging="403"/>
      </w:pPr>
      <w:r>
        <w:rPr>
          <w:rFonts w:ascii="Times New Roman" w:hAnsi="Times New Roman"/>
          <w:color w:val="26343D"/>
          <w:sz w:val="17"/>
        </w:rPr>
        <w:t>[28] Y. Tang, K. Han, Y. Wang, C. Xu, J. Guo, C. Xu, et al., “Patch Slimming for Efficient Vision Transformers,” in Proc. IEEE/CVF Conf. Comput. Vis. Pattern Recognit., pp. 12165–12174, 2022. DOI: 10.1109/CVPR52688.2022.01185.</w:t>
      </w:r>
    </w:p>
    <w:p>
      <w:pPr>
        <w:spacing w:after="80" w:line="240" w:lineRule="auto"/>
        <w:ind w:left="403" w:hanging="403"/>
      </w:pPr>
      <w:r>
        <w:rPr>
          <w:rFonts w:ascii="Times New Roman" w:hAnsi="Times New Roman"/>
          <w:color w:val="26343D"/>
          <w:sz w:val="17"/>
        </w:rPr>
        <w:t>[29] Y. Wang, R. Huang, S. Song, Z. Huang, G. Huang, “Not All Images Are Worth 16x16 Words: Dynamic Transformers for Efficient Image Recognition,” in Advances in Neural Information Processing Systems, vol. 34, 2021. Available: https://proceedings.neurips.cc/paper/2021/hash/64517d8435994992e682b3e4aa0a0661-Abstract.html.</w:t>
      </w:r>
    </w:p>
    <w:p>
      <w:pPr>
        <w:spacing w:after="80" w:line="240" w:lineRule="auto"/>
        <w:ind w:left="403" w:hanging="403"/>
      </w:pPr>
      <w:r>
        <w:rPr>
          <w:rFonts w:ascii="Times New Roman" w:hAnsi="Times New Roman"/>
          <w:color w:val="26343D"/>
          <w:sz w:val="17"/>
        </w:rPr>
        <w:t>[30] T. Chen, Y. Cheng, Z. Gan, L. Yuan, L. Zhang, Z. Wang, “Chasing Sparsity in Vision Transformers: An End-to-End Exploration,” in Advances in Neural Information Processing Systems, vol. 34, 2021. Available: https://proceedings.neurips.cc/paper/2021/file/a61f27ab2165df0e18cc9433bd7f27c5-Abstract.html.</w:t>
      </w:r>
    </w:p>
    <w:p>
      <w:pPr>
        <w:spacing w:after="80" w:line="240" w:lineRule="auto"/>
        <w:ind w:left="403" w:hanging="403"/>
      </w:pPr>
      <w:r>
        <w:rPr>
          <w:rFonts w:ascii="Times New Roman" w:hAnsi="Times New Roman"/>
          <w:color w:val="26343D"/>
          <w:sz w:val="17"/>
        </w:rPr>
        <w:t>[31] X. Chen, Z. Liu, H. Tang, L. Yi, H. Zhao, S. Han, “SparseViT: Revisiting Activation Sparsity for Efficient High-Resolution Vision Transformer,” in Proc. IEEE/CVF Conf. Comput. Vis. Pattern Recognit., pp. 2061–2070, 2023. DOI: 10.1109/CVPR52729.2023.00205.</w:t>
      </w:r>
    </w:p>
    <w:p>
      <w:pPr>
        <w:spacing w:after="80" w:line="240" w:lineRule="auto"/>
        <w:ind w:left="403" w:hanging="403"/>
      </w:pPr>
      <w:r>
        <w:rPr>
          <w:rFonts w:ascii="Times New Roman" w:hAnsi="Times New Roman"/>
          <w:color w:val="26343D"/>
          <w:sz w:val="17"/>
        </w:rPr>
        <w:t>[32] C. Zheng, Z. Li, K. Zhang, Z. Yang, W. Tan, J. Xiao, et al., “SAViT: Structure-Aware Vision Transformer Pruning via Collaborative Optimization,” in Advances in Neural Information Processing Systems, vol. 35, pp. 9010–9023, 2022. DOI: 10.52202/068431-0655.</w:t>
      </w:r>
    </w:p>
    <w:p>
      <w:pPr>
        <w:spacing w:after="80" w:line="240" w:lineRule="auto"/>
        <w:ind w:left="403" w:hanging="403"/>
      </w:pPr>
      <w:r>
        <w:rPr>
          <w:rFonts w:ascii="Times New Roman" w:hAnsi="Times New Roman"/>
          <w:color w:val="26343D"/>
          <w:sz w:val="17"/>
        </w:rPr>
        <w:t>[33] Y. LeCun, J. S. Denker, S. A. Solla, “Optimal Brain Damage,” in Advances in Neural Information Processing Systems, vol. 2, pp. 598–605, 1989. Available: https://proceedings.neurips.cc/paper/1989/hash/6c9882bbac1c7093bd25041881277658-Abstract.html.</w:t>
      </w:r>
    </w:p>
    <w:p>
      <w:pPr>
        <w:spacing w:after="80" w:line="240" w:lineRule="auto"/>
        <w:ind w:left="403" w:hanging="403"/>
      </w:pPr>
      <w:r>
        <w:rPr>
          <w:rFonts w:ascii="Times New Roman" w:hAnsi="Times New Roman"/>
          <w:color w:val="26343D"/>
          <w:sz w:val="17"/>
        </w:rPr>
        <w:t>[34] B. Hassibi, D. G. Stork, “Optimal Brain Surgeon and general network pruning,” in Proceedings of the IEEE Proc. IEEE Int. Conf. Neural Netw., vol. 1, pp. 293–299, 1993. DOI: 10.1109/ICNN.1993.298572.</w:t>
      </w:r>
    </w:p>
    <w:p>
      <w:pPr>
        <w:spacing w:after="80" w:line="240" w:lineRule="auto"/>
        <w:ind w:left="403" w:hanging="403"/>
      </w:pPr>
      <w:r>
        <w:rPr>
          <w:rFonts w:ascii="Times New Roman" w:hAnsi="Times New Roman"/>
          <w:color w:val="26343D"/>
          <w:sz w:val="17"/>
        </w:rPr>
        <w:t>[35] S. Han, J. Pool, J. Tran, W. J. Dally, “Learning Both Weights and Connections for Efficient Neural Networks,” in Advances in Neural Information Processing Systems, vol. 28, 2015. Available: https://proceedings.neurips.cc/paper/2015/hash/ae0eb3eed39d2bcef4622b2499a05fe6-Abstract.html.</w:t>
      </w:r>
    </w:p>
    <w:p>
      <w:pPr>
        <w:spacing w:after="80" w:line="240" w:lineRule="auto"/>
        <w:ind w:left="403" w:hanging="403"/>
      </w:pPr>
      <w:r>
        <w:rPr>
          <w:rFonts w:ascii="Times New Roman" w:hAnsi="Times New Roman"/>
          <w:color w:val="26343D"/>
          <w:sz w:val="17"/>
        </w:rPr>
        <w:t>[36] P. Molchanov, S. Tyree, T. Karras, T. Aila, J. Kautz, “Pruning Convolutional Neural Networks for Resource Efficient Inference,” in Proc. Int. Conf. Learn. Represent., 2017. Available: https://openreview.net/forum?id=SJGCiw5gl.</w:t>
      </w:r>
    </w:p>
    <w:p>
      <w:pPr>
        <w:spacing w:after="80" w:line="240" w:lineRule="auto"/>
        <w:ind w:left="403" w:hanging="403"/>
      </w:pPr>
      <w:r>
        <w:rPr>
          <w:rFonts w:ascii="Times New Roman" w:hAnsi="Times New Roman"/>
          <w:color w:val="26343D"/>
          <w:sz w:val="17"/>
        </w:rPr>
        <w:t>[37] J. Frankle, M. Carbin, “The Lottery Ticket Hypothesis: Finding Sparse, Trainable Neural Networks,” in Proc. Int. Conf. Learn. Represent., 2019. Available: https://openreview.net/forum?id=rJl-b3RcF7.</w:t>
      </w:r>
    </w:p>
    <w:p>
      <w:pPr>
        <w:spacing w:after="80" w:line="240" w:lineRule="auto"/>
        <w:ind w:left="403" w:hanging="403"/>
      </w:pPr>
      <w:r>
        <w:rPr>
          <w:rFonts w:ascii="Times New Roman" w:hAnsi="Times New Roman"/>
          <w:color w:val="26343D"/>
          <w:sz w:val="17"/>
        </w:rPr>
        <w:t>[38] V. Sanh, T. Wolf, A. M. Rush, “Movement Pruning: Adaptive Sparsity by Fine-Tuning,” in Advances in Neural Information Processing Systems, vol. 33, pp. 20378–20389, 2020. Available: https://proceedings.neurips.cc/paper/2020/hash/eae15aabaa768ae4a5993a8a4f4fa6e4-Abstract.html.</w:t>
      </w:r>
    </w:p>
    <w:p>
      <w:pPr>
        <w:spacing w:after="80" w:line="240" w:lineRule="auto"/>
        <w:ind w:left="403" w:hanging="403"/>
      </w:pPr>
      <w:r>
        <w:rPr>
          <w:rFonts w:ascii="Times New Roman" w:hAnsi="Times New Roman"/>
          <w:color w:val="26343D"/>
          <w:sz w:val="17"/>
        </w:rPr>
        <w:t>[39] E. Frantar, D. Alistarh, “SparseGPT: Massive Language Models Can Be Accurately Pruned in One-Shot,” in Proc. 40th Int. Conf. Mach. Learn., vol. 202, pp. 10323–10337, 2023. Available: https://proceedings.mlr.press/v202/frantar23a.html.</w:t>
      </w:r>
    </w:p>
    <w:p>
      <w:pPr>
        <w:spacing w:after="80" w:line="240" w:lineRule="auto"/>
        <w:ind w:left="403" w:hanging="403"/>
      </w:pPr>
      <w:r>
        <w:rPr>
          <w:rFonts w:ascii="Times New Roman" w:hAnsi="Times New Roman"/>
          <w:color w:val="26343D"/>
          <w:sz w:val="17"/>
        </w:rPr>
        <w:t>[40] M. Sun, Z. Liu, A. Bair, J. Z. Kolter, “A Simple and Effective Pruning Approach for Large Language Models,” in Proc. Int. Conf. Learn. Represent., 2024. Available: https://openreview.net/forum?id=PxoFut3dWW.</w:t>
      </w:r>
    </w:p>
    <w:p>
      <w:pPr>
        <w:spacing w:after="80" w:line="240" w:lineRule="auto"/>
        <w:ind w:left="403" w:hanging="403"/>
      </w:pPr>
      <w:r>
        <w:rPr>
          <w:rFonts w:ascii="Times New Roman" w:hAnsi="Times New Roman"/>
          <w:color w:val="26343D"/>
          <w:sz w:val="17"/>
        </w:rPr>
        <w:t>[41] S. Ashkboos, M. L. Croci, M. Gennari do Nascimento, T. Hoefler, J. Hensman, “SliceGPT: Compress Large Language Models by Deleting Rows and Columns,” in Proc. Int. Conf. Learn. Represent., 2024. Available: https://openreview.net/forum?id=vXxardq6db.</w:t>
      </w:r>
    </w:p>
    <w:p>
      <w:pPr>
        <w:spacing w:after="80" w:line="240" w:lineRule="auto"/>
        <w:ind w:left="403" w:hanging="403"/>
      </w:pPr>
      <w:r>
        <w:rPr>
          <w:rFonts w:ascii="Times New Roman" w:hAnsi="Times New Roman"/>
          <w:color w:val="26343D"/>
          <w:sz w:val="17"/>
        </w:rPr>
        <w:t>[42] X. Wang, Y. Zheng, Z. Wan, M. Zhang, “SVD-LLM: Truncation-aware Singular Value Decomposition for Large Language Model Compression,” in Proc. Int. Conf. Learn. Represent., 2025. Available: https://proceedings.iclr.cc/paper_files/paper/2025/hash/3104e1ab39875cf54fe1eb4473e7c5a1-Abstract-Conference.html.</w:t>
      </w:r>
    </w:p>
    <w:p>
      <w:pPr>
        <w:spacing w:after="80" w:line="240" w:lineRule="auto"/>
        <w:ind w:left="403" w:hanging="403"/>
      </w:pPr>
      <w:r>
        <w:rPr>
          <w:rFonts w:ascii="Times New Roman" w:hAnsi="Times New Roman"/>
          <w:color w:val="26343D"/>
          <w:sz w:val="17"/>
        </w:rPr>
        <w:t>[43] S. Jain, B. C. Wallace, “Attention Is Not Explanation,” in Proceedings of the 2019 Conference of the North American Chapter of the Association for Computational Linguistics: Human Language Technologies, pp. 3543–3556, 2019. DOI: 10.18653/v1/N19-1357.</w:t>
      </w:r>
    </w:p>
    <w:p>
      <w:pPr>
        <w:spacing w:after="80" w:line="240" w:lineRule="auto"/>
        <w:ind w:left="403" w:hanging="403"/>
      </w:pPr>
      <w:r>
        <w:rPr>
          <w:rFonts w:ascii="Times New Roman" w:hAnsi="Times New Roman"/>
          <w:color w:val="26343D"/>
          <w:sz w:val="17"/>
        </w:rPr>
        <w:t>[44] S. Serrano, N. A. Smith, “Is Attention Interpretable?,” in Proceedings of the 57th Annual Meeting of the Association for Computational Linguistics, pp. 2931–2951, 2019. DOI: 10.18653/v1/P19-1282.</w:t>
      </w:r>
    </w:p>
    <w:p>
      <w:pPr>
        <w:spacing w:after="80" w:line="240" w:lineRule="auto"/>
        <w:ind w:left="403" w:hanging="403"/>
      </w:pPr>
      <w:r>
        <w:rPr>
          <w:rFonts w:ascii="Times New Roman" w:hAnsi="Times New Roman"/>
          <w:color w:val="26343D"/>
          <w:sz w:val="17"/>
        </w:rPr>
        <w:t>[45] S. Wiegreffe, Y. Pinter, “Attention Is Not Not Explanation,” in Proceedings of the 2019 Conference on Empirical Methods in Natural Language Processing and the 9th International Joint Conference on Natural Language Processing, pp. 11–20, 2019. DOI: 10.18653/v1/D19-1002.</w:t>
      </w:r>
    </w:p>
    <w:p>
      <w:pPr>
        <w:spacing w:after="80" w:line="240" w:lineRule="auto"/>
        <w:ind w:left="403" w:hanging="403"/>
      </w:pPr>
      <w:r>
        <w:rPr>
          <w:rFonts w:ascii="Times New Roman" w:hAnsi="Times New Roman"/>
          <w:color w:val="26343D"/>
          <w:sz w:val="17"/>
        </w:rPr>
        <w:t>[46] S. Abnar, W. Zuidema, “Quantifying Attention Flow in Transformers,” in Proceedings of the 58th Annual Meeting of the Association for Computational Linguistics, pp. 4190–4197, 2020. DOI: 10.18653/v1/2020.acl-main.385.</w:t>
      </w:r>
    </w:p>
    <w:p>
      <w:pPr>
        <w:spacing w:after="80" w:line="240" w:lineRule="auto"/>
        <w:ind w:left="403" w:hanging="403"/>
      </w:pPr>
      <w:r>
        <w:rPr>
          <w:rFonts w:ascii="Times New Roman" w:hAnsi="Times New Roman"/>
          <w:color w:val="26343D"/>
          <w:sz w:val="17"/>
        </w:rPr>
        <w:t>[47] M. Sundararajan, A. Taly, Q. Yan, “Axiomatic Attribution for Deep Networks,” in Proc. 34th Int. Conf. Mach. Learn., vol. 70, pp. 3319–3328, 2017. Available: https://proceedings.mlr.press/v70/sundararajan17a.html.</w:t>
      </w:r>
    </w:p>
    <w:p>
      <w:pPr>
        <w:spacing w:after="80" w:line="240" w:lineRule="auto"/>
        <w:ind w:left="403" w:hanging="403"/>
      </w:pPr>
      <w:r>
        <w:rPr>
          <w:rFonts w:ascii="Times New Roman" w:hAnsi="Times New Roman"/>
          <w:color w:val="26343D"/>
          <w:sz w:val="17"/>
        </w:rPr>
        <w:t>[48] J. Adebayo, J. Gilmer, M. Muelly, I. Goodfellow, M. Hardt, B. Kim, “Sanity Checks for Saliency Maps,” in Advances in Neural Information Processing Systems, vol. 31, pp. 9505–9515, 2018. Available: https://proceedings.neurips.cc/paper/2018/hash/294a8ed24b1ad22ec2e7efea049b8737-Abstract.html.</w:t>
      </w:r>
    </w:p>
    <w:p>
      <w:pPr>
        <w:spacing w:after="80" w:line="240" w:lineRule="auto"/>
        <w:ind w:left="403" w:hanging="403"/>
      </w:pPr>
      <w:r>
        <w:rPr>
          <w:rFonts w:ascii="Times New Roman" w:hAnsi="Times New Roman"/>
          <w:color w:val="26343D"/>
          <w:sz w:val="17"/>
        </w:rPr>
        <w:t>[49] H. Chefer, S. Gur, L. Wolf, “Transformer Interpretability Beyond Attention Visualization,” in Proc. IEEE/CVF Conf. Comput. Vis. Pattern Recognit., pp. 782–791, 2021. DOI: 10.1109/CVPR46437.2021.00084.</w:t>
      </w:r>
    </w:p>
    <w:p>
      <w:pPr>
        <w:spacing w:after="80" w:line="240" w:lineRule="auto"/>
        <w:ind w:left="403" w:hanging="403"/>
      </w:pPr>
      <w:r>
        <w:rPr>
          <w:rFonts w:ascii="Times New Roman" w:hAnsi="Times New Roman"/>
          <w:color w:val="26343D"/>
          <w:sz w:val="17"/>
        </w:rPr>
        <w:t>[50] A. Geiger, Z. Wu, C. Potts, T. Icard, N. Goodman, “Inducing Causal Structure for Interpretable Neural Networks,” in Proc. 39th Int. Conf. Mach. Learn., vol. 162, pp. 7324–7338, 2022. Available: https://proceedings.mlr.press/v162/geiger22a.html.</w:t>
      </w:r>
    </w:p>
    <w:sectPr w:rsidR="00FC693F" w:rsidRPr="0006063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02A3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Times New Roman" w:hAnsi="Times New Roman"/>
      <w:b/>
      <w:bCs/>
      <w:color w:val="173D52"/>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246B8E"/>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232D"/>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Patch-Content Fungibility: Geometry, Functional Transmission, and Operator-Aware Token Compression</dc:title>
  <dc:subject>Evidence-checked manuscript with IEEE-numbered references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