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24"/>
          <w:szCs w:val="24"/>
        </w:rPr>
      </w:pPr>
      <w:r w:rsidDel="00000000" w:rsidR="00000000" w:rsidRPr="00000000">
        <w:rPr>
          <w:b w:val="1"/>
          <w:bCs w:val="1"/>
          <w:sz w:val="28"/>
          <w:szCs w:val="28"/>
          <w:rtl w:val="0"/>
        </w:rPr>
        <w:t xml:space="preserve">Bước 1 — Xác định đúng vị trí IEEE 830 cho toàn bộ nội dung/sơ đồ</w:t>
      </w:r>
      <w:r w:rsidDel="00000000" w:rsidR="00000000" w:rsidRPr="00000000">
        <w:rPr>
          <w:rtl w:val="0"/>
        </w:rPr>
      </w:r>
    </w:p>
    <w:tbl>
      <w:tblPr>
        <w:tblStyle w:val="Table1"/>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65"/>
        <w:gridCol w:w="2670"/>
        <w:gridCol w:w="2775"/>
        <w:tblGridChange w:id="0">
          <w:tblGrid>
            <w:gridCol w:w="3465"/>
            <w:gridCol w:w="2670"/>
            <w:gridCol w:w="2775"/>
          </w:tblGrid>
        </w:tblGridChange>
      </w:tblGrid>
      <w:tr>
        <w:trPr>
          <w:cantSplit w:val="0"/>
          <w:trHeight w:val="78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2">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Nội dung</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Vị trí đề xuất</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Đúng/Sai — vị trí đúng nếu sai</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Mục A (định nghĩa "Giỏ hàng")</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Sai — đúng là 1.3 Definitions &amp; Acronyms</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Mục B (3 yêu cầu chức năng)</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Đúng</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Danh sách Actor/Use Case tổng thể</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2.1 Product Perspective</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Đúng</w:t>
            </w:r>
            <w:r w:rsidDel="00000000" w:rsidR="00000000" w:rsidRPr="00000000">
              <w:rPr>
                <w:rtl w:val="0"/>
              </w:rPr>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Sơ đồ Sequence áp mã giảm giá (minh họa REQ-02)</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3.2 Functional Requirements</w:t>
            </w:r>
            <w:r w:rsidDel="00000000" w:rsidR="00000000" w:rsidRPr="00000000">
              <w:rPr>
                <w:rtl w:val="0"/>
              </w:rPr>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Đúng</w:t>
            </w:r>
            <w:r w:rsidDel="00000000" w:rsidR="00000000" w:rsidRPr="00000000">
              <w:rPr>
                <w:rtl w:val="0"/>
              </w:rPr>
            </w:r>
          </w:p>
        </w:tc>
      </w:tr>
    </w:tbl>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b w:val="1"/>
          <w:bCs w:val="1"/>
          <w:sz w:val="28"/>
          <w:szCs w:val="28"/>
          <w:rtl w:val="0"/>
        </w:rPr>
        <w:t xml:space="preserve">Bước 2 — Chuẩn hóa các yêu cầu chức năng theo đặc tính vàng</w:t>
      </w:r>
      <w:r w:rsidDel="00000000" w:rsidR="00000000" w:rsidRPr="00000000">
        <w:rPr>
          <w:rtl w:val="0"/>
        </w:rPr>
      </w:r>
    </w:p>
    <w:tbl>
      <w:tblPr>
        <w:tblStyle w:val="Table2"/>
        <w:tblW w:w="89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4725"/>
        <w:gridCol w:w="2640"/>
        <w:tblGridChange w:id="0">
          <w:tblGrid>
            <w:gridCol w:w="1545"/>
            <w:gridCol w:w="4725"/>
            <w:gridCol w:w="2640"/>
          </w:tblGrid>
        </w:tblGridChange>
      </w:tblGrid>
      <w:tr>
        <w:trPr>
          <w:cantSplit w:val="0"/>
          <w:trHeight w:val="540" w:hRule="atLeast"/>
          <w:tblHeader w:val="0"/>
        </w:trPr>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Mã</w:t>
            </w:r>
          </w:p>
        </w:tc>
        <w:tc>
          <w:tcPr>
            <w:tcBorders>
              <w:top w:color="d3d3d3" w:space="0" w:sz="6" w:val="single"/>
              <w:left w:color="000000" w:space="0" w:sz="0" w:val="nil"/>
              <w:bottom w:color="d3d3d3" w:space="0" w:sz="6" w:val="single"/>
              <w:right w:color="d3d3d3" w:space="0" w:sz="6" w:val="single"/>
            </w:tcBorders>
            <w:shd w:fill="1f4e79" w:val="clear"/>
            <w:tcMar>
              <w:top w:w="100.0" w:type="dxa"/>
              <w:left w:w="140.0" w:type="dxa"/>
              <w:bottom w:w="100.0" w:type="dxa"/>
              <w:right w:w="140.0" w:type="dxa"/>
            </w:tcMar>
            <w:vAlign w:val="top"/>
          </w:tcPr>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Đặc tính vàng bị vi phạm</w:t>
            </w:r>
          </w:p>
        </w:tc>
        <w:tc>
          <w:tcPr>
            <w:tcBorders>
              <w:top w:color="d3d3d3" w:space="0" w:sz="6" w:val="single"/>
              <w:left w:color="000000" w:space="0" w:sz="0" w:val="nil"/>
              <w:bottom w:color="d3d3d3" w:space="0" w:sz="6" w:val="single"/>
              <w:right w:color="000000" w:space="0" w:sz="0" w:val="nil"/>
            </w:tcBorders>
            <w:shd w:fill="1f4e79" w:val="clear"/>
            <w:tcMar>
              <w:top w:w="100.0" w:type="dxa"/>
              <w:left w:w="140.0" w:type="dxa"/>
              <w:bottom w:w="100.0" w:type="dxa"/>
              <w:right w:w="140.0" w:type="dxa"/>
            </w:tcMar>
            <w:vAlign w:val="top"/>
          </w:tcPr>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pacing w:after="40" w:before="40" w:lineRule="auto"/>
              <w:jc w:val="center"/>
              <w:rPr>
                <w:b w:val="1"/>
                <w:bCs w:val="1"/>
                <w:color w:val="ffffff"/>
                <w:sz w:val="24"/>
                <w:szCs w:val="24"/>
              </w:rPr>
            </w:pPr>
            <w:r w:rsidDel="00000000" w:rsidR="00000000" w:rsidRPr="00000000">
              <w:rPr>
                <w:b w:val="1"/>
                <w:bCs w:val="1"/>
                <w:color w:val="ffffff"/>
                <w:sz w:val="24"/>
                <w:szCs w:val="24"/>
                <w:rtl w:val="0"/>
              </w:rPr>
              <w:t xml:space="preserve">Viết lại đạt chuẩn</w:t>
            </w:r>
          </w:p>
        </w:tc>
      </w:tr>
      <w:tr>
        <w:trPr>
          <w:cantSplit w:val="0"/>
          <w:trHeight w:val="780" w:hRule="atLeast"/>
          <w:tblHeader w:val="0"/>
        </w:trPr>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REQ-02</w:t>
            </w:r>
          </w:p>
        </w:tc>
        <w:tc>
          <w:tcPr>
            <w:tcBorders>
              <w:top w:color="000000" w:space="0" w:sz="0" w:val="nil"/>
              <w:left w:color="000000" w:space="0" w:sz="0" w:val="nil"/>
              <w:bottom w:color="d3d3d3" w:space="0" w:sz="6" w:val="single"/>
              <w:right w:color="d3d3d3" w:space="0" w:sz="6"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Thiếu tính đầy đủ: Chưa mô tả các luồng ngoại lệ khi người dùng nhập mã giảm giá không tồn tại, hết hạn hoặc chưa đủ điều kiện áp dụng.</w:t>
            </w:r>
          </w:p>
        </w:tc>
        <w:tc>
          <w:tcPr>
            <w:tcBorders>
              <w:top w:color="000000" w:space="0" w:sz="0" w:val="nil"/>
              <w:left w:color="000000" w:space="0" w:sz="0" w:val="nil"/>
              <w:bottom w:color="d3d3d3" w:space="0" w:sz="6" w:val="single"/>
              <w:right w:color="000000" w:space="0" w:sz="0" w:val="nil"/>
            </w:tcBorders>
            <w:shd w:fill="ffffff" w:val="clear"/>
            <w:tcMar>
              <w:top w:w="100.0" w:type="dxa"/>
              <w:left w:w="140.0" w:type="dxa"/>
              <w:bottom w:w="100.0" w:type="dxa"/>
              <w:right w:w="140.0" w:type="dxa"/>
            </w:tcMar>
            <w:vAlign w:val="top"/>
          </w:tcPr>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b w:val="1"/>
                <w:bCs w:val="1"/>
                <w:sz w:val="24"/>
                <w:szCs w:val="24"/>
                <w:rtl w:val="0"/>
              </w:rPr>
              <w:t xml:space="preserve">REQ-02.1:</w:t>
            </w:r>
            <w:r w:rsidDel="00000000" w:rsidR="00000000" w:rsidRPr="00000000">
              <w:rPr>
                <w:sz w:val="24"/>
                <w:szCs w:val="24"/>
                <w:rtl w:val="0"/>
              </w:rPr>
              <w:t xml:space="preserve"> Khi khách hàng nhập mã giảm giá hợp lệ và còn hiệu lực, hệ thống áp dụng và trừ chính xác số tiền (hoặc tỷ lệ phần trăm) tương ứng vào tổng giá trị hóa đơn.</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b w:val="1"/>
                <w:bCs w:val="1"/>
                <w:sz w:val="24"/>
                <w:szCs w:val="24"/>
                <w:rtl w:val="0"/>
              </w:rPr>
              <w:t xml:space="preserve">REQ-02.2:</w:t>
            </w:r>
            <w:r w:rsidDel="00000000" w:rsidR="00000000" w:rsidRPr="00000000">
              <w:rPr>
                <w:sz w:val="24"/>
                <w:szCs w:val="24"/>
                <w:rtl w:val="0"/>
              </w:rPr>
              <w:t xml:space="preserve"> Khi khách hàng nhập mã giảm giá không tồn tại, hết hạn, hệ thống hiển thị thông báo lỗi rõ ràng và không làm thay đổi tổng hóa đơn. </w:t>
            </w:r>
          </w:p>
        </w:tc>
      </w:tr>
      <w:tr>
        <w:trPr>
          <w:cantSplit w:val="0"/>
          <w:trHeight w:val="540" w:hRule="atLeast"/>
          <w:tblHeader w:val="0"/>
        </w:trPr>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REQ-03</w:t>
            </w:r>
          </w:p>
        </w:tc>
        <w:tc>
          <w:tcPr>
            <w:tcBorders>
              <w:top w:color="000000" w:space="0" w:sz="0" w:val="nil"/>
              <w:left w:color="000000" w:space="0" w:sz="0" w:val="nil"/>
              <w:bottom w:color="d3d3d3" w:space="0" w:sz="6" w:val="single"/>
              <w:right w:color="d3d3d3" w:space="0" w:sz="6" w:val="single"/>
            </w:tcBorders>
            <w:shd w:fill="f7f9fc" w:val="clear"/>
            <w:tcMar>
              <w:top w:w="100.0" w:type="dxa"/>
              <w:left w:w="140.0" w:type="dxa"/>
              <w:bottom w:w="100.0" w:type="dxa"/>
              <w:right w:w="140.0" w:type="dxa"/>
            </w:tcMar>
            <w:vAlign w:val="top"/>
          </w:tcPr>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Sai phân loại và Không đo lường được: Đây là yêu cầu phi chức năng nhưng lại đặt nhầm vào yêu cầu chức năng, đồng thời các từ ngữ "nhanh chóng" và "ổn định" là chủ quan, không kiểm chứng được.</w:t>
            </w:r>
          </w:p>
        </w:tc>
        <w:tc>
          <w:tcPr>
            <w:tcBorders>
              <w:top w:color="000000" w:space="0" w:sz="0" w:val="nil"/>
              <w:left w:color="000000" w:space="0" w:sz="0" w:val="nil"/>
              <w:bottom w:color="d3d3d3" w:space="0" w:sz="6" w:val="single"/>
              <w:right w:color="000000" w:space="0" w:sz="0" w:val="nil"/>
            </w:tcBorders>
            <w:shd w:fill="f7f9fc" w:val="clear"/>
            <w:tcMar>
              <w:top w:w="100.0" w:type="dxa"/>
              <w:left w:w="140.0" w:type="dxa"/>
              <w:bottom w:w="100.0" w:type="dxa"/>
              <w:right w:w="140.0" w:type="dxa"/>
            </w:tcMar>
            <w:vAlign w:val="top"/>
          </w:tcPr>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sz w:val="24"/>
                <w:szCs w:val="24"/>
                <w:rtl w:val="0"/>
              </w:rPr>
              <w:t xml:space="preserve">Chuyển sang mục 3.3 Performance Requirements - Yêu cầu hiệu năng</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pacing w:after="40" w:before="40" w:lineRule="auto"/>
              <w:rPr>
                <w:sz w:val="24"/>
                <w:szCs w:val="24"/>
              </w:rPr>
            </w:pPr>
            <w:r w:rsidDel="00000000" w:rsidR="00000000" w:rsidRPr="00000000">
              <w:rPr>
                <w:b w:val="1"/>
                <w:bCs w:val="1"/>
                <w:sz w:val="24"/>
                <w:szCs w:val="24"/>
                <w:rtl w:val="0"/>
              </w:rPr>
              <w:t xml:space="preserve">REQ-03:</w:t>
            </w:r>
            <w:r w:rsidDel="00000000" w:rsidR="00000000" w:rsidRPr="00000000">
              <w:rPr>
                <w:sz w:val="24"/>
                <w:szCs w:val="24"/>
                <w:rtl w:val="0"/>
              </w:rPr>
              <w:t xml:space="preserve"> Hệ thống phải xử lý và hoàn tất giao dịch thanh toán trong thời gian tối đa 3 giây cho mỗi yêu cầu gửi từ ứng dụng, đảm bảo tỷ lệ giao dịch thành công đạt ít nhất 99.9% trong điều kiện tải thông thường. </w:t>
            </w:r>
          </w:p>
        </w:tc>
      </w:tr>
    </w:tbl>
    <w:p w:rsidR="00000000" w:rsidDel="00000000" w:rsidP="00000000" w:rsidRDefault="00000000" w:rsidRPr="00000000" w14:paraId="0000001E">
      <w:pPr>
        <w:rPr>
          <w:sz w:val="24"/>
          <w:szCs w:val="2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cPr>
      <w:shd w:fill="ffffff" w:val="clear"/>
    </w:tcPr>
  </w:style>
  <w:style w:type="table" w:styleId="Table2">
    <w:basedOn w:val="TableNormal"/>
    <w:tblPr>
      <w:tblStyleRowBandSize w:val="1"/>
      <w:tblStyleColBandSize w:val="1"/>
      <w:tblCellMar/>
    </w:tblPr>
    <w:tcPr>
      <w:shd w:fill="ffffff"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