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8"/>
          <w:szCs w:val="28"/>
          <w:rtl w:val="0"/>
        </w:rPr>
        <w:t xml:space="preserve">Bước 1 — Phân loại 5 ghi chú thành yêu cầu chức năng/phi chức năng và xác định vị trí IEEE 830</w:t>
      </w: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810"/>
        <w:gridCol w:w="3240"/>
        <w:tblGridChange w:id="0">
          <w:tblGrid>
            <w:gridCol w:w="1860"/>
            <w:gridCol w:w="3810"/>
            <w:gridCol w:w="3240"/>
          </w:tblGrid>
        </w:tblGridChange>
      </w:tblGrid>
      <w:tr>
        <w:trPr>
          <w:cantSplit w:val="0"/>
          <w:trHeight w:val="78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Ghi chú</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Loại yêu cầu (Chức năng/Phi chức năng)</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Vị trí IEEE 830 đề xuất</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Ghi chú 1</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Chức năng (Functional)</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3.2 Functional Requirements</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Ghi chú 2</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Phi chức năng (Non-Functional)</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3.3 Performance Requirements</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Ghi chú 3</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Chức năng (Functional)</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3.2 Functional Requirements</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Ghi chú 4</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Phi chức năng (Non-Functional)</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3.5 Design Constraints</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Ghi chú 5</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Phi chức năng (Non-Functional)</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3.6 Security Requirements</w:t>
            </w:r>
            <w:r w:rsidDel="00000000" w:rsidR="00000000" w:rsidRPr="00000000">
              <w:rPr>
                <w:rtl w:val="0"/>
              </w:rPr>
            </w:r>
          </w:p>
        </w:tc>
      </w:tr>
    </w:tbl>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8"/>
          <w:szCs w:val="28"/>
          <w:rtl w:val="0"/>
        </w:rPr>
        <w:t xml:space="preserve">Bước 2 — Xác định vị trí cho 2 sơ đồ đã có sẵn</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3375"/>
        <w:gridCol w:w="2010"/>
        <w:tblGridChange w:id="0">
          <w:tblGrid>
            <w:gridCol w:w="3525"/>
            <w:gridCol w:w="3375"/>
            <w:gridCol w:w="2010"/>
          </w:tblGrid>
        </w:tblGridChange>
      </w:tblGrid>
      <w:tr>
        <w:trPr>
          <w:cantSplit w:val="0"/>
          <w:trHeight w:val="54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Sơ đồ</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Vị trí IEEE 830 đề xuất</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Lý do</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Use Case Diagram tổng thể</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3.2 Functional Requirements</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Cung cấp cái nhìn trực quan về các chức năng hệ thống và phạm vi tương tác giữa các Actor (Khách hàng, Nhân viên bếp) với hệ thống.</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ERD Đơn hàng - Món ăn</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3.4 Logical Database Requirements</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Minh họa cấu trúc dữ liệu, các thực thể chính (Đơn hàng, Món ăn, Chi tiết đơn hàng...) và mối quan hệ lưu trữ dữ liệu dưới cơ sở dữ liệu.</w:t>
            </w:r>
          </w:p>
        </w:tc>
      </w:tr>
    </w:tbl>
    <w:p w:rsidR="00000000" w:rsidDel="00000000" w:rsidP="00000000" w:rsidRDefault="00000000" w:rsidRPr="00000000" w14:paraId="0000001F">
      <w:pPr>
        <w:rPr>
          <w:sz w:val="24"/>
          <w:szCs w:val="24"/>
        </w:rPr>
      </w:pPr>
      <w:r w:rsidDel="00000000" w:rsidR="00000000" w:rsidRPr="00000000">
        <w:rPr>
          <w:b w:val="1"/>
          <w:bCs w:val="1"/>
          <w:sz w:val="28"/>
          <w:szCs w:val="28"/>
          <w:rtl w:val="0"/>
        </w:rPr>
        <w:t xml:space="preserve">Bước 3 — Viết lại các ghi chú còn vi phạm đặc tính vàng</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955"/>
        <w:gridCol w:w="4125"/>
        <w:tblGridChange w:id="0">
          <w:tblGrid>
            <w:gridCol w:w="1815"/>
            <w:gridCol w:w="2955"/>
            <w:gridCol w:w="4125"/>
          </w:tblGrid>
        </w:tblGridChange>
      </w:tblGrid>
      <w:tr>
        <w:trPr>
          <w:cantSplit w:val="0"/>
          <w:trHeight w:val="78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Ghi chú</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Đặc tính vàng bị vi phạm</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Viết lại đạt chuẩn (có chỉ số/điều kiện cụ thể)</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Ghi chú 2</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Không đo lường được / Mơ hồ: Sử dụng từ cảm tính "nhanh chóng", khiến đội QA không có mốc thời gian cụ thể để đo lường khi kiểm thử hiệu năng.</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Hệ thống phải tải và hiển thị hoàn tất giao diện thực đơn trong vòng tối đa 2 giây kể từ thời điểm quét mã QR thành công (trong điều kiện mạng ổn định).</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Ghi chú 4</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Không kiểm thử được (Unverifiable) / Không cụ thể: Sử dụng từ ngữ định tính "phổ biến", "quá cũ", thiếu tiêu chí kỹ thuật rõ ràng để Dev triển khai và QA kiểm thử tương thích.</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Hệ thống bắt buộc phải hỗ trợ và hiển thị chính xác trên các trình duyệt di động: Google Chrome (phiên bản 100 trở lên) và Safari (từ iOS 15 trở lên).</w:t>
            </w:r>
          </w:p>
        </w:tc>
      </w:tr>
    </w:tbl>
    <w:p w:rsidR="00000000" w:rsidDel="00000000" w:rsidP="00000000" w:rsidRDefault="00000000" w:rsidRPr="00000000" w14:paraId="0000002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