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C7292A">
      <w:pPr>
        <w:pStyle w:val="1"/>
      </w:pPr>
      <w:r w:rsidRPr="00B94615">
        <w:rPr>
          <w:rFonts w:hint="eastAsia"/>
        </w:rPr>
        <w:t>はじめに</w:t>
      </w:r>
    </w:p>
    <w:p w:rsidR="00470411" w:rsidRDefault="00470411" w:rsidP="00470411">
      <w:r>
        <w:rPr>
          <w:rFonts w:hint="eastAsia"/>
        </w:rPr>
        <w:t xml:space="preserve">　「ユーロ（€）」は、欧州連合</w:t>
      </w:r>
      <w:r>
        <w:t>の経済通貨同盟で使われている通貨単位で、現在加盟国28か国のうち</w:t>
      </w:r>
      <w:r>
        <w:rPr>
          <w:rFonts w:hint="eastAsia"/>
        </w:rPr>
        <w:t>19</w:t>
      </w:r>
      <w:r>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C7292A">
      <w:pPr>
        <w:pStyle w:val="1"/>
      </w:pPr>
      <w:r w:rsidRPr="00B94615">
        <w:rPr>
          <w:rFonts w:hint="eastAsia"/>
        </w:rPr>
        <w:t>ユーロ導入の経緯</w:t>
      </w:r>
    </w:p>
    <w:p w:rsidR="00470411" w:rsidRPr="00B94615" w:rsidRDefault="00470411" w:rsidP="00C7292A">
      <w:pPr>
        <w:pStyle w:val="2"/>
      </w:pPr>
      <w:r w:rsidRPr="00B94615">
        <w:t>1957年　欧州経済共同体（EEC）の創設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C7292A">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r w:rsidR="005E7ED7">
        <w:rPr>
          <w:rFonts w:hint="eastAsia"/>
        </w:rPr>
        <w:t>この時のことを、経済学者アルベールは、その著書の中で次のようにいっている。</w:t>
      </w:r>
    </w:p>
    <w:p w:rsidR="005E7ED7" w:rsidRDefault="005E7ED7" w:rsidP="00470411">
      <w:r>
        <w:rPr>
          <w:rFonts w:hint="eastAsia"/>
        </w:rPr>
        <w:t>『1980年までに</w:t>
      </w:r>
      <w:r>
        <w:t>ＥＭＵを創設すると</w:t>
      </w:r>
      <w:r>
        <w:rPr>
          <w:rFonts w:hint="eastAsia"/>
        </w:rPr>
        <w:t>いう当初の目的は暗黒の闇に沈み込み、ここからはその姿を垣間見ることさえままならない』</w:t>
      </w:r>
    </w:p>
    <w:p w:rsidR="00470411" w:rsidRDefault="00470411" w:rsidP="00470411"/>
    <w:p w:rsidR="00470411" w:rsidRPr="00B94615" w:rsidRDefault="00470411" w:rsidP="00C7292A">
      <w:pPr>
        <w:pStyle w:val="2"/>
      </w:pPr>
      <w:r w:rsidRPr="00B94615">
        <w:t>1979年　欧州通貨制度（EMS）の創設</w:t>
      </w:r>
    </w:p>
    <w:p w:rsidR="00470411" w:rsidRDefault="00470411" w:rsidP="00470411">
      <w:r>
        <w:rPr>
          <w:rFonts w:hint="eastAsia"/>
        </w:rPr>
        <w:t xml:space="preserve">　ヨーロッパ各国で不況とインフレが併存する状態となり、ドイツとフランスを中心</w:t>
      </w:r>
      <w:r w:rsidR="00C877C9">
        <w:rPr>
          <w:rFonts w:hint="eastAsia"/>
        </w:rPr>
        <w:t>として</w:t>
      </w:r>
      <w:r>
        <w:rPr>
          <w:rFonts w:hint="eastAsia"/>
        </w:rPr>
        <w:t>為替相場の安定化・安定的な通貨圏の創設を目的に、欧州通貨制度が創設された。米ド</w:t>
      </w:r>
      <w:r>
        <w:rPr>
          <w:rFonts w:hint="eastAsia"/>
        </w:rPr>
        <w:lastRenderedPageBreak/>
        <w:t>ルに代わり、ユーロの原型となる欧州通貨単位（</w:t>
      </w:r>
      <w:r>
        <w:t>ECU）が導入されることになった。</w:t>
      </w:r>
    </w:p>
    <w:p w:rsidR="00470411" w:rsidRDefault="00470411" w:rsidP="00470411"/>
    <w:p w:rsidR="00470411" w:rsidRPr="00B94615" w:rsidRDefault="00470411" w:rsidP="00C7292A">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E50899" w:rsidRDefault="00FA1EC3" w:rsidP="00E50899">
      <w:pPr>
        <w:keepNext/>
      </w:pPr>
      <w:r>
        <w:rPr>
          <w:noProof/>
        </w:rPr>
        <w:drawing>
          <wp:inline distT="0" distB="0" distL="0" distR="0" wp14:anchorId="5AD1CACA" wp14:editId="3D5D892A">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B516E" w:rsidRDefault="00E50899" w:rsidP="00E50899">
      <w:pPr>
        <w:pStyle w:val="a9"/>
      </w:pPr>
      <w:r>
        <w:t xml:space="preserve">図 </w:t>
      </w:r>
      <w:fldSimple w:instr=" SEQ 図 \* ARABIC ">
        <w:r>
          <w:rPr>
            <w:noProof/>
          </w:rPr>
          <w:t>1</w:t>
        </w:r>
      </w:fldSimple>
      <w:r w:rsidRPr="002E6AEE">
        <w:rPr>
          <w:rFonts w:hint="eastAsia"/>
        </w:rPr>
        <w:t>ドロール報告書による単一通貨導入までの流れ</w:t>
      </w:r>
    </w:p>
    <w:p w:rsidR="00351871" w:rsidRDefault="00351871" w:rsidP="00CB516E">
      <w:pPr>
        <w:pStyle w:val="a9"/>
      </w:pPr>
    </w:p>
    <w:p w:rsidR="00BC6286" w:rsidRDefault="00BC6286" w:rsidP="00BC6286"/>
    <w:p w:rsidR="00470411" w:rsidRPr="00B94615" w:rsidRDefault="00470411" w:rsidP="00C7292A">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B752F0" w:rsidRPr="00A75DD2" w:rsidRDefault="00B752F0" w:rsidP="00B752F0">
      <w:pPr>
        <w:pStyle w:val="a0"/>
        <w:numPr>
          <w:ilvl w:val="0"/>
          <w:numId w:val="4"/>
        </w:numPr>
        <w:ind w:leftChars="200" w:left="859"/>
        <w:rPr>
          <w:sz w:val="24"/>
        </w:rPr>
      </w:pPr>
      <w:r w:rsidRPr="00A75DD2">
        <w:rPr>
          <w:rFonts w:hint="eastAsia"/>
          <w:sz w:val="24"/>
        </w:rPr>
        <w:t>欧州共同体</w:t>
      </w:r>
    </w:p>
    <w:p w:rsidR="00B752F0" w:rsidRPr="00A75DD2" w:rsidRDefault="00B752F0" w:rsidP="00B752F0">
      <w:pPr>
        <w:pStyle w:val="a0"/>
        <w:numPr>
          <w:ilvl w:val="0"/>
          <w:numId w:val="4"/>
        </w:numPr>
        <w:ind w:leftChars="200" w:left="859"/>
        <w:rPr>
          <w:sz w:val="24"/>
        </w:rPr>
      </w:pPr>
      <w:r w:rsidRPr="00A75DD2">
        <w:rPr>
          <w:rFonts w:hint="eastAsia"/>
          <w:sz w:val="24"/>
        </w:rPr>
        <w:t>共通外交・安全保障政策</w:t>
      </w:r>
    </w:p>
    <w:p w:rsidR="00BC6286" w:rsidRPr="00B752F0" w:rsidRDefault="00B752F0" w:rsidP="00BC6286">
      <w:pPr>
        <w:pStyle w:val="a0"/>
        <w:numPr>
          <w:ilvl w:val="0"/>
          <w:numId w:val="4"/>
        </w:numPr>
        <w:ind w:leftChars="200" w:left="859"/>
        <w:rPr>
          <w:sz w:val="24"/>
        </w:rPr>
      </w:pPr>
      <w:r w:rsidRPr="00A75DD2">
        <w:rPr>
          <w:rFonts w:hint="eastAsia"/>
          <w:sz w:val="24"/>
        </w:rPr>
        <w:t>警察・刑事司法協力</w:t>
      </w:r>
    </w:p>
    <w:p w:rsidR="00470411" w:rsidRDefault="00470411" w:rsidP="00470411">
      <w:r>
        <w:rPr>
          <w:rFonts w:hint="eastAsia"/>
        </w:rPr>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w:t>
      </w:r>
      <w:r>
        <w:lastRenderedPageBreak/>
        <w:t>達していることを条件としている。</w:t>
      </w:r>
    </w:p>
    <w:p w:rsidR="00470411" w:rsidRDefault="00470411" w:rsidP="00470411"/>
    <w:p w:rsidR="00470411" w:rsidRPr="00C7292A" w:rsidRDefault="00470411" w:rsidP="00C7292A">
      <w:pPr>
        <w:pStyle w:val="2"/>
      </w:pPr>
      <w:r w:rsidRPr="00C7292A">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C7292A">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E50899">
            <w:pPr>
              <w:keepNext/>
            </w:pPr>
            <w:r>
              <w:rPr>
                <w:rFonts w:hint="eastAsia"/>
              </w:rPr>
              <w:t>リトアニア</w:t>
            </w:r>
          </w:p>
        </w:tc>
      </w:tr>
    </w:tbl>
    <w:p w:rsidR="00E50899" w:rsidRDefault="00E50899" w:rsidP="00E50899">
      <w:pPr>
        <w:pStyle w:val="a9"/>
      </w:pPr>
      <w:r>
        <w:t xml:space="preserve">表 </w:t>
      </w:r>
      <w:fldSimple w:instr=" SEQ 表 \* ARABIC ">
        <w:r>
          <w:rPr>
            <w:noProof/>
          </w:rPr>
          <w:t>1</w:t>
        </w:r>
      </w:fldSimple>
      <w:r w:rsidRPr="005270E7">
        <w:rPr>
          <w:rFonts w:hint="eastAsia"/>
        </w:rPr>
        <w:t>ユーロ導入国の推移</w:t>
      </w:r>
    </w:p>
    <w:p w:rsidR="00470411" w:rsidRDefault="00470411" w:rsidP="00470411">
      <w:r>
        <w:rPr>
          <w:rFonts w:hint="eastAsia"/>
        </w:rPr>
        <w:t>※</w:t>
      </w:r>
      <w:r w:rsidR="000C496D">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470411" w:rsidP="00C7292A">
      <w:pPr>
        <w:pStyle w:val="1"/>
      </w:pPr>
      <w:r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w:t>
      </w:r>
      <w:r>
        <w:lastRenderedPageBreak/>
        <w:t>を発表したため、ユーロに対する不安が大きく緩和され</w:t>
      </w:r>
      <w:r w:rsidR="00C877C9">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B752F0" w:rsidRDefault="00F01850" w:rsidP="00B752F0">
      <w:pPr>
        <w:keepNext/>
      </w:pPr>
      <w:r>
        <w:rPr>
          <w:noProof/>
        </w:rPr>
        <w:drawing>
          <wp:inline distT="0" distB="0" distL="0" distR="0" wp14:anchorId="2D15C6B2" wp14:editId="37746D03">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F43E4C" w:rsidRPr="00B752F0" w:rsidRDefault="00E50899" w:rsidP="00E50899">
      <w:pPr>
        <w:pStyle w:val="a9"/>
      </w:pPr>
      <w:r>
        <w:t xml:space="preserve">図 </w:t>
      </w:r>
      <w:fldSimple w:instr=" SEQ 図 \* ARABIC ">
        <w:r>
          <w:rPr>
            <w:noProof/>
          </w:rPr>
          <w:t>2</w:t>
        </w:r>
      </w:fldSimple>
      <w:r w:rsidRPr="00656CD8">
        <w:rPr>
          <w:rFonts w:hint="eastAsia"/>
        </w:rPr>
        <w:t>ユーロ為替レートの推移</w:t>
      </w:r>
      <w:bookmarkStart w:id="0" w:name="_GoBack"/>
      <w:bookmarkEnd w:id="0"/>
    </w:p>
    <w:sectPr w:rsidR="00F43E4C" w:rsidRPr="00B752F0" w:rsidSect="00A37341">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FD3" w:rsidRDefault="00595FD3" w:rsidP="001910C0">
      <w:r>
        <w:separator/>
      </w:r>
    </w:p>
  </w:endnote>
  <w:endnote w:type="continuationSeparator" w:id="0">
    <w:p w:rsidR="00595FD3" w:rsidRDefault="00595FD3"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00" w:rsidRDefault="00EF2C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584259"/>
      <w:docPartObj>
        <w:docPartGallery w:val="Page Numbers (Bottom of Page)"/>
        <w:docPartUnique/>
      </w:docPartObj>
    </w:sdtPr>
    <w:sdtEndPr/>
    <w:sdtContent>
      <w:p w:rsidR="00EF2C00" w:rsidRDefault="00EF2C00" w:rsidP="00EF2C00">
        <w:pPr>
          <w:pStyle w:val="a6"/>
          <w:jc w:val="center"/>
        </w:pPr>
        <w:r>
          <w:fldChar w:fldCharType="begin"/>
        </w:r>
        <w:r>
          <w:instrText>PAGE   \* MERGEFORMAT</w:instrText>
        </w:r>
        <w:r>
          <w:fldChar w:fldCharType="separate"/>
        </w:r>
        <w:r w:rsidR="00E50899" w:rsidRPr="00E50899">
          <w:rPr>
            <w:noProof/>
            <w:lang w:val="ja-JP"/>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00" w:rsidRDefault="00EF2C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FD3" w:rsidRDefault="00595FD3" w:rsidP="001910C0">
      <w:r>
        <w:separator/>
      </w:r>
    </w:p>
  </w:footnote>
  <w:footnote w:type="continuationSeparator" w:id="0">
    <w:p w:rsidR="00595FD3" w:rsidRDefault="00595FD3" w:rsidP="0019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00" w:rsidRDefault="00EF2C0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6ED" w:rsidRDefault="007E76ED" w:rsidP="007E76ED">
    <w:pPr>
      <w:pStyle w:val="a4"/>
      <w:jc w:val="right"/>
    </w:pPr>
    <w:r>
      <w:rPr>
        <w:rFonts w:hint="eastAsia"/>
      </w:rPr>
      <w:t>2015年10月20日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00" w:rsidRDefault="00EF2C0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DE4C8BC0"/>
    <w:lvl w:ilvl="0" w:tplc="E5E2A2A8">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902FC3"/>
    <w:multiLevelType w:val="hybridMultilevel"/>
    <w:tmpl w:val="EEF247B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914BB8"/>
    <w:multiLevelType w:val="hybridMultilevel"/>
    <w:tmpl w:val="29CE1C9A"/>
    <w:lvl w:ilvl="0" w:tplc="A7BC5A68">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0"/>
  <w:bordersDoNotSurroundHeader/>
  <w:bordersDoNotSurroundFooter/>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0C496D"/>
    <w:rsid w:val="001910C0"/>
    <w:rsid w:val="0022546E"/>
    <w:rsid w:val="00294039"/>
    <w:rsid w:val="002C7AA4"/>
    <w:rsid w:val="002D182F"/>
    <w:rsid w:val="00351871"/>
    <w:rsid w:val="00401974"/>
    <w:rsid w:val="00470411"/>
    <w:rsid w:val="00481222"/>
    <w:rsid w:val="00505298"/>
    <w:rsid w:val="00580599"/>
    <w:rsid w:val="00595FD3"/>
    <w:rsid w:val="005C62D5"/>
    <w:rsid w:val="005E7ED7"/>
    <w:rsid w:val="006534C3"/>
    <w:rsid w:val="00694A77"/>
    <w:rsid w:val="006A210A"/>
    <w:rsid w:val="007C23F7"/>
    <w:rsid w:val="007D6AE7"/>
    <w:rsid w:val="007E76ED"/>
    <w:rsid w:val="00863804"/>
    <w:rsid w:val="008A085F"/>
    <w:rsid w:val="00937C9A"/>
    <w:rsid w:val="00963757"/>
    <w:rsid w:val="009C0DF4"/>
    <w:rsid w:val="00A0376B"/>
    <w:rsid w:val="00A37341"/>
    <w:rsid w:val="00B752F0"/>
    <w:rsid w:val="00B94615"/>
    <w:rsid w:val="00BC6286"/>
    <w:rsid w:val="00BC6A68"/>
    <w:rsid w:val="00C123B7"/>
    <w:rsid w:val="00C7292A"/>
    <w:rsid w:val="00C877C9"/>
    <w:rsid w:val="00CA3498"/>
    <w:rsid w:val="00CA4361"/>
    <w:rsid w:val="00CB516E"/>
    <w:rsid w:val="00D2214C"/>
    <w:rsid w:val="00D35A07"/>
    <w:rsid w:val="00D56306"/>
    <w:rsid w:val="00E335FA"/>
    <w:rsid w:val="00E50899"/>
    <w:rsid w:val="00EE260A"/>
    <w:rsid w:val="00EF2C00"/>
    <w:rsid w:val="00F01850"/>
    <w:rsid w:val="00F07B13"/>
    <w:rsid w:val="00F43E4C"/>
    <w:rsid w:val="00F62955"/>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0942BE"/>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7292A"/>
    <w:pPr>
      <w:numPr>
        <w:numId w:val="1"/>
      </w:numPr>
      <w:ind w:leftChars="0" w:left="0"/>
      <w:outlineLvl w:val="0"/>
    </w:pPr>
    <w:rPr>
      <w:sz w:val="24"/>
      <w:szCs w:val="24"/>
    </w:rPr>
  </w:style>
  <w:style w:type="paragraph" w:styleId="2">
    <w:name w:val="heading 2"/>
    <w:basedOn w:val="a0"/>
    <w:next w:val="a"/>
    <w:link w:val="20"/>
    <w:uiPriority w:val="9"/>
    <w:unhideWhenUsed/>
    <w:qFormat/>
    <w:rsid w:val="00C7292A"/>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C7292A"/>
    <w:rPr>
      <w:sz w:val="24"/>
      <w:szCs w:val="24"/>
    </w:rPr>
  </w:style>
  <w:style w:type="character" w:customStyle="1" w:styleId="20">
    <w:name w:val="見出し 2 (文字)"/>
    <w:basedOn w:val="a1"/>
    <w:link w:val="2"/>
    <w:uiPriority w:val="9"/>
    <w:rsid w:val="00C7292A"/>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1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3339-ADA6-4872-B64E-3FC1727E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331</Words>
  <Characters>1888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2017-02-07T04:42:00Z</dcterms:created>
  <dcterms:modified xsi:type="dcterms:W3CDTF">2017-02-07T04:42:00Z</dcterms:modified>
</cp:coreProperties>
</file>