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B02146" w14:textId="77777777" w:rsidR="00C41B91" w:rsidRDefault="00C41B91" w:rsidP="00C41B91"/>
    <w:p w14:paraId="2CF94090" w14:textId="77777777" w:rsidR="00C41B91" w:rsidRDefault="00C41B91" w:rsidP="00C41B91"/>
    <w:p w14:paraId="712EAEC0" w14:textId="77777777" w:rsidR="00C41B91" w:rsidRDefault="00C41B91" w:rsidP="00C41B91"/>
    <w:p w14:paraId="26F2DECF" w14:textId="77777777" w:rsidR="00C41B91" w:rsidRDefault="00C41B91" w:rsidP="00C41B91"/>
    <w:p w14:paraId="4E5A63C5" w14:textId="77777777" w:rsidR="00C41B91" w:rsidRDefault="00C41B91" w:rsidP="00C41B91"/>
    <w:p w14:paraId="7CB25BB9" w14:textId="77777777" w:rsidR="00C41B91" w:rsidRPr="003C7D46" w:rsidRDefault="00C41B91" w:rsidP="00C41B91">
      <w:pPr>
        <w:pStyle w:val="a4"/>
      </w:pPr>
      <w:r w:rsidRPr="003C7D46">
        <w:t>医療費控除</w:t>
      </w:r>
    </w:p>
    <w:p w14:paraId="6175BC45" w14:textId="77777777" w:rsidR="00C41B91" w:rsidRPr="008B3817" w:rsidRDefault="00C41B91" w:rsidP="00C41B91">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3817">
        <w:rPr>
          <w:rFonts w:hint="eastAsi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～医療費について考える～</w:t>
      </w:r>
      <w:bookmarkStart w:id="0" w:name="_GoBack"/>
      <w:bookmarkEnd w:id="0"/>
    </w:p>
    <w:p w14:paraId="7CC48AD7" w14:textId="77777777" w:rsidR="00C41B91" w:rsidRDefault="00C41B91" w:rsidP="00C41B91">
      <w:pPr>
        <w:rPr>
          <w:b/>
        </w:rPr>
      </w:pPr>
      <w:r>
        <w:rPr>
          <w:b/>
          <w:noProof/>
        </w:rPr>
        <mc:AlternateContent>
          <mc:Choice Requires="wps">
            <w:drawing>
              <wp:anchor distT="0" distB="0" distL="114300" distR="114300" simplePos="0" relativeHeight="251659264" behindDoc="0" locked="0" layoutInCell="1" allowOverlap="1" wp14:anchorId="6E881CBF" wp14:editId="76C3C658">
                <wp:simplePos x="0" y="0"/>
                <wp:positionH relativeFrom="margin">
                  <wp:posOffset>1400810</wp:posOffset>
                </wp:positionH>
                <wp:positionV relativeFrom="margin">
                  <wp:posOffset>6848656</wp:posOffset>
                </wp:positionV>
                <wp:extent cx="3375660" cy="647700"/>
                <wp:effectExtent l="0" t="0" r="15240" b="19050"/>
                <wp:wrapSquare wrapText="bothSides"/>
                <wp:docPr id="3" name="テキスト ボックス 3"/>
                <wp:cNvGraphicFramePr/>
                <a:graphic xmlns:a="http://schemas.openxmlformats.org/drawingml/2006/main">
                  <a:graphicData uri="http://schemas.microsoft.com/office/word/2010/wordprocessingShape">
                    <wps:wsp>
                      <wps:cNvSpPr txBox="1"/>
                      <wps:spPr>
                        <a:xfrm>
                          <a:off x="0" y="0"/>
                          <a:ext cx="3375660" cy="647700"/>
                        </a:xfrm>
                        <a:prstGeom prst="rect">
                          <a:avLst/>
                        </a:prstGeom>
                        <a:solidFill>
                          <a:schemeClr val="bg2">
                            <a:lumMod val="50000"/>
                          </a:schemeClr>
                        </a:solidFill>
                        <a:ln w="6350">
                          <a:solidFill>
                            <a:prstClr val="black"/>
                          </a:solidFill>
                        </a:ln>
                      </wps:spPr>
                      <wps:txbx>
                        <w:txbxContent>
                          <w:p w14:paraId="256622D4" w14:textId="77777777" w:rsidR="00C41B91" w:rsidRPr="000C1E7A" w:rsidRDefault="00C41B91" w:rsidP="00C41B91">
                            <w:pPr>
                              <w:jc w:val="center"/>
                              <w:rPr>
                                <w:b/>
                                <w:bCs/>
                                <w:color w:val="FFFFFF" w:themeColor="background1"/>
                                <w:sz w:val="24"/>
                                <w:szCs w:val="24"/>
                              </w:rPr>
                            </w:pPr>
                            <w:r w:rsidRPr="00B37701">
                              <w:rPr>
                                <w:b/>
                                <w:bCs/>
                                <w:color w:val="FFFFFF" w:themeColor="background1"/>
                                <w:sz w:val="24"/>
                                <w:szCs w:val="24"/>
                              </w:rPr>
                              <w:t>FOM健康保険組合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E881CBF" id="_x0000_t202" coordsize="21600,21600" o:spt="202" path="m,l,21600r21600,l21600,xe">
                <v:stroke joinstyle="miter"/>
                <v:path gradientshapeok="t" o:connecttype="rect"/>
              </v:shapetype>
              <v:shape id="テキスト ボックス 3" o:spid="_x0000_s1026" type="#_x0000_t202" style="position:absolute;margin-left:110.3pt;margin-top:539.25pt;width:265.8pt;height:51pt;z-index:251659264;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" fillcolor="#747070 [1614]" strokeweight=".5pt">
                <v:textbox>
                  <w:txbxContent>
                    <w:p w14:paraId="256622D4" w14:textId="77777777" w:rsidR="00C41B91" w:rsidRPr="000C1E7A" w:rsidRDefault="00C41B91" w:rsidP="00C41B91">
                      <w:pPr>
                        <w:jc w:val="center"/>
                        <w:rPr>
                          <w:b/>
                          <w:bCs/>
                          <w:color w:val="FFFFFF" w:themeColor="background1"/>
                          <w:sz w:val="24"/>
                          <w:szCs w:val="24"/>
                        </w:rPr>
                      </w:pPr>
                      <w:r w:rsidRPr="00B37701">
                        <w:rPr>
                          <w:b/>
                          <w:bCs/>
                          <w:color w:val="FFFFFF" w:themeColor="background1"/>
                          <w:sz w:val="24"/>
                          <w:szCs w:val="24"/>
                        </w:rPr>
                        <w:t>FOM健康保険組合</w:t>
                      </w:r>
                    </w:p>
                  </w:txbxContent>
                </v:textbox>
                <w10:wrap type="square" anchorx="margin" anchory="margin"/>
              </v:shape>
            </w:pict>
          </mc:Fallback>
        </mc:AlternateContent>
      </w:r>
    </w:p>
    <w:p w14:paraId="1B0F49E7" w14:textId="77777777" w:rsidR="00C41B91" w:rsidRDefault="00C41B91" w:rsidP="00C41B91">
      <w:pPr>
        <w:rPr>
          <w:b/>
        </w:rPr>
        <w:sectPr w:rsidR="00C41B91" w:rsidSect="00283816">
          <w:pgSz w:w="11906" w:h="16838" w:code="9"/>
          <w:pgMar w:top="1440" w:right="1418" w:bottom="1077" w:left="1418" w:header="851" w:footer="992" w:gutter="0"/>
          <w:pgNumType w:start="0"/>
          <w:cols w:space="425"/>
          <w:titlePg/>
          <w:docGrid w:type="lines" w:linePitch="360"/>
        </w:sectPr>
      </w:pPr>
    </w:p>
    <w:p w14:paraId="3492D6B2" w14:textId="77777777" w:rsidR="00C41B91" w:rsidRPr="00AE152C" w:rsidRDefault="00C41B91" w:rsidP="00C41B91">
      <w:pPr>
        <w:pStyle w:val="1"/>
      </w:pPr>
      <w:r w:rsidRPr="00AE152C">
        <w:rPr>
          <w:rFonts w:hint="eastAsia"/>
        </w:rPr>
        <w:lastRenderedPageBreak/>
        <w:t>領収書を知る</w:t>
      </w:r>
    </w:p>
    <w:p w14:paraId="004331DA" w14:textId="77777777" w:rsidR="00C41B91" w:rsidRPr="00AE152C" w:rsidRDefault="00C41B91" w:rsidP="00C41B91">
      <w:pPr>
        <w:pStyle w:val="2"/>
      </w:pPr>
      <w:r w:rsidRPr="00AE152C">
        <w:rPr>
          <w:rFonts w:hint="eastAsia"/>
        </w:rPr>
        <w:t>どんな領収書をもらっている？</w:t>
      </w:r>
    </w:p>
    <w:p w14:paraId="2CDC1ABD" w14:textId="77777777" w:rsidR="00C41B91" w:rsidRPr="003C7D46" w:rsidRDefault="00C41B91" w:rsidP="00C41B91">
      <w:pPr>
        <w:rPr>
          <w:rFonts w:asciiTheme="minorEastAsia" w:hAnsiTheme="minorEastAsia" w:cs="Times New Roman"/>
        </w:rPr>
      </w:pPr>
      <w:r w:rsidRPr="003C7D46">
        <w:rPr>
          <w:rFonts w:asciiTheme="minorEastAsia" w:hAnsiTheme="minorEastAsia" w:cs="Times New Roman" w:hint="eastAsia"/>
        </w:rPr>
        <w:t>私たちが買い物をしたとき、多くの場合、領収書やレシートをもらっていますが、これはお金を支払ったことに対する証明になるものです。レシートには、ひとつひとつの品名が記載されていて、あとから何がいくらだったかを知ることができます。病院などにかかったときも、受けた治療に対して代金を支払っているわけですから、領収書（レシート）をもらうのは当然といえるでしょう。</w:t>
      </w:r>
    </w:p>
    <w:p w14:paraId="12FA9463" w14:textId="77777777" w:rsidR="00C41B91" w:rsidRPr="00AE3CED" w:rsidRDefault="00C41B91" w:rsidP="00C41B91">
      <w:pPr>
        <w:pStyle w:val="2"/>
      </w:pPr>
      <w:r w:rsidRPr="00AE3CED">
        <w:rPr>
          <w:rFonts w:hint="eastAsia"/>
        </w:rPr>
        <w:t>医療費の内訳を知るには</w:t>
      </w:r>
    </w:p>
    <w:p w14:paraId="321B6605" w14:textId="77777777" w:rsidR="00C41B91" w:rsidRPr="00AE3CED" w:rsidRDefault="00C41B91" w:rsidP="00C41B91">
      <w:pPr>
        <w:rPr>
          <w:rFonts w:asciiTheme="minorEastAsia" w:hAnsiTheme="minorEastAsia" w:cs="Times New Roman"/>
        </w:rPr>
      </w:pPr>
      <w:r w:rsidRPr="00AE3CED">
        <w:rPr>
          <w:rFonts w:asciiTheme="minorEastAsia" w:hAnsiTheme="minorEastAsia" w:cs="Times New Roman" w:hint="eastAsia"/>
        </w:rPr>
        <w:t>ご存知のとおり、私たちは病院などで治療を受けたとき、健康保険組合に加入しているため、窓口では医療費の</w:t>
      </w:r>
      <w:r w:rsidRPr="00AE3CED">
        <w:rPr>
          <w:rFonts w:asciiTheme="minorEastAsia" w:hAnsiTheme="minorEastAsia" w:cs="Times New Roman"/>
        </w:rPr>
        <w:t>3割</w:t>
      </w:r>
      <w:r w:rsidRPr="00AE3CED">
        <w:rPr>
          <w:rFonts w:asciiTheme="minorEastAsia" w:hAnsiTheme="minorEastAsia" w:cs="Times New Roman" w:hint="eastAsia"/>
        </w:rPr>
        <w:t>分</w:t>
      </w:r>
      <w:r w:rsidRPr="00AE3CED">
        <w:rPr>
          <w:rFonts w:asciiTheme="minorEastAsia" w:hAnsiTheme="minorEastAsia" w:cs="Times New Roman"/>
        </w:rPr>
        <w:t>を支払っています。</w:t>
      </w:r>
    </w:p>
    <w:p w14:paraId="60258F4D" w14:textId="77777777" w:rsidR="00C41B91" w:rsidRPr="00AE3CED" w:rsidRDefault="00C41B91" w:rsidP="00C41B91">
      <w:pPr>
        <w:rPr>
          <w:rFonts w:asciiTheme="minorEastAsia" w:hAnsiTheme="minorEastAsia" w:cs="Times New Roman"/>
        </w:rPr>
      </w:pPr>
      <w:r w:rsidRPr="00AE3CED">
        <w:rPr>
          <w:rFonts w:asciiTheme="minorEastAsia" w:hAnsiTheme="minorEastAsia" w:cs="Times New Roman" w:hint="eastAsia"/>
        </w:rPr>
        <w:t>病院の窓口では、実際にかかった医療費の総額がわかる領収書をもらいます。領収書には診察料や投薬料などが記載されているためおおよその見当がつくにしろ、どんな治療内容で何にいくらかかったかということまではわかりません。これらの治療内容の詳細を知りたい場合、病院から健康保険組合に出される「レセプト（診療報酬明細書）」を確認する必要があります。</w:t>
      </w:r>
    </w:p>
    <w:p w14:paraId="1BF773BD" w14:textId="77777777" w:rsidR="00C41B91" w:rsidRPr="00AE3CED" w:rsidRDefault="00C41B91" w:rsidP="00C41B91">
      <w:pPr>
        <w:rPr>
          <w:rFonts w:asciiTheme="minorEastAsia" w:hAnsiTheme="minorEastAsia" w:cs="Times New Roman"/>
        </w:rPr>
      </w:pPr>
      <w:r w:rsidRPr="00AE3CED">
        <w:rPr>
          <w:rFonts w:asciiTheme="minorEastAsia" w:hAnsiTheme="minorEastAsia" w:cs="Times New Roman" w:hint="eastAsia"/>
        </w:rPr>
        <w:t>地域や病院によっても異なりますが、レセプトは開示を求めることができます。自分の受けた医療サービスや支払った医療費の内容を理解し、チェックすることは重要です。もし、疑問があったらレセプトを請求して、内容を確認してみましょう。</w:t>
      </w:r>
    </w:p>
    <w:p w14:paraId="7F1FC950" w14:textId="77777777" w:rsidR="00C41B91" w:rsidRPr="00AE3CED" w:rsidRDefault="00C41B91" w:rsidP="00C41B91">
      <w:pPr>
        <w:pStyle w:val="2"/>
      </w:pPr>
      <w:r w:rsidRPr="00AE3CED">
        <w:rPr>
          <w:rFonts w:hint="eastAsia"/>
        </w:rPr>
        <w:t>領収書からわかるもの</w:t>
      </w:r>
    </w:p>
    <w:p w14:paraId="017AEFFD" w14:textId="77777777" w:rsidR="00C41B91" w:rsidRPr="00AE3CED" w:rsidRDefault="00C41B91" w:rsidP="00C41B91">
      <w:pPr>
        <w:rPr>
          <w:rFonts w:asciiTheme="minorEastAsia" w:hAnsiTheme="minorEastAsia" w:cs="Times New Roman"/>
        </w:rPr>
      </w:pPr>
      <w:r w:rsidRPr="00AE3CED">
        <w:rPr>
          <w:rFonts w:asciiTheme="minorEastAsia" w:hAnsiTheme="minorEastAsia" w:cs="Times New Roman" w:hint="eastAsia"/>
        </w:rPr>
        <w:t>医療の分野でも情報開示の流れが進んでいる現在、しっかりとした領収書を出す、出さないということが、その病院の姿勢を表しているといっても過言ではないでしょう。また、病院に対する評価の一部分を担うともいえるのではないでしょうか。</w:t>
      </w:r>
    </w:p>
    <w:p w14:paraId="64555C01" w14:textId="77777777" w:rsidR="00C41B91" w:rsidRPr="00AE3CED" w:rsidRDefault="00C41B91" w:rsidP="00C41B91">
      <w:pPr>
        <w:rPr>
          <w:rFonts w:asciiTheme="minorEastAsia" w:hAnsiTheme="minorEastAsia" w:cs="Times New Roman"/>
        </w:rPr>
      </w:pPr>
      <w:r w:rsidRPr="00AE3CED">
        <w:rPr>
          <w:rFonts w:asciiTheme="minorEastAsia" w:hAnsiTheme="minorEastAsia" w:cs="Times New Roman" w:hint="eastAsia"/>
        </w:rPr>
        <w:t>「適正な医療に適正な医療費」が叫ばれる中、私たちも医療に対するコスト意識をもたなければなりません。病院の領収書やレセプトが大きな役割を果たすとともに、医療や病院について知る貴重な情報源であるともいえるでしょう。</w:t>
      </w:r>
    </w:p>
    <w:p w14:paraId="39B77AD1" w14:textId="77777777" w:rsidR="00C41B91" w:rsidRDefault="00C41B91" w:rsidP="00C41B91">
      <w:pPr>
        <w:rPr>
          <w:caps/>
          <w:color w:val="FFFFFF" w:themeColor="background1"/>
          <w:spacing w:val="15"/>
          <w:sz w:val="28"/>
          <w:szCs w:val="28"/>
        </w:rPr>
      </w:pPr>
      <w:r>
        <w:br w:type="page"/>
      </w:r>
    </w:p>
    <w:p w14:paraId="4EEF6ACF" w14:textId="77777777" w:rsidR="00C41B91" w:rsidRPr="00AE3CED" w:rsidRDefault="00C41B91" w:rsidP="00C41B91">
      <w:pPr>
        <w:pStyle w:val="1"/>
      </w:pPr>
      <w:r w:rsidRPr="00AE3CED">
        <w:rPr>
          <w:rFonts w:hint="eastAsia"/>
        </w:rPr>
        <w:t>領収書を活用する</w:t>
      </w:r>
    </w:p>
    <w:p w14:paraId="51E15A98" w14:textId="77777777" w:rsidR="00C41B91" w:rsidRPr="00AE3CED" w:rsidRDefault="00C41B91" w:rsidP="00C41B91">
      <w:pPr>
        <w:pStyle w:val="2"/>
      </w:pPr>
      <w:r w:rsidRPr="00AE3CED">
        <w:rPr>
          <w:rFonts w:hint="eastAsia"/>
        </w:rPr>
        <w:t>医療費控除とは</w:t>
      </w:r>
    </w:p>
    <w:p w14:paraId="4D5D596D" w14:textId="77777777" w:rsidR="00C41B91" w:rsidRPr="00AE3CED" w:rsidRDefault="00C41B91" w:rsidP="00C41B91">
      <w:pPr>
        <w:rPr>
          <w:rFonts w:asciiTheme="minorEastAsia" w:hAnsiTheme="minorEastAsia" w:cs="Times New Roman"/>
        </w:rPr>
      </w:pPr>
      <w:r w:rsidRPr="00AE3CED">
        <w:rPr>
          <w:rFonts w:asciiTheme="minorEastAsia" w:hAnsiTheme="minorEastAsia" w:cs="Times New Roman" w:hint="eastAsia"/>
        </w:rPr>
        <w:t>医療費の自己負担が年間</w:t>
      </w:r>
      <w:r w:rsidRPr="00AE3CED">
        <w:rPr>
          <w:rFonts w:asciiTheme="minorEastAsia" w:hAnsiTheme="minorEastAsia" w:cs="Times New Roman"/>
        </w:rPr>
        <w:t>10万円を超えると税金が戻ってきます。この制度を「医療費控除」といいます。その年の1月1日から12月31日までの間で家計を共にする家族の医療費の合計が10万円を超えた場合は、申告すると、超えた額が所得額から控除され、控除分に見合う税金が戻ってきます。</w:t>
      </w:r>
    </w:p>
    <w:p w14:paraId="113C8D22" w14:textId="77777777" w:rsidR="00C41B91" w:rsidRPr="00AE3CED" w:rsidRDefault="00C41B91" w:rsidP="00C41B91">
      <w:pPr>
        <w:pStyle w:val="3"/>
        <w:ind w:left="840"/>
      </w:pPr>
      <w:commentRangeStart w:id="1"/>
      <w:r w:rsidRPr="00AE3CED">
        <w:rPr>
          <w:rFonts w:hint="eastAsia"/>
        </w:rPr>
        <w:t>医療費控除額の算出方法</w:t>
      </w:r>
      <w:commentRangeEnd w:id="1"/>
      <w:r>
        <w:rPr>
          <w:rStyle w:val="a6"/>
          <w:caps w:val="0"/>
          <w:color w:val="auto"/>
          <w:spacing w:val="0"/>
        </w:rPr>
        <w:commentReference w:id="1"/>
      </w:r>
    </w:p>
    <w:p w14:paraId="5AFEFF5B" w14:textId="77777777" w:rsidR="00C41B91" w:rsidRPr="00AE3CED" w:rsidRDefault="00C41B91" w:rsidP="00C41B91">
      <w:pPr>
        <w:rPr>
          <w:rFonts w:asciiTheme="minorEastAsia" w:hAnsiTheme="minorEastAsia" w:cs="Times New Roman"/>
        </w:rPr>
      </w:pPr>
      <w:r w:rsidRPr="00AE3CED">
        <w:rPr>
          <w:rFonts w:asciiTheme="minorEastAsia" w:hAnsiTheme="minorEastAsia" w:cs="Times New Roman" w:hint="eastAsia"/>
        </w:rPr>
        <w:t>医療費控除の対象となる金額は、次の式で計算した金額です。</w:t>
      </w:r>
    </w:p>
    <w:p w14:paraId="03973422" w14:textId="77777777" w:rsidR="00C41B91" w:rsidRPr="00AE3CED" w:rsidRDefault="00C41B91" w:rsidP="00C41B91">
      <w:pPr>
        <w:rPr>
          <w:rFonts w:asciiTheme="minorEastAsia" w:hAnsiTheme="minorEastAsia" w:cs="Times New Roman"/>
        </w:rPr>
      </w:pPr>
      <w:r w:rsidRPr="00AE3CED">
        <w:rPr>
          <w:rFonts w:asciiTheme="minorEastAsia" w:hAnsiTheme="minorEastAsia" w:cs="Times New Roman" w:hint="eastAsia"/>
        </w:rPr>
        <w:t>ただし、</w:t>
      </w:r>
      <w:r w:rsidRPr="00AE3CED">
        <w:rPr>
          <w:rFonts w:asciiTheme="minorEastAsia" w:hAnsiTheme="minorEastAsia" w:cs="Times New Roman"/>
        </w:rPr>
        <w:t>1年間に支払った医療費の合計から、生命保険や損害保険からの入院費給付金、健康保険などからの高額療養費、出産育児一時金などの金額は差し引かなければなりません。</w:t>
      </w:r>
    </w:p>
    <w:p w14:paraId="5AB7A94F" w14:textId="77777777" w:rsidR="00C41B91" w:rsidRPr="00AE3CED" w:rsidRDefault="00C41B91" w:rsidP="00C41B91">
      <w:pPr>
        <w:rPr>
          <w:rFonts w:asciiTheme="minorEastAsia" w:hAnsiTheme="minorEastAsia" w:cs="Times New Roman"/>
        </w:rPr>
      </w:pPr>
      <w:r w:rsidRPr="00AE3CED">
        <w:rPr>
          <w:rFonts w:asciiTheme="minorEastAsia" w:hAnsiTheme="minorEastAsia" w:cs="Times New Roman"/>
          <w:noProof/>
        </w:rPr>
        <w:drawing>
          <wp:inline distT="0" distB="0" distL="0" distR="0" wp14:anchorId="4F9D1195" wp14:editId="016DE224">
            <wp:extent cx="6096000" cy="1152000"/>
            <wp:effectExtent l="0" t="0" r="0" b="10160"/>
            <wp:docPr id="1" name="図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2E714F0" w14:textId="77777777" w:rsidR="00C41B91" w:rsidRPr="00AE3CED" w:rsidRDefault="00C41B91" w:rsidP="00C41B91">
      <w:pPr>
        <w:pStyle w:val="3"/>
        <w:ind w:left="840"/>
      </w:pPr>
      <w:r w:rsidRPr="00AE3CED">
        <w:rPr>
          <w:rFonts w:hint="eastAsia"/>
        </w:rPr>
        <w:t>申告方法</w:t>
      </w:r>
    </w:p>
    <w:p w14:paraId="061B21D8" w14:textId="45262A3A" w:rsidR="00C41B91" w:rsidRPr="00AE3CED" w:rsidRDefault="00C41B91" w:rsidP="00C41B91">
      <w:pPr>
        <w:rPr>
          <w:rFonts w:asciiTheme="minorEastAsia" w:hAnsiTheme="minorEastAsia" w:cs="Times New Roman"/>
        </w:rPr>
      </w:pPr>
      <w:r w:rsidRPr="00AE3CED">
        <w:rPr>
          <w:rFonts w:asciiTheme="minorEastAsia" w:hAnsiTheme="minorEastAsia" w:cs="Times New Roman" w:hint="eastAsia"/>
        </w:rPr>
        <w:t>医療費控除に関する事項を記載した確定申告書を所轄税務署長に提出します。申告用紙はインターネットからダウンロードすることもできます。インターネットに接続できない場合は、郵送してもらうこともできるので、最寄りの税務署に聞いてみましょう。申告する際には、「病院等の領収書」「源泉徴収票」「印鑑」を用意します。</w:t>
      </w:r>
    </w:p>
    <w:p w14:paraId="59EE0919" w14:textId="77777777" w:rsidR="00C41B91" w:rsidRPr="00AE3CED" w:rsidRDefault="00C41B91" w:rsidP="00C41B91">
      <w:pPr>
        <w:pStyle w:val="3"/>
        <w:ind w:left="840"/>
      </w:pPr>
      <w:r w:rsidRPr="00AE3CED">
        <w:rPr>
          <w:rFonts w:hint="eastAsia"/>
        </w:rPr>
        <w:t>申告の時期</w:t>
      </w:r>
    </w:p>
    <w:p w14:paraId="1BDFF5AD" w14:textId="77777777" w:rsidR="00C41B91" w:rsidRPr="00AE3CED" w:rsidRDefault="00C41B91" w:rsidP="00C41B91">
      <w:pPr>
        <w:rPr>
          <w:rFonts w:asciiTheme="minorEastAsia" w:hAnsiTheme="minorEastAsia" w:cs="Times New Roman"/>
        </w:rPr>
      </w:pPr>
      <w:r w:rsidRPr="00AE3CED">
        <w:rPr>
          <w:rFonts w:asciiTheme="minorEastAsia" w:hAnsiTheme="minorEastAsia" w:cs="Times New Roman" w:hint="eastAsia"/>
        </w:rPr>
        <w:t>医療費控除を受けるには、確定申告が必要です。そのため、確定申告の期間（</w:t>
      </w:r>
      <w:commentRangeStart w:id="2"/>
      <w:r w:rsidRPr="00AE3CED">
        <w:rPr>
          <w:rFonts w:asciiTheme="minorEastAsia" w:hAnsiTheme="minorEastAsia" w:cs="Times New Roman" w:hint="eastAsia"/>
        </w:rPr>
        <w:t>毎年</w:t>
      </w:r>
      <w:r w:rsidRPr="00AE3CED">
        <w:rPr>
          <w:rFonts w:asciiTheme="minorEastAsia" w:hAnsiTheme="minorEastAsia" w:cs="Times New Roman"/>
        </w:rPr>
        <w:t>2月16日～3月15日</w:t>
      </w:r>
      <w:commentRangeEnd w:id="2"/>
      <w:r w:rsidR="00414529">
        <w:rPr>
          <w:rStyle w:val="a6"/>
        </w:rPr>
        <w:commentReference w:id="2"/>
      </w:r>
      <w:r w:rsidRPr="00AE3CED">
        <w:rPr>
          <w:rFonts w:asciiTheme="minorEastAsia" w:hAnsiTheme="minorEastAsia" w:cs="Times New Roman"/>
        </w:rPr>
        <w:t>）に還付申告を行います。</w:t>
      </w:r>
      <w:r w:rsidRPr="00AE3CED">
        <w:rPr>
          <w:rFonts w:asciiTheme="minorEastAsia" w:hAnsiTheme="minorEastAsia" w:cs="Times New Roman" w:hint="eastAsia"/>
        </w:rPr>
        <w:t>ただし、確定申告の義務のないサラリーマンなどの場合は、確定申告の期間に関係なく還付申告ができます。還付申告できる期間は、申告書を提出できる日から</w:t>
      </w:r>
      <w:r w:rsidRPr="00AE3CED">
        <w:rPr>
          <w:rFonts w:asciiTheme="minorEastAsia" w:hAnsiTheme="minorEastAsia" w:cs="Times New Roman"/>
        </w:rPr>
        <w:t>5年以内です。</w:t>
      </w:r>
    </w:p>
    <w:p w14:paraId="79E0AF68" w14:textId="77777777" w:rsidR="00C41B91" w:rsidRDefault="00C41B91" w:rsidP="00C41B91">
      <w:pPr>
        <w:rPr>
          <w:b/>
          <w:caps/>
          <w:spacing w:val="15"/>
        </w:rPr>
      </w:pPr>
      <w:r>
        <w:br w:type="page"/>
      </w:r>
    </w:p>
    <w:p w14:paraId="3BB62683" w14:textId="77777777" w:rsidR="00C41B91" w:rsidRPr="00AE3CED" w:rsidRDefault="00C41B91" w:rsidP="00C41B91">
      <w:pPr>
        <w:pStyle w:val="2"/>
      </w:pPr>
      <w:r w:rsidRPr="00AE3CED">
        <w:rPr>
          <w:rFonts w:hint="eastAsia"/>
        </w:rPr>
        <w:t>医療費控除の対象</w:t>
      </w:r>
    </w:p>
    <w:p w14:paraId="55F041A3" w14:textId="77777777" w:rsidR="00C41B91" w:rsidRPr="00AE3CED" w:rsidRDefault="00C41B91" w:rsidP="00C41B91">
      <w:pPr>
        <w:rPr>
          <w:rFonts w:asciiTheme="minorEastAsia" w:hAnsiTheme="minorEastAsia" w:cs="Times New Roman"/>
        </w:rPr>
      </w:pPr>
      <w:r w:rsidRPr="00AE3CED">
        <w:rPr>
          <w:rFonts w:asciiTheme="minorEastAsia" w:hAnsiTheme="minorEastAsia" w:cs="Times New Roman" w:hint="eastAsia"/>
        </w:rPr>
        <w:t>医療費控除の対象になる支出は「治療のために必要なもの」であることが条件です。交通費など領収書がないものは、支出を記録しておきましょう。</w:t>
      </w:r>
    </w:p>
    <w:p w14:paraId="7D12E014" w14:textId="77777777" w:rsidR="00C41B91" w:rsidRPr="00AE3CED" w:rsidRDefault="00C41B91" w:rsidP="00C41B91">
      <w:pPr>
        <w:pStyle w:val="3"/>
        <w:ind w:left="840"/>
      </w:pPr>
      <w:r w:rsidRPr="00AE3CED">
        <w:rPr>
          <w:rFonts w:hint="eastAsia"/>
        </w:rPr>
        <w:t>医療費控除の対象になるもの</w:t>
      </w:r>
    </w:p>
    <w:tbl>
      <w:tblPr>
        <w:tblStyle w:val="a3"/>
        <w:tblW w:w="9746" w:type="dxa"/>
        <w:tblLook w:val="04A0" w:firstRow="1" w:lastRow="0" w:firstColumn="1" w:lastColumn="0" w:noHBand="0" w:noVBand="1"/>
      </w:tblPr>
      <w:tblGrid>
        <w:gridCol w:w="2699"/>
        <w:gridCol w:w="7047"/>
      </w:tblGrid>
      <w:tr w:rsidR="00C41B91" w:rsidRPr="00AE3CED" w14:paraId="3E3BF376" w14:textId="77777777" w:rsidTr="00D369EE">
        <w:tc>
          <w:tcPr>
            <w:tcW w:w="2699" w:type="dxa"/>
          </w:tcPr>
          <w:p w14:paraId="582B659C"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hint="eastAsia"/>
              </w:rPr>
              <w:t>診療や治療の対価</w:t>
            </w:r>
          </w:p>
        </w:tc>
        <w:tc>
          <w:tcPr>
            <w:tcW w:w="7047" w:type="dxa"/>
          </w:tcPr>
          <w:p w14:paraId="13E605BD"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rPr>
              <w:t>治療費の自己負担分、薬代、入院時の食事代、助産婦費用、</w:t>
            </w:r>
          </w:p>
          <w:p w14:paraId="7A76E4FF"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hint="eastAsia"/>
              </w:rPr>
              <w:t>虫歯の治療費（保険外含む）、子どもの歯列矯正</w:t>
            </w:r>
          </w:p>
        </w:tc>
      </w:tr>
      <w:tr w:rsidR="00C41B91" w:rsidRPr="00AE3CED" w14:paraId="624B146D" w14:textId="77777777" w:rsidTr="00D369EE">
        <w:tc>
          <w:tcPr>
            <w:tcW w:w="2699" w:type="dxa"/>
          </w:tcPr>
          <w:p w14:paraId="1CF7D434"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rPr>
              <w:t>交通費</w:t>
            </w:r>
          </w:p>
        </w:tc>
        <w:tc>
          <w:tcPr>
            <w:tcW w:w="7047" w:type="dxa"/>
          </w:tcPr>
          <w:p w14:paraId="6A949CAA"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rPr>
              <w:t>通院のための交通費</w:t>
            </w:r>
          </w:p>
        </w:tc>
      </w:tr>
      <w:tr w:rsidR="00C41B91" w:rsidRPr="00AE3CED" w14:paraId="454DDA08" w14:textId="77777777" w:rsidTr="00D369EE">
        <w:tc>
          <w:tcPr>
            <w:tcW w:w="2699" w:type="dxa"/>
          </w:tcPr>
          <w:p w14:paraId="755B7E4C"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rPr>
              <w:t>薬局での購入費</w:t>
            </w:r>
          </w:p>
        </w:tc>
        <w:tc>
          <w:tcPr>
            <w:tcW w:w="7047" w:type="dxa"/>
          </w:tcPr>
          <w:p w14:paraId="52092E9B"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rPr>
              <w:t>医師の処方せんに基づいて購入した医薬品</w:t>
            </w:r>
          </w:p>
        </w:tc>
      </w:tr>
      <w:tr w:rsidR="00C41B91" w:rsidRPr="00AE3CED" w14:paraId="17244955" w14:textId="77777777" w:rsidTr="00D369EE">
        <w:tc>
          <w:tcPr>
            <w:tcW w:w="2699" w:type="dxa"/>
          </w:tcPr>
          <w:p w14:paraId="56B24A0F"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rPr>
              <w:t>器具・材料</w:t>
            </w:r>
          </w:p>
        </w:tc>
        <w:tc>
          <w:tcPr>
            <w:tcW w:w="7047" w:type="dxa"/>
          </w:tcPr>
          <w:p w14:paraId="10D00389"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rPr>
              <w:t>医師の指示による血圧計、松葉杖、補聴器等の医療器具購入代など</w:t>
            </w:r>
          </w:p>
        </w:tc>
      </w:tr>
      <w:tr w:rsidR="00C41B91" w:rsidRPr="00AE3CED" w14:paraId="5F97C6B3" w14:textId="77777777" w:rsidTr="00D369EE">
        <w:tc>
          <w:tcPr>
            <w:tcW w:w="2699" w:type="dxa"/>
          </w:tcPr>
          <w:p w14:paraId="661DFBF2"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rPr>
              <w:t>その他</w:t>
            </w:r>
          </w:p>
        </w:tc>
        <w:tc>
          <w:tcPr>
            <w:tcW w:w="7047" w:type="dxa"/>
          </w:tcPr>
          <w:p w14:paraId="27576A5A"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rPr>
              <w:t>病気治療のためのマッサージ、鍼灸、柔道整復師の施術費</w:t>
            </w:r>
          </w:p>
        </w:tc>
      </w:tr>
    </w:tbl>
    <w:p w14:paraId="5CAEB038" w14:textId="77777777" w:rsidR="00C41B91" w:rsidRPr="00AE3CED" w:rsidRDefault="00C41B91" w:rsidP="00C41B91">
      <w:pPr>
        <w:pStyle w:val="3"/>
        <w:ind w:left="840"/>
      </w:pPr>
      <w:r w:rsidRPr="00AE3CED">
        <w:t>医療費控除の対象にならないもの</w:t>
      </w:r>
    </w:p>
    <w:tbl>
      <w:tblPr>
        <w:tblStyle w:val="a3"/>
        <w:tblW w:w="9746" w:type="dxa"/>
        <w:tblLook w:val="04A0" w:firstRow="1" w:lastRow="0" w:firstColumn="1" w:lastColumn="0" w:noHBand="0" w:noVBand="1"/>
      </w:tblPr>
      <w:tblGrid>
        <w:gridCol w:w="2699"/>
        <w:gridCol w:w="7047"/>
      </w:tblGrid>
      <w:tr w:rsidR="00C41B91" w:rsidRPr="00AE3CED" w14:paraId="4782FBB9" w14:textId="77777777" w:rsidTr="00D369EE">
        <w:tc>
          <w:tcPr>
            <w:tcW w:w="2699" w:type="dxa"/>
          </w:tcPr>
          <w:p w14:paraId="34AB4377"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hint="eastAsia"/>
              </w:rPr>
              <w:t>診療や治療の対価</w:t>
            </w:r>
          </w:p>
        </w:tc>
        <w:tc>
          <w:tcPr>
            <w:tcW w:w="7047" w:type="dxa"/>
          </w:tcPr>
          <w:p w14:paraId="2947EE05"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rPr>
              <w:t>美容整形、人間ドッグ費用、検診、予防接種、眼鏡・コンタクトレンズ購入時の眼科受診料、美容のための歯列矯正、歯石除去の費用</w:t>
            </w:r>
          </w:p>
        </w:tc>
      </w:tr>
      <w:tr w:rsidR="00C41B91" w:rsidRPr="00AE3CED" w14:paraId="7A2473F1" w14:textId="77777777" w:rsidTr="00D369EE">
        <w:tc>
          <w:tcPr>
            <w:tcW w:w="2699" w:type="dxa"/>
          </w:tcPr>
          <w:p w14:paraId="06FFD41C"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rPr>
              <w:t>交通費</w:t>
            </w:r>
          </w:p>
        </w:tc>
        <w:tc>
          <w:tcPr>
            <w:tcW w:w="7047" w:type="dxa"/>
          </w:tcPr>
          <w:p w14:paraId="1F78D8DE"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rPr>
              <w:t>自家用車のガソリン代、出産で実家に帰る際の交通費</w:t>
            </w:r>
          </w:p>
        </w:tc>
      </w:tr>
      <w:tr w:rsidR="00C41B91" w:rsidRPr="00AE3CED" w14:paraId="43134670" w14:textId="77777777" w:rsidTr="00D369EE">
        <w:tc>
          <w:tcPr>
            <w:tcW w:w="2699" w:type="dxa"/>
          </w:tcPr>
          <w:p w14:paraId="6380E6B3"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rPr>
              <w:t>薬局での購入費</w:t>
            </w:r>
          </w:p>
        </w:tc>
        <w:tc>
          <w:tcPr>
            <w:tcW w:w="7047" w:type="dxa"/>
          </w:tcPr>
          <w:p w14:paraId="631F4E7F"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rPr>
              <w:t>日常で使用するための眼鏡、コンタクトレンズの購入</w:t>
            </w:r>
          </w:p>
        </w:tc>
      </w:tr>
      <w:tr w:rsidR="00C41B91" w:rsidRPr="00AE3CED" w14:paraId="00DF1A9F" w14:textId="77777777" w:rsidTr="00D369EE">
        <w:tc>
          <w:tcPr>
            <w:tcW w:w="2699" w:type="dxa"/>
          </w:tcPr>
          <w:p w14:paraId="55820A88"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rPr>
              <w:t>器具・材料</w:t>
            </w:r>
          </w:p>
        </w:tc>
        <w:tc>
          <w:tcPr>
            <w:tcW w:w="7047" w:type="dxa"/>
          </w:tcPr>
          <w:p w14:paraId="78DAE70F"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rPr>
              <w:t>治療が目的でない保健薬、健康食品の購入費</w:t>
            </w:r>
          </w:p>
        </w:tc>
      </w:tr>
      <w:tr w:rsidR="00C41B91" w:rsidRPr="00AE3CED" w14:paraId="5BFBF2DC" w14:textId="77777777" w:rsidTr="00D369EE">
        <w:tc>
          <w:tcPr>
            <w:tcW w:w="2699" w:type="dxa"/>
          </w:tcPr>
          <w:p w14:paraId="0A0CF618"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rPr>
              <w:t>その他</w:t>
            </w:r>
          </w:p>
        </w:tc>
        <w:tc>
          <w:tcPr>
            <w:tcW w:w="7047" w:type="dxa"/>
          </w:tcPr>
          <w:p w14:paraId="2E49B044"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rPr>
              <w:t>スポーツクラブの利用料</w:t>
            </w:r>
          </w:p>
        </w:tc>
      </w:tr>
    </w:tbl>
    <w:p w14:paraId="6BA0D56C" w14:textId="77777777" w:rsidR="00C41B91" w:rsidRPr="00AE3CED" w:rsidRDefault="00C41B91" w:rsidP="00C41B91">
      <w:pPr>
        <w:pStyle w:val="3"/>
        <w:ind w:left="840"/>
      </w:pPr>
      <w:r w:rsidRPr="00AE3CED">
        <w:t>条件付きで</w:t>
      </w:r>
      <w:r w:rsidRPr="00AE3CED">
        <w:rPr>
          <w:rFonts w:asciiTheme="minorEastAsia" w:hAnsiTheme="minorEastAsia" w:cs="Times New Roman" w:hint="eastAsia"/>
        </w:rPr>
        <w:t>医療費控除の</w:t>
      </w:r>
      <w:r w:rsidRPr="00AE3CED">
        <w:t>対象になるもの</w:t>
      </w:r>
    </w:p>
    <w:p w14:paraId="14287D2F" w14:textId="77777777" w:rsidR="00C41B91" w:rsidRPr="00AE3CED" w:rsidRDefault="00C41B91" w:rsidP="00C41B91">
      <w:pPr>
        <w:tabs>
          <w:tab w:val="left" w:pos="2802"/>
        </w:tabs>
        <w:spacing w:before="0" w:after="0" w:line="240" w:lineRule="auto"/>
        <w:rPr>
          <w:rFonts w:asciiTheme="minorEastAsia" w:hAnsiTheme="minorEastAsia" w:cs="Times New Roman"/>
        </w:rPr>
      </w:pPr>
      <w:r w:rsidRPr="00AE3CED">
        <w:rPr>
          <w:rFonts w:asciiTheme="minorEastAsia" w:hAnsiTheme="minorEastAsia" w:cs="Times New Roman" w:hint="eastAsia"/>
        </w:rPr>
        <w:t>診療や治療の対価</w:t>
      </w:r>
      <w:r w:rsidRPr="00AE3CED">
        <w:rPr>
          <w:rFonts w:asciiTheme="minorEastAsia" w:hAnsiTheme="minorEastAsia" w:cs="Times New Roman"/>
        </w:rPr>
        <w:tab/>
        <w:t>ベッド、特別室の費用（病状等による）、治療のために行う大人の歯列矯正</w:t>
      </w:r>
    </w:p>
    <w:p w14:paraId="70572BBE" w14:textId="77777777" w:rsidR="00C41B91" w:rsidRPr="00AE3CED" w:rsidRDefault="00C41B91" w:rsidP="00C41B91">
      <w:pPr>
        <w:tabs>
          <w:tab w:val="left" w:pos="2802"/>
        </w:tabs>
        <w:spacing w:before="0" w:after="0" w:line="240" w:lineRule="auto"/>
        <w:rPr>
          <w:rFonts w:asciiTheme="minorEastAsia" w:hAnsiTheme="minorEastAsia" w:cs="Times New Roman"/>
        </w:rPr>
      </w:pPr>
      <w:r w:rsidRPr="00AE3CED">
        <w:rPr>
          <w:rFonts w:asciiTheme="minorEastAsia" w:hAnsiTheme="minorEastAsia" w:cs="Times New Roman"/>
        </w:rPr>
        <w:t>交通費</w:t>
      </w:r>
      <w:r w:rsidRPr="00AE3CED">
        <w:rPr>
          <w:rFonts w:asciiTheme="minorEastAsia" w:hAnsiTheme="minorEastAsia" w:cs="Times New Roman"/>
        </w:rPr>
        <w:tab/>
        <w:t>タクシー代（電車・バスでの移動が困難な場合）</w:t>
      </w:r>
    </w:p>
    <w:p w14:paraId="5B3616A7" w14:textId="77777777" w:rsidR="00C41B91" w:rsidRPr="00AE3CED" w:rsidRDefault="00C41B91" w:rsidP="00C41B91">
      <w:pPr>
        <w:tabs>
          <w:tab w:val="left" w:pos="2802"/>
        </w:tabs>
        <w:spacing w:before="0" w:after="0" w:line="240" w:lineRule="auto"/>
        <w:rPr>
          <w:rFonts w:asciiTheme="minorEastAsia" w:hAnsiTheme="minorEastAsia" w:cs="Times New Roman"/>
        </w:rPr>
      </w:pPr>
      <w:r w:rsidRPr="00AE3CED">
        <w:rPr>
          <w:rFonts w:asciiTheme="minorEastAsia" w:hAnsiTheme="minorEastAsia" w:cs="Times New Roman"/>
        </w:rPr>
        <w:t>薬局での購入費</w:t>
      </w:r>
      <w:r w:rsidRPr="00AE3CED">
        <w:rPr>
          <w:rFonts w:asciiTheme="minorEastAsia" w:hAnsiTheme="minorEastAsia" w:cs="Times New Roman"/>
        </w:rPr>
        <w:tab/>
        <w:t>医師の処方せんのない医薬品（極端に高価なものを除く）</w:t>
      </w:r>
    </w:p>
    <w:p w14:paraId="450FDD9C" w14:textId="77777777" w:rsidR="00C41B91" w:rsidRPr="00AE3CED" w:rsidRDefault="00C41B91" w:rsidP="00C41B91">
      <w:pPr>
        <w:tabs>
          <w:tab w:val="left" w:pos="2802"/>
        </w:tabs>
        <w:spacing w:before="0" w:after="0" w:line="240" w:lineRule="auto"/>
        <w:rPr>
          <w:rFonts w:asciiTheme="minorEastAsia" w:hAnsiTheme="minorEastAsia" w:cs="Times New Roman"/>
        </w:rPr>
      </w:pPr>
      <w:r w:rsidRPr="00AE3CED">
        <w:rPr>
          <w:rFonts w:asciiTheme="minorEastAsia" w:hAnsiTheme="minorEastAsia" w:cs="Times New Roman"/>
        </w:rPr>
        <w:t>器具・材料</w:t>
      </w:r>
      <w:r w:rsidRPr="00AE3CED">
        <w:rPr>
          <w:rFonts w:asciiTheme="minorEastAsia" w:hAnsiTheme="minorEastAsia" w:cs="Times New Roman"/>
        </w:rPr>
        <w:tab/>
        <w:t>高齢者の紙オムツ代、松葉杖、車いす（通院治療のため必要な場合）</w:t>
      </w:r>
    </w:p>
    <w:p w14:paraId="0CB57474" w14:textId="77777777" w:rsidR="00C41B91" w:rsidRPr="00AE3CED" w:rsidRDefault="00C41B91" w:rsidP="00C41B91">
      <w:pPr>
        <w:tabs>
          <w:tab w:val="left" w:pos="2802"/>
        </w:tabs>
        <w:spacing w:before="0" w:after="0" w:line="240" w:lineRule="auto"/>
        <w:rPr>
          <w:rFonts w:asciiTheme="minorEastAsia" w:hAnsiTheme="minorEastAsia" w:cs="Times New Roman"/>
        </w:rPr>
      </w:pPr>
      <w:r w:rsidRPr="00AE3CED">
        <w:rPr>
          <w:rFonts w:asciiTheme="minorEastAsia" w:hAnsiTheme="minorEastAsia" w:cs="Times New Roman"/>
        </w:rPr>
        <w:t>その他</w:t>
      </w:r>
      <w:r w:rsidRPr="00AE3CED">
        <w:rPr>
          <w:rFonts w:asciiTheme="minorEastAsia" w:hAnsiTheme="minorEastAsia" w:cs="Times New Roman"/>
        </w:rPr>
        <w:tab/>
        <w:t>ケアハウスの利用で医師の証明がある場合</w:t>
      </w:r>
    </w:p>
    <w:p w14:paraId="28414442" w14:textId="77777777" w:rsidR="00C41B91" w:rsidRDefault="00C41B91" w:rsidP="00C41B91">
      <w:pPr>
        <w:rPr>
          <w:caps/>
          <w:color w:val="FFFFFF" w:themeColor="background1"/>
          <w:spacing w:val="15"/>
          <w:sz w:val="28"/>
          <w:szCs w:val="28"/>
        </w:rPr>
      </w:pPr>
      <w:r>
        <w:br w:type="page"/>
      </w:r>
    </w:p>
    <w:p w14:paraId="6AE461B4" w14:textId="77777777" w:rsidR="00C41B91" w:rsidRPr="00AE3CED" w:rsidRDefault="00C41B91" w:rsidP="00C41B91">
      <w:pPr>
        <w:pStyle w:val="1"/>
      </w:pPr>
      <w:r w:rsidRPr="00AE3CED">
        <w:rPr>
          <w:rFonts w:hint="eastAsia"/>
        </w:rPr>
        <w:t>ムダをなくす</w:t>
      </w:r>
    </w:p>
    <w:p w14:paraId="56852C67" w14:textId="77777777" w:rsidR="00C41B91" w:rsidRPr="00AE3CED" w:rsidRDefault="00C41B91" w:rsidP="00C41B91">
      <w:pPr>
        <w:pStyle w:val="2"/>
      </w:pPr>
      <w:r w:rsidRPr="00AE3CED">
        <w:rPr>
          <w:rFonts w:hint="eastAsia"/>
        </w:rPr>
        <w:t>治療内容への理解</w:t>
      </w:r>
    </w:p>
    <w:p w14:paraId="4E05488E" w14:textId="77777777" w:rsidR="00C41B91" w:rsidRPr="00AE3CED" w:rsidRDefault="00C41B91" w:rsidP="00C41B91">
      <w:pPr>
        <w:rPr>
          <w:rFonts w:asciiTheme="minorEastAsia" w:hAnsiTheme="minorEastAsia" w:cs="Times New Roman"/>
        </w:rPr>
      </w:pPr>
      <w:r w:rsidRPr="00AE3CED">
        <w:rPr>
          <w:rFonts w:asciiTheme="minorEastAsia" w:hAnsiTheme="minorEastAsia" w:cs="Times New Roman" w:hint="eastAsia"/>
        </w:rPr>
        <w:t>医師に診てもらって「症状が良くならないから、別の病院に行こうかな…」と考えたことはありませんか？転院を考えるときは、次のような場合が多くあるようです。</w:t>
      </w:r>
    </w:p>
    <w:p w14:paraId="3BBD40F5" w14:textId="77777777" w:rsidR="00C41B91" w:rsidRPr="00AE3CED" w:rsidRDefault="00C41B91" w:rsidP="00C41B91">
      <w:pPr>
        <w:numPr>
          <w:ilvl w:val="0"/>
          <w:numId w:val="1"/>
        </w:numPr>
        <w:rPr>
          <w:rFonts w:asciiTheme="minorEastAsia" w:hAnsiTheme="minorEastAsia" w:cs="Times New Roman"/>
        </w:rPr>
      </w:pPr>
      <w:r w:rsidRPr="00AE3CED">
        <w:rPr>
          <w:rFonts w:asciiTheme="minorEastAsia" w:hAnsiTheme="minorEastAsia" w:cs="Times New Roman"/>
        </w:rPr>
        <w:t>慢性病で長くかかっているが、同じ治療の連続で一向に快方に向かわない。</w:t>
      </w:r>
    </w:p>
    <w:p w14:paraId="6671DAE2" w14:textId="77777777" w:rsidR="00C41B91" w:rsidRPr="00AE3CED" w:rsidRDefault="00C41B91" w:rsidP="00C41B91">
      <w:pPr>
        <w:numPr>
          <w:ilvl w:val="0"/>
          <w:numId w:val="1"/>
        </w:numPr>
        <w:rPr>
          <w:rFonts w:asciiTheme="minorEastAsia" w:hAnsiTheme="minorEastAsia" w:cs="Times New Roman"/>
        </w:rPr>
      </w:pPr>
      <w:r w:rsidRPr="00AE3CED">
        <w:rPr>
          <w:rFonts w:asciiTheme="minorEastAsia" w:hAnsiTheme="minorEastAsia" w:cs="Times New Roman"/>
        </w:rPr>
        <w:t>急性の症状で診てもらったが、診断がどうもはっきりしない。</w:t>
      </w:r>
    </w:p>
    <w:p w14:paraId="38E6EED0" w14:textId="77777777" w:rsidR="00C41B91" w:rsidRPr="00AE3CED" w:rsidRDefault="00C41B91" w:rsidP="00C41B91">
      <w:pPr>
        <w:rPr>
          <w:rFonts w:asciiTheme="minorEastAsia" w:hAnsiTheme="minorEastAsia" w:cs="Times New Roman"/>
        </w:rPr>
      </w:pPr>
      <w:r w:rsidRPr="00AE3CED">
        <w:rPr>
          <w:rFonts w:asciiTheme="minorEastAsia" w:hAnsiTheme="minorEastAsia" w:cs="Times New Roman" w:hint="eastAsia"/>
        </w:rPr>
        <w:t>基本的に、治療の途中で転院するのは必ずしも得策ではありません。急性症状で始まっても、合併症が出て治療が長引くこともありますし、特に慢性的な病気は、継続的かつ長期的な視野で治療しなければならない場合があります。むやみに転院すると、同じような検査を繰り返すなど、時間や医療費がムダになるばかりでなく、検査で治療が中断され継続的な治療が続けられなくなる可能性もあります。</w:t>
      </w:r>
    </w:p>
    <w:p w14:paraId="0E646BD2" w14:textId="77777777" w:rsidR="00C41B91" w:rsidRPr="00AE3CED" w:rsidRDefault="00C41B91" w:rsidP="00C41B91">
      <w:pPr>
        <w:rPr>
          <w:rFonts w:asciiTheme="minorEastAsia" w:hAnsiTheme="minorEastAsia" w:cs="Times New Roman"/>
        </w:rPr>
      </w:pPr>
      <w:r w:rsidRPr="00AE3CED">
        <w:rPr>
          <w:rFonts w:asciiTheme="minorEastAsia" w:hAnsiTheme="minorEastAsia" w:cs="Times New Roman" w:hint="eastAsia"/>
        </w:rPr>
        <w:t>先のような理由で転院を考えるなら、まず今かかっている医師に疑問や不満を述べ、説明を求めることが重要です。治療方針に納得がいけば医師との信頼関係が生まれ、治療効果が上がることも期待できるのです。</w:t>
      </w:r>
    </w:p>
    <w:p w14:paraId="3D890AFD" w14:textId="77777777" w:rsidR="00C41B91" w:rsidRPr="00AE3CED" w:rsidRDefault="00C41B91" w:rsidP="00C41B91">
      <w:pPr>
        <w:pStyle w:val="2"/>
      </w:pPr>
      <w:r w:rsidRPr="00AE3CED">
        <w:rPr>
          <w:rFonts w:hint="eastAsia"/>
        </w:rPr>
        <w:t>適正な検査と投薬</w:t>
      </w:r>
    </w:p>
    <w:p w14:paraId="4D77727D" w14:textId="77777777" w:rsidR="00C41B91" w:rsidRPr="00AE3CED" w:rsidRDefault="00C41B91" w:rsidP="00C41B91">
      <w:pPr>
        <w:rPr>
          <w:rFonts w:asciiTheme="minorEastAsia" w:hAnsiTheme="minorEastAsia" w:cs="Times New Roman"/>
        </w:rPr>
      </w:pPr>
      <w:r w:rsidRPr="00AE3CED">
        <w:rPr>
          <w:rFonts w:asciiTheme="minorEastAsia" w:hAnsiTheme="minorEastAsia" w:cs="Times New Roman" w:hint="eastAsia"/>
        </w:rPr>
        <w:t>薬には副作用がつきものですが、それよりも大きな治療効果が得られるときに処方されます。また、Ｘ線検査や</w:t>
      </w:r>
      <w:r w:rsidRPr="00AE3CED">
        <w:rPr>
          <w:rFonts w:asciiTheme="minorEastAsia" w:hAnsiTheme="minorEastAsia" w:cs="Times New Roman"/>
        </w:rPr>
        <w:t>CT検査などで患者が浴びるX線量は問題になるほどの量ではありませんが、やはり意味もなく受けるものではないでしょう。X線検査やCT検査を受けるとだいたい1万円以上かかります。しかし、「患者負担は3割だから」と気安く無理に検査をねだったりすると、これは医療費のムダづかいにつながります。検査や投薬は診察した医師の判断で行われるものです。自分の健康のためにも、医療費のムダづかい解消のためにも、医師との相互理解が必要で</w:t>
      </w:r>
      <w:r w:rsidRPr="00AE3CED">
        <w:rPr>
          <w:rFonts w:asciiTheme="minorEastAsia" w:hAnsiTheme="minorEastAsia" w:cs="Times New Roman" w:hint="eastAsia"/>
        </w:rPr>
        <w:t>す。</w:t>
      </w:r>
    </w:p>
    <w:p w14:paraId="7A6FF26F" w14:textId="77777777" w:rsidR="00C41B91" w:rsidRPr="00AE3CED" w:rsidRDefault="00C41B91" w:rsidP="00C41B91">
      <w:pPr>
        <w:pStyle w:val="2"/>
      </w:pPr>
      <w:r w:rsidRPr="00AE3CED">
        <w:rPr>
          <w:rFonts w:hint="eastAsia"/>
        </w:rPr>
        <w:t>適正な治療を</w:t>
      </w:r>
    </w:p>
    <w:p w14:paraId="33B4820A" w14:textId="77777777" w:rsidR="00C41B91" w:rsidRPr="00AE3CED" w:rsidRDefault="00C41B91" w:rsidP="00C41B91">
      <w:pPr>
        <w:rPr>
          <w:rFonts w:asciiTheme="minorEastAsia" w:hAnsiTheme="minorEastAsia" w:cs="Times New Roman"/>
        </w:rPr>
      </w:pPr>
      <w:r w:rsidRPr="00AE3CED">
        <w:rPr>
          <w:rFonts w:asciiTheme="minorEastAsia" w:hAnsiTheme="minorEastAsia" w:cs="Times New Roman" w:hint="eastAsia"/>
        </w:rPr>
        <w:t>患者と医師との相互理解は、現在「インフォームド・コンセント（</w:t>
      </w:r>
      <w:r w:rsidRPr="00AE3CED">
        <w:rPr>
          <w:rFonts w:asciiTheme="minorEastAsia" w:hAnsiTheme="minorEastAsia" w:cs="Times New Roman"/>
        </w:rPr>
        <w:t>Informed Consent）」という言葉で言い表されています。まず、治療を行う医師が患者に治療方針、内容、検査、投薬などについて十分な説明を行います。患者は、その内容をよく理解し、納得した上で、治療を受けることが重要とされています。患者は、自分の病気と医療行為について、知りたいことを知る権利があり、治療方法を自分で決め、決定する権利を持つのです。また、そのためには私たちも症状、病歴、体質などを的確に医師に伝えることが必要になるでしょう。</w:t>
      </w:r>
    </w:p>
    <w:p w14:paraId="2EED7AE6" w14:textId="77777777" w:rsidR="005B223A" w:rsidRPr="00C41B91" w:rsidRDefault="005B223A"/>
    <w:sectPr w:rsidR="005B223A" w:rsidRPr="00C41B91" w:rsidSect="00B66E1E">
      <w:pgSz w:w="11906" w:h="16838" w:code="9"/>
      <w:pgMar w:top="1440" w:right="1077" w:bottom="1077" w:left="1077" w:header="851" w:footer="992" w:gutter="0"/>
      <w:pgNumType w:start="0"/>
      <w:cols w:space="425"/>
      <w:titlePg/>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山田友子" w:date="2020-05-25T12:05:00Z" w:initials="Y">
    <w:p w14:paraId="58191BA9" w14:textId="77777777" w:rsidR="00C41B91" w:rsidRPr="00C41B91" w:rsidRDefault="00C41B91">
      <w:pPr>
        <w:pStyle w:val="a7"/>
      </w:pPr>
      <w:r>
        <w:rPr>
          <w:rStyle w:val="a6"/>
        </w:rPr>
        <w:annotationRef/>
      </w:r>
      <w:r>
        <w:rPr>
          <w:rFonts w:hint="eastAsia"/>
        </w:rPr>
        <w:t>佐々木さんに査読をお願いしてください。</w:t>
      </w:r>
    </w:p>
  </w:comment>
  <w:comment w:id="2" w:author="山田友子" w:date="2020-05-25T12:10:00Z" w:initials="Y">
    <w:p w14:paraId="642EC6FD" w14:textId="7B1A7637" w:rsidR="00414529" w:rsidRDefault="00414529">
      <w:pPr>
        <w:pStyle w:val="a7"/>
      </w:pPr>
      <w:r>
        <w:rPr>
          <w:rStyle w:val="a6"/>
        </w:rPr>
        <w:annotationRef/>
      </w:r>
      <w:r>
        <w:rPr>
          <w:rFonts w:hint="eastAsia"/>
        </w:rPr>
        <w:t>最新の情報を確認してください。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8191BA9" w15:done="0"/>
  <w15:commentEx w15:paraId="642EC6F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191BA9" w16cid:durableId="22763315"/>
  <w16cid:commentId w16cid:paraId="642EC6FD" w16cid:durableId="227634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F66F8E" w14:textId="77777777" w:rsidR="001C19B6" w:rsidRDefault="001C19B6" w:rsidP="00283816">
      <w:pPr>
        <w:spacing w:before="0" w:after="0" w:line="240" w:lineRule="auto"/>
      </w:pPr>
      <w:r>
        <w:separator/>
      </w:r>
    </w:p>
  </w:endnote>
  <w:endnote w:type="continuationSeparator" w:id="0">
    <w:p w14:paraId="36E98582" w14:textId="77777777" w:rsidR="001C19B6" w:rsidRDefault="001C19B6" w:rsidP="002838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EDC764" w14:textId="77777777" w:rsidR="001C19B6" w:rsidRDefault="001C19B6" w:rsidP="00283816">
      <w:pPr>
        <w:spacing w:before="0" w:after="0" w:line="240" w:lineRule="auto"/>
      </w:pPr>
      <w:r>
        <w:separator/>
      </w:r>
    </w:p>
  </w:footnote>
  <w:footnote w:type="continuationSeparator" w:id="0">
    <w:p w14:paraId="14ED983D" w14:textId="77777777" w:rsidR="001C19B6" w:rsidRDefault="001C19B6" w:rsidP="0028381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36877"/>
    <w:multiLevelType w:val="multilevel"/>
    <w:tmpl w:val="983828EE"/>
    <w:lvl w:ilvl="0">
      <w:start w:val="1"/>
      <w:numFmt w:val="decimal"/>
      <w:pStyle w:val="1"/>
      <w:suff w:val="space"/>
      <w:lvlText w:val="STEP%1."/>
      <w:lvlJc w:val="left"/>
      <w:pPr>
        <w:ind w:left="425" w:hanging="425"/>
      </w:pPr>
      <w:rPr>
        <w:rFonts w:hint="eastAsia"/>
      </w:rPr>
    </w:lvl>
    <w:lvl w:ilvl="1">
      <w:start w:val="1"/>
      <w:numFmt w:val="decimal"/>
      <w:pStyle w:val="2"/>
      <w:suff w:val="space"/>
      <w:lvlText w:val="%2."/>
      <w:lvlJc w:val="left"/>
      <w:pPr>
        <w:ind w:left="567" w:hanging="567"/>
      </w:pPr>
      <w:rPr>
        <w:rFonts w:hint="eastAsia"/>
      </w:rPr>
    </w:lvl>
    <w:lvl w:ilvl="2">
      <w:start w:val="1"/>
      <w:numFmt w:val="decimal"/>
      <w:pStyle w:val="3"/>
      <w:suff w:val="space"/>
      <w:lvlText w:val="(%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5B701960"/>
    <w:multiLevelType w:val="hybridMultilevel"/>
    <w:tmpl w:val="477A8F5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山田友子">
    <w15:presenceInfo w15:providerId="None" w15:userId="山田友子"/>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savePreviewPicture/>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B91"/>
    <w:rsid w:val="001256C6"/>
    <w:rsid w:val="0018437B"/>
    <w:rsid w:val="001C19B6"/>
    <w:rsid w:val="00283816"/>
    <w:rsid w:val="00414529"/>
    <w:rsid w:val="005B223A"/>
    <w:rsid w:val="008B3817"/>
    <w:rsid w:val="008C77E1"/>
    <w:rsid w:val="00A62580"/>
    <w:rsid w:val="00C41B91"/>
    <w:rsid w:val="00D40B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D0AB3CF"/>
  <w15:chartTrackingRefBased/>
  <w15:docId w15:val="{A4D53DAC-423F-4849-A563-5F013B126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41B91"/>
    <w:pPr>
      <w:spacing w:before="100" w:after="200" w:line="276" w:lineRule="auto"/>
    </w:pPr>
    <w:rPr>
      <w:kern w:val="0"/>
      <w:sz w:val="20"/>
      <w:szCs w:val="20"/>
    </w:rPr>
  </w:style>
  <w:style w:type="paragraph" w:styleId="1">
    <w:name w:val="heading 1"/>
    <w:basedOn w:val="a"/>
    <w:next w:val="a"/>
    <w:link w:val="10"/>
    <w:uiPriority w:val="9"/>
    <w:qFormat/>
    <w:rsid w:val="00C41B91"/>
    <w:pPr>
      <w:numPr>
        <w:numId w:val="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8"/>
      <w:szCs w:val="28"/>
    </w:rPr>
  </w:style>
  <w:style w:type="paragraph" w:styleId="2">
    <w:name w:val="heading 2"/>
    <w:basedOn w:val="a"/>
    <w:next w:val="a"/>
    <w:link w:val="20"/>
    <w:uiPriority w:val="9"/>
    <w:unhideWhenUsed/>
    <w:qFormat/>
    <w:rsid w:val="00C41B91"/>
    <w:pPr>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b/>
      <w:caps/>
      <w:spacing w:val="15"/>
    </w:rPr>
  </w:style>
  <w:style w:type="paragraph" w:styleId="3">
    <w:name w:val="heading 3"/>
    <w:basedOn w:val="a"/>
    <w:next w:val="a"/>
    <w:link w:val="30"/>
    <w:uiPriority w:val="9"/>
    <w:unhideWhenUsed/>
    <w:qFormat/>
    <w:rsid w:val="00C41B91"/>
    <w:pPr>
      <w:numPr>
        <w:ilvl w:val="2"/>
        <w:numId w:val="2"/>
      </w:numPr>
      <w:pBdr>
        <w:top w:val="single" w:sz="6" w:space="2" w:color="4472C4" w:themeColor="accent1"/>
      </w:pBdr>
      <w:spacing w:before="300" w:after="0"/>
      <w:outlineLvl w:val="2"/>
    </w:pPr>
    <w:rPr>
      <w:caps/>
      <w:color w:val="1F3763" w:themeColor="accent1" w:themeShade="7F"/>
      <w:spacing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41B91"/>
    <w:rPr>
      <w:caps/>
      <w:color w:val="FFFFFF" w:themeColor="background1"/>
      <w:spacing w:val="15"/>
      <w:kern w:val="0"/>
      <w:sz w:val="28"/>
      <w:szCs w:val="28"/>
      <w:shd w:val="clear" w:color="auto" w:fill="4472C4" w:themeFill="accent1"/>
    </w:rPr>
  </w:style>
  <w:style w:type="character" w:customStyle="1" w:styleId="20">
    <w:name w:val="見出し 2 (文字)"/>
    <w:basedOn w:val="a0"/>
    <w:link w:val="2"/>
    <w:uiPriority w:val="9"/>
    <w:rsid w:val="00C41B91"/>
    <w:rPr>
      <w:b/>
      <w:caps/>
      <w:spacing w:val="15"/>
      <w:kern w:val="0"/>
      <w:sz w:val="20"/>
      <w:szCs w:val="20"/>
      <w:shd w:val="clear" w:color="auto" w:fill="D9E2F3" w:themeFill="accent1" w:themeFillTint="33"/>
    </w:rPr>
  </w:style>
  <w:style w:type="character" w:customStyle="1" w:styleId="30">
    <w:name w:val="見出し 3 (文字)"/>
    <w:basedOn w:val="a0"/>
    <w:link w:val="3"/>
    <w:uiPriority w:val="9"/>
    <w:rsid w:val="00C41B91"/>
    <w:rPr>
      <w:caps/>
      <w:color w:val="1F3763" w:themeColor="accent1" w:themeShade="7F"/>
      <w:spacing w:val="15"/>
      <w:kern w:val="0"/>
      <w:sz w:val="20"/>
      <w:szCs w:val="20"/>
    </w:rPr>
  </w:style>
  <w:style w:type="table" w:styleId="a3">
    <w:name w:val="Table Grid"/>
    <w:basedOn w:val="a1"/>
    <w:uiPriority w:val="39"/>
    <w:rsid w:val="00C41B91"/>
    <w:pPr>
      <w:spacing w:before="100" w:after="200" w:line="276" w:lineRule="auto"/>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C41B91"/>
    <w:pPr>
      <w:shd w:val="clear" w:color="auto" w:fill="44546A" w:themeFill="text2"/>
      <w:spacing w:before="0" w:after="0" w:line="240" w:lineRule="auto"/>
      <w:jc w:val="center"/>
    </w:pPr>
    <w:rPr>
      <w:b/>
      <w:color w:val="FFFFFF" w:themeColor="background1"/>
      <w:sz w:val="72"/>
      <w:szCs w:val="72"/>
    </w:rPr>
  </w:style>
  <w:style w:type="character" w:customStyle="1" w:styleId="a5">
    <w:name w:val="表題 (文字)"/>
    <w:basedOn w:val="a0"/>
    <w:link w:val="a4"/>
    <w:uiPriority w:val="10"/>
    <w:rsid w:val="00C41B91"/>
    <w:rPr>
      <w:b/>
      <w:color w:val="FFFFFF" w:themeColor="background1"/>
      <w:kern w:val="0"/>
      <w:sz w:val="72"/>
      <w:szCs w:val="72"/>
      <w:shd w:val="clear" w:color="auto" w:fill="44546A" w:themeFill="text2"/>
    </w:rPr>
  </w:style>
  <w:style w:type="character" w:styleId="a6">
    <w:name w:val="annotation reference"/>
    <w:basedOn w:val="a0"/>
    <w:uiPriority w:val="99"/>
    <w:semiHidden/>
    <w:unhideWhenUsed/>
    <w:rsid w:val="00C41B91"/>
    <w:rPr>
      <w:sz w:val="18"/>
      <w:szCs w:val="18"/>
    </w:rPr>
  </w:style>
  <w:style w:type="paragraph" w:styleId="a7">
    <w:name w:val="annotation text"/>
    <w:basedOn w:val="a"/>
    <w:link w:val="a8"/>
    <w:uiPriority w:val="99"/>
    <w:semiHidden/>
    <w:unhideWhenUsed/>
    <w:rsid w:val="00C41B91"/>
  </w:style>
  <w:style w:type="character" w:customStyle="1" w:styleId="a8">
    <w:name w:val="コメント文字列 (文字)"/>
    <w:basedOn w:val="a0"/>
    <w:link w:val="a7"/>
    <w:uiPriority w:val="99"/>
    <w:semiHidden/>
    <w:rsid w:val="00C41B91"/>
    <w:rPr>
      <w:kern w:val="0"/>
      <w:sz w:val="20"/>
      <w:szCs w:val="20"/>
    </w:rPr>
  </w:style>
  <w:style w:type="paragraph" w:styleId="a9">
    <w:name w:val="Balloon Text"/>
    <w:basedOn w:val="a"/>
    <w:link w:val="aa"/>
    <w:uiPriority w:val="99"/>
    <w:semiHidden/>
    <w:unhideWhenUsed/>
    <w:rsid w:val="00C41B91"/>
    <w:pPr>
      <w:spacing w:before="0" w:after="0" w:line="240" w:lineRule="auto"/>
    </w:pPr>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C41B91"/>
    <w:rPr>
      <w:rFonts w:asciiTheme="majorHAnsi" w:eastAsiaTheme="majorEastAsia" w:hAnsiTheme="majorHAnsi" w:cstheme="majorBidi"/>
      <w:kern w:val="0"/>
      <w:sz w:val="18"/>
      <w:szCs w:val="18"/>
    </w:rPr>
  </w:style>
  <w:style w:type="paragraph" w:styleId="ab">
    <w:name w:val="annotation subject"/>
    <w:basedOn w:val="a7"/>
    <w:next w:val="a7"/>
    <w:link w:val="ac"/>
    <w:uiPriority w:val="99"/>
    <w:semiHidden/>
    <w:unhideWhenUsed/>
    <w:rsid w:val="00C41B91"/>
    <w:rPr>
      <w:b/>
      <w:bCs/>
    </w:rPr>
  </w:style>
  <w:style w:type="character" w:customStyle="1" w:styleId="ac">
    <w:name w:val="コメント内容 (文字)"/>
    <w:basedOn w:val="a8"/>
    <w:link w:val="ab"/>
    <w:uiPriority w:val="99"/>
    <w:semiHidden/>
    <w:rsid w:val="00C41B91"/>
    <w:rPr>
      <w:b/>
      <w:bCs/>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webSettings" Target="webSettings.xml"/><Relationship Id="rId9" Type="http://schemas.microsoft.com/office/2016/09/relationships/commentsIds" Target="commentsIds.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42A0D01-0324-4984-990F-3CB387924DA8}" type="doc">
      <dgm:prSet loTypeId="urn:microsoft.com/office/officeart/2005/8/layout/equation1" loCatId="relationship" qsTypeId="urn:microsoft.com/office/officeart/2005/8/quickstyle/simple1" qsCatId="simple" csTypeId="urn:microsoft.com/office/officeart/2005/8/colors/colorful5" csCatId="colorful" phldr="1"/>
      <dgm:spPr/>
    </dgm:pt>
    <dgm:pt modelId="{C93A7686-1B79-41F4-B79B-DBC82A4151E7}">
      <dgm:prSet phldrT="[テキスト]" custT="1"/>
      <dgm:spPr>
        <a:xfrm>
          <a:off x="87238" y="301"/>
          <a:ext cx="1151396" cy="1151396"/>
        </a:xfrm>
        <a:prstGeom prst="roundRect">
          <a:avLst/>
        </a:prstGeom>
      </dgm:spPr>
      <dgm:t>
        <a:bodyPr/>
        <a:lstStyle/>
        <a:p>
          <a:pPr>
            <a:buNone/>
          </a:pPr>
          <a:r>
            <a:rPr kumimoji="1" lang="ja-JP" altLang="en-US" sz="1400" b="1">
              <a:latin typeface="游ゴシック" panose="020B0400000000000000" pitchFamily="50" charset="-128"/>
              <a:ea typeface="游ゴシック" panose="020B0400000000000000" pitchFamily="50" charset="-128"/>
              <a:cs typeface="+mn-cs"/>
            </a:rPr>
            <a:t>支払った</a:t>
          </a:r>
          <a:br>
            <a:rPr kumimoji="1" lang="en-US" altLang="ja-JP" sz="1400" b="1">
              <a:latin typeface="游ゴシック" panose="020B0400000000000000" pitchFamily="50" charset="-128"/>
              <a:ea typeface="游ゴシック" panose="020B0400000000000000" pitchFamily="50" charset="-128"/>
              <a:cs typeface="+mn-cs"/>
            </a:rPr>
          </a:br>
          <a:r>
            <a:rPr kumimoji="1" lang="ja-JP" altLang="en-US" sz="1400" b="1">
              <a:latin typeface="游ゴシック" panose="020B0400000000000000" pitchFamily="50" charset="-128"/>
              <a:ea typeface="游ゴシック" panose="020B0400000000000000" pitchFamily="50" charset="-128"/>
              <a:cs typeface="+mn-cs"/>
            </a:rPr>
            <a:t>医療費の</a:t>
          </a:r>
          <a:br>
            <a:rPr kumimoji="1" lang="en-US" altLang="ja-JP" sz="1400" b="1">
              <a:latin typeface="游ゴシック" panose="020B0400000000000000" pitchFamily="50" charset="-128"/>
              <a:ea typeface="游ゴシック" panose="020B0400000000000000" pitchFamily="50" charset="-128"/>
              <a:cs typeface="+mn-cs"/>
            </a:rPr>
          </a:br>
          <a:r>
            <a:rPr kumimoji="1" lang="ja-JP" altLang="en-US" sz="1400" b="1">
              <a:latin typeface="游ゴシック" panose="020B0400000000000000" pitchFamily="50" charset="-128"/>
              <a:ea typeface="游ゴシック" panose="020B0400000000000000" pitchFamily="50" charset="-128"/>
              <a:cs typeface="+mn-cs"/>
            </a:rPr>
            <a:t>総額</a:t>
          </a:r>
        </a:p>
      </dgm:t>
    </dgm:pt>
    <dgm:pt modelId="{63C42108-A134-4AFF-95FF-1DEDA814E317}" type="parTrans" cxnId="{59FE51E4-FF74-4C60-BF1B-58C8DCA9ACCD}">
      <dgm:prSet/>
      <dgm:spPr/>
      <dgm:t>
        <a:bodyPr/>
        <a:lstStyle/>
        <a:p>
          <a:endParaRPr kumimoji="1" lang="ja-JP" altLang="en-US" sz="1400" b="1">
            <a:latin typeface="游ゴシック" panose="020B0400000000000000" pitchFamily="50" charset="-128"/>
            <a:ea typeface="游ゴシック" panose="020B0400000000000000" pitchFamily="50" charset="-128"/>
          </a:endParaRPr>
        </a:p>
      </dgm:t>
    </dgm:pt>
    <dgm:pt modelId="{120ED502-98AF-4AA0-9171-CE5B72822377}" type="sibTrans" cxnId="{59FE51E4-FF74-4C60-BF1B-58C8DCA9ACCD}">
      <dgm:prSet custT="1"/>
      <dgm:spPr>
        <a:xfrm>
          <a:off x="1286612" y="404654"/>
          <a:ext cx="342691" cy="342691"/>
        </a:xfrm>
        <a:prstGeom prst="mathMinus">
          <a:avLst/>
        </a:prstGeom>
      </dgm:spPr>
      <dgm:t>
        <a:bodyPr/>
        <a:lstStyle/>
        <a:p>
          <a:pPr>
            <a:buNone/>
          </a:pPr>
          <a:endParaRPr kumimoji="1" lang="ja-JP" altLang="en-US" sz="1400" b="1">
            <a:solidFill>
              <a:sysClr val="window" lastClr="FFFFFF"/>
            </a:solidFill>
            <a:latin typeface="游ゴシック" panose="020B0400000000000000" pitchFamily="50" charset="-128"/>
            <a:ea typeface="游ゴシック" panose="020B0400000000000000" pitchFamily="50" charset="-128"/>
            <a:cs typeface="+mn-cs"/>
          </a:endParaRPr>
        </a:p>
      </dgm:t>
    </dgm:pt>
    <dgm:pt modelId="{4432D3B4-5E30-41E3-931A-8DB7CF39820F}">
      <dgm:prSet phldrT="[テキスト]" custT="1"/>
      <dgm:spPr>
        <a:xfrm>
          <a:off x="1677280" y="301"/>
          <a:ext cx="1151396" cy="1151396"/>
        </a:xfrm>
        <a:prstGeom prst="roundRect">
          <a:avLst/>
        </a:prstGeom>
      </dgm:spPr>
      <dgm:t>
        <a:bodyPr/>
        <a:lstStyle/>
        <a:p>
          <a:pPr>
            <a:buNone/>
          </a:pPr>
          <a:r>
            <a:rPr kumimoji="1" lang="ja-JP" altLang="en-US" sz="1400" b="1">
              <a:latin typeface="游ゴシック" panose="020B0400000000000000" pitchFamily="50" charset="-128"/>
              <a:ea typeface="游ゴシック" panose="020B0400000000000000" pitchFamily="50" charset="-128"/>
              <a:cs typeface="+mn-cs"/>
            </a:rPr>
            <a:t>保険などで補てんされる金額</a:t>
          </a:r>
          <a:endParaRPr kumimoji="1" lang="en-US" altLang="ja-JP" sz="1400" b="1">
            <a:latin typeface="游ゴシック" panose="020B0400000000000000" pitchFamily="50" charset="-128"/>
            <a:ea typeface="游ゴシック" panose="020B0400000000000000" pitchFamily="50" charset="-128"/>
            <a:cs typeface="+mn-cs"/>
          </a:endParaRPr>
        </a:p>
      </dgm:t>
    </dgm:pt>
    <dgm:pt modelId="{A62A71A5-8A7E-4557-87CE-6C227B313F44}" type="sibTrans" cxnId="{ACC9665B-388A-48AD-95D6-9CB7FF180A2E}">
      <dgm:prSet custT="1"/>
      <dgm:spPr>
        <a:xfrm>
          <a:off x="2876654" y="404654"/>
          <a:ext cx="342691" cy="342691"/>
        </a:xfrm>
        <a:prstGeom prst="mathMinus">
          <a:avLst/>
        </a:prstGeom>
      </dgm:spPr>
      <dgm:t>
        <a:bodyPr/>
        <a:lstStyle/>
        <a:p>
          <a:pPr>
            <a:buNone/>
          </a:pPr>
          <a:endParaRPr kumimoji="1" lang="ja-JP" altLang="en-US" sz="1400" b="1">
            <a:solidFill>
              <a:sysClr val="window" lastClr="FFFFFF"/>
            </a:solidFill>
            <a:latin typeface="游ゴシック" panose="020B0400000000000000" pitchFamily="50" charset="-128"/>
            <a:ea typeface="游ゴシック" panose="020B0400000000000000" pitchFamily="50" charset="-128"/>
            <a:cs typeface="+mn-cs"/>
          </a:endParaRPr>
        </a:p>
      </dgm:t>
    </dgm:pt>
    <dgm:pt modelId="{31AA91C6-9615-43E5-9C8C-D8E744456A94}" type="parTrans" cxnId="{ACC9665B-388A-48AD-95D6-9CB7FF180A2E}">
      <dgm:prSet/>
      <dgm:spPr/>
      <dgm:t>
        <a:bodyPr/>
        <a:lstStyle/>
        <a:p>
          <a:endParaRPr kumimoji="1" lang="ja-JP" altLang="en-US" sz="1400" b="1">
            <a:latin typeface="游ゴシック" panose="020B0400000000000000" pitchFamily="50" charset="-128"/>
            <a:ea typeface="游ゴシック" panose="020B0400000000000000" pitchFamily="50" charset="-128"/>
          </a:endParaRPr>
        </a:p>
      </dgm:t>
    </dgm:pt>
    <dgm:pt modelId="{207DF0E3-0C68-4EA2-8E8B-95A17F840C00}">
      <dgm:prSet phldrT="[テキスト]" custT="1"/>
      <dgm:spPr>
        <a:xfrm>
          <a:off x="4857364" y="301"/>
          <a:ext cx="1151396" cy="1151396"/>
        </a:xfrm>
        <a:prstGeom prst="roundRect">
          <a:avLst/>
        </a:prstGeom>
      </dgm:spPr>
      <dgm:t>
        <a:bodyPr/>
        <a:lstStyle/>
        <a:p>
          <a:pPr>
            <a:buNone/>
          </a:pPr>
          <a:r>
            <a:rPr kumimoji="1" lang="ja-JP" altLang="en-US" sz="1400" b="1">
              <a:latin typeface="游ゴシック" panose="020B0400000000000000" pitchFamily="50" charset="-128"/>
              <a:ea typeface="游ゴシック" panose="020B0400000000000000" pitchFamily="50" charset="-128"/>
              <a:cs typeface="+mn-cs"/>
            </a:rPr>
            <a:t>医療費</a:t>
          </a:r>
          <a:br>
            <a:rPr kumimoji="1" lang="en-US" altLang="ja-JP" sz="1400" b="1">
              <a:latin typeface="游ゴシック" panose="020B0400000000000000" pitchFamily="50" charset="-128"/>
              <a:ea typeface="游ゴシック" panose="020B0400000000000000" pitchFamily="50" charset="-128"/>
              <a:cs typeface="+mn-cs"/>
            </a:rPr>
          </a:br>
          <a:r>
            <a:rPr kumimoji="1" lang="ja-JP" altLang="en-US" sz="1400" b="1">
              <a:latin typeface="游ゴシック" panose="020B0400000000000000" pitchFamily="50" charset="-128"/>
              <a:ea typeface="游ゴシック" panose="020B0400000000000000" pitchFamily="50" charset="-128"/>
              <a:cs typeface="+mn-cs"/>
            </a:rPr>
            <a:t>控除額</a:t>
          </a:r>
          <a:br>
            <a:rPr kumimoji="1" lang="en-US" altLang="ja-JP" sz="1400" b="1">
              <a:latin typeface="游ゴシック" panose="020B0400000000000000" pitchFamily="50" charset="-128"/>
              <a:ea typeface="游ゴシック" panose="020B0400000000000000" pitchFamily="50" charset="-128"/>
              <a:cs typeface="+mn-cs"/>
            </a:rPr>
          </a:br>
          <a:r>
            <a:rPr kumimoji="1" lang="ja-JP" altLang="en-US" sz="900" b="1">
              <a:latin typeface="游ゴシック" panose="020B0400000000000000" pitchFamily="50" charset="-128"/>
              <a:ea typeface="游ゴシック" panose="020B0400000000000000" pitchFamily="50" charset="-128"/>
              <a:cs typeface="+mn-cs"/>
            </a:rPr>
            <a:t>（最高</a:t>
          </a:r>
          <a:r>
            <a:rPr kumimoji="1" lang="en-US" altLang="ja-JP" sz="900" b="1">
              <a:latin typeface="游ゴシック" panose="020B0400000000000000" pitchFamily="50" charset="-128"/>
              <a:ea typeface="游ゴシック" panose="020B0400000000000000" pitchFamily="50" charset="-128"/>
              <a:cs typeface="+mn-cs"/>
            </a:rPr>
            <a:t>200</a:t>
          </a:r>
          <a:r>
            <a:rPr kumimoji="1" lang="ja-JP" altLang="en-US" sz="900" b="1">
              <a:latin typeface="游ゴシック" panose="020B0400000000000000" pitchFamily="50" charset="-128"/>
              <a:ea typeface="游ゴシック" panose="020B0400000000000000" pitchFamily="50" charset="-128"/>
              <a:cs typeface="+mn-cs"/>
            </a:rPr>
            <a:t>万円）</a:t>
          </a:r>
        </a:p>
      </dgm:t>
    </dgm:pt>
    <dgm:pt modelId="{ED7F61BF-4A65-44A1-BEA6-2AE8016A5E76}" type="sibTrans" cxnId="{4EE57531-F53E-4625-A45C-E64C322E4D9B}">
      <dgm:prSet/>
      <dgm:spPr/>
      <dgm:t>
        <a:bodyPr/>
        <a:lstStyle/>
        <a:p>
          <a:endParaRPr kumimoji="1" lang="ja-JP" altLang="en-US" sz="1400" b="1">
            <a:latin typeface="游ゴシック" panose="020B0400000000000000" pitchFamily="50" charset="-128"/>
            <a:ea typeface="游ゴシック" panose="020B0400000000000000" pitchFamily="50" charset="-128"/>
          </a:endParaRPr>
        </a:p>
      </dgm:t>
    </dgm:pt>
    <dgm:pt modelId="{8D693BDC-4E08-482A-B067-ACC79B3B3CD6}" type="parTrans" cxnId="{4EE57531-F53E-4625-A45C-E64C322E4D9B}">
      <dgm:prSet/>
      <dgm:spPr/>
      <dgm:t>
        <a:bodyPr/>
        <a:lstStyle/>
        <a:p>
          <a:endParaRPr kumimoji="1" lang="ja-JP" altLang="en-US" sz="1400" b="1">
            <a:latin typeface="游ゴシック" panose="020B0400000000000000" pitchFamily="50" charset="-128"/>
            <a:ea typeface="游ゴシック" panose="020B0400000000000000" pitchFamily="50" charset="-128"/>
          </a:endParaRPr>
        </a:p>
      </dgm:t>
    </dgm:pt>
    <dgm:pt modelId="{05211240-1280-453E-BED6-267C88AAD3E7}">
      <dgm:prSet phldrT="[テキスト]" custT="1"/>
      <dgm:spPr>
        <a:xfrm>
          <a:off x="3267322" y="301"/>
          <a:ext cx="1151396" cy="1151396"/>
        </a:xfrm>
        <a:prstGeom prst="roundRect">
          <a:avLst/>
        </a:prstGeom>
      </dgm:spPr>
      <dgm:t>
        <a:bodyPr/>
        <a:lstStyle/>
        <a:p>
          <a:pPr>
            <a:buNone/>
          </a:pPr>
          <a:r>
            <a:rPr kumimoji="1" lang="en-US" altLang="ja-JP" sz="1400" b="1">
              <a:latin typeface="游ゴシック" panose="020B0400000000000000" pitchFamily="50" charset="-128"/>
              <a:ea typeface="游ゴシック" panose="020B0400000000000000" pitchFamily="50" charset="-128"/>
              <a:cs typeface="+mn-cs"/>
            </a:rPr>
            <a:t>10</a:t>
          </a:r>
          <a:r>
            <a:rPr kumimoji="1" lang="ja-JP" altLang="en-US" sz="1400" b="1">
              <a:latin typeface="游ゴシック" panose="020B0400000000000000" pitchFamily="50" charset="-128"/>
              <a:ea typeface="游ゴシック" panose="020B0400000000000000" pitchFamily="50" charset="-128"/>
              <a:cs typeface="+mn-cs"/>
            </a:rPr>
            <a:t>万円</a:t>
          </a:r>
          <a:br>
            <a:rPr kumimoji="1" lang="en-US" altLang="ja-JP" sz="1400" b="1">
              <a:latin typeface="游ゴシック" panose="020B0400000000000000" pitchFamily="50" charset="-128"/>
              <a:ea typeface="游ゴシック" panose="020B0400000000000000" pitchFamily="50" charset="-128"/>
              <a:cs typeface="+mn-cs"/>
            </a:rPr>
          </a:br>
          <a:r>
            <a:rPr kumimoji="1" lang="ja-JP" altLang="en-US" sz="900" b="1">
              <a:latin typeface="游ゴシック" panose="020B0400000000000000" pitchFamily="50" charset="-128"/>
              <a:ea typeface="游ゴシック" panose="020B0400000000000000" pitchFamily="50" charset="-128"/>
              <a:cs typeface="+mn-cs"/>
            </a:rPr>
            <a:t>（所得合計額が</a:t>
          </a:r>
          <a:r>
            <a:rPr kumimoji="1" lang="en-US" altLang="en-US" sz="900" b="1">
              <a:latin typeface="游ゴシック" panose="020B0400000000000000" pitchFamily="50" charset="-128"/>
              <a:ea typeface="游ゴシック" panose="020B0400000000000000" pitchFamily="50" charset="-128"/>
              <a:cs typeface="+mn-cs"/>
            </a:rPr>
            <a:t>200</a:t>
          </a:r>
          <a:r>
            <a:rPr kumimoji="1" lang="ja-JP" altLang="en-US" sz="900" b="1">
              <a:latin typeface="游ゴシック" panose="020B0400000000000000" pitchFamily="50" charset="-128"/>
              <a:ea typeface="游ゴシック" panose="020B0400000000000000" pitchFamily="50" charset="-128"/>
              <a:cs typeface="+mn-cs"/>
            </a:rPr>
            <a:t>万円未満の場合は所得額の</a:t>
          </a:r>
          <a:r>
            <a:rPr kumimoji="1" lang="en-US" altLang="en-US" sz="900" b="1">
              <a:latin typeface="游ゴシック" panose="020B0400000000000000" pitchFamily="50" charset="-128"/>
              <a:ea typeface="游ゴシック" panose="020B0400000000000000" pitchFamily="50" charset="-128"/>
              <a:cs typeface="+mn-cs"/>
            </a:rPr>
            <a:t>5%</a:t>
          </a:r>
          <a:r>
            <a:rPr kumimoji="1" lang="ja-JP" altLang="en-US" sz="900" b="1">
              <a:latin typeface="游ゴシック" panose="020B0400000000000000" pitchFamily="50" charset="-128"/>
              <a:ea typeface="游ゴシック" panose="020B0400000000000000" pitchFamily="50" charset="-128"/>
              <a:cs typeface="+mn-cs"/>
            </a:rPr>
            <a:t>）</a:t>
          </a:r>
          <a:endParaRPr kumimoji="1" lang="en-US" altLang="ja-JP" sz="900" b="1">
            <a:latin typeface="游ゴシック" panose="020B0400000000000000" pitchFamily="50" charset="-128"/>
            <a:ea typeface="游ゴシック" panose="020B0400000000000000" pitchFamily="50" charset="-128"/>
            <a:cs typeface="+mn-cs"/>
          </a:endParaRPr>
        </a:p>
      </dgm:t>
    </dgm:pt>
    <dgm:pt modelId="{B5DEB8A1-9240-47B0-B871-EDA55D836100}" type="parTrans" cxnId="{898D3B5C-9D65-478C-93D0-4C4D332F3709}">
      <dgm:prSet/>
      <dgm:spPr/>
      <dgm:t>
        <a:bodyPr/>
        <a:lstStyle/>
        <a:p>
          <a:endParaRPr kumimoji="1" lang="ja-JP" altLang="en-US" sz="1400" b="1">
            <a:latin typeface="游ゴシック" panose="020B0400000000000000" pitchFamily="50" charset="-128"/>
            <a:ea typeface="游ゴシック" panose="020B0400000000000000" pitchFamily="50" charset="-128"/>
          </a:endParaRPr>
        </a:p>
      </dgm:t>
    </dgm:pt>
    <dgm:pt modelId="{4384E645-909D-427F-9F68-990AF41F5454}" type="sibTrans" cxnId="{898D3B5C-9D65-478C-93D0-4C4D332F3709}">
      <dgm:prSet custT="1"/>
      <dgm:spPr>
        <a:xfrm>
          <a:off x="4466696" y="404654"/>
          <a:ext cx="342691" cy="342691"/>
        </a:xfrm>
        <a:prstGeom prst="mathEqual">
          <a:avLst/>
        </a:prstGeom>
      </dgm:spPr>
      <dgm:t>
        <a:bodyPr/>
        <a:lstStyle/>
        <a:p>
          <a:pPr>
            <a:buNone/>
          </a:pPr>
          <a:endParaRPr kumimoji="1" lang="ja-JP" altLang="en-US" sz="1400" b="1">
            <a:solidFill>
              <a:sysClr val="window" lastClr="FFFFFF"/>
            </a:solidFill>
            <a:latin typeface="游ゴシック" panose="020B0400000000000000" pitchFamily="50" charset="-128"/>
            <a:ea typeface="游ゴシック" panose="020B0400000000000000" pitchFamily="50" charset="-128"/>
            <a:cs typeface="+mn-cs"/>
          </a:endParaRPr>
        </a:p>
      </dgm:t>
    </dgm:pt>
    <dgm:pt modelId="{C579086A-E42A-4F33-9C50-BC94EC1632BA}" type="pres">
      <dgm:prSet presAssocID="{742A0D01-0324-4984-990F-3CB387924DA8}" presName="linearFlow" presStyleCnt="0">
        <dgm:presLayoutVars>
          <dgm:dir/>
          <dgm:resizeHandles val="exact"/>
        </dgm:presLayoutVars>
      </dgm:prSet>
      <dgm:spPr/>
    </dgm:pt>
    <dgm:pt modelId="{7DA1B7AE-526F-4B06-8901-09BFEFA5A157}" type="pres">
      <dgm:prSet presAssocID="{C93A7686-1B79-41F4-B79B-DBC82A4151E7}" presName="node" presStyleLbl="node1" presStyleIdx="0" presStyleCnt="4" custScaleX="194872" custScaleY="194872">
        <dgm:presLayoutVars>
          <dgm:bulletEnabled val="1"/>
        </dgm:presLayoutVars>
      </dgm:prSet>
      <dgm:spPr>
        <a:prstGeom prst="roundRect">
          <a:avLst/>
        </a:prstGeom>
      </dgm:spPr>
    </dgm:pt>
    <dgm:pt modelId="{FB5A78D3-9D67-48F1-B346-E9131E254A83}" type="pres">
      <dgm:prSet presAssocID="{120ED502-98AF-4AA0-9171-CE5B72822377}" presName="spacerL" presStyleCnt="0"/>
      <dgm:spPr/>
    </dgm:pt>
    <dgm:pt modelId="{71DBD607-D4FA-4DD1-82B3-E351D05625E5}" type="pres">
      <dgm:prSet presAssocID="{120ED502-98AF-4AA0-9171-CE5B72822377}" presName="sibTrans" presStyleLbl="sibTrans2D1" presStyleIdx="0" presStyleCnt="3"/>
      <dgm:spPr>
        <a:prstGeom prst="mathMinus">
          <a:avLst/>
        </a:prstGeom>
      </dgm:spPr>
    </dgm:pt>
    <dgm:pt modelId="{3FA8A4A4-854D-4A50-9DC1-2611FC6C85DB}" type="pres">
      <dgm:prSet presAssocID="{120ED502-98AF-4AA0-9171-CE5B72822377}" presName="spacerR" presStyleCnt="0"/>
      <dgm:spPr/>
    </dgm:pt>
    <dgm:pt modelId="{328B4B85-037E-4479-9029-ED94D25F1A38}" type="pres">
      <dgm:prSet presAssocID="{4432D3B4-5E30-41E3-931A-8DB7CF39820F}" presName="node" presStyleLbl="node1" presStyleIdx="1" presStyleCnt="4" custScaleX="194872" custScaleY="194872">
        <dgm:presLayoutVars>
          <dgm:bulletEnabled val="1"/>
        </dgm:presLayoutVars>
      </dgm:prSet>
      <dgm:spPr>
        <a:prstGeom prst="roundRect">
          <a:avLst/>
        </a:prstGeom>
      </dgm:spPr>
    </dgm:pt>
    <dgm:pt modelId="{4039373D-88A2-47DB-AC38-64F21D080DBE}" type="pres">
      <dgm:prSet presAssocID="{A62A71A5-8A7E-4557-87CE-6C227B313F44}" presName="spacerL" presStyleCnt="0"/>
      <dgm:spPr/>
    </dgm:pt>
    <dgm:pt modelId="{FB424322-2EBB-48D4-B10A-92E5ECA675D7}" type="pres">
      <dgm:prSet presAssocID="{A62A71A5-8A7E-4557-87CE-6C227B313F44}" presName="sibTrans" presStyleLbl="sibTrans2D1" presStyleIdx="1" presStyleCnt="3"/>
      <dgm:spPr>
        <a:prstGeom prst="mathMinus">
          <a:avLst/>
        </a:prstGeom>
      </dgm:spPr>
    </dgm:pt>
    <dgm:pt modelId="{31EBE4C2-43BE-437F-BB5A-344CE3E43604}" type="pres">
      <dgm:prSet presAssocID="{A62A71A5-8A7E-4557-87CE-6C227B313F44}" presName="spacerR" presStyleCnt="0"/>
      <dgm:spPr/>
    </dgm:pt>
    <dgm:pt modelId="{907E3129-792D-421F-B991-360ECCCCA5CD}" type="pres">
      <dgm:prSet presAssocID="{05211240-1280-453E-BED6-267C88AAD3E7}" presName="node" presStyleLbl="node1" presStyleIdx="2" presStyleCnt="4" custScaleX="194872" custScaleY="194872">
        <dgm:presLayoutVars>
          <dgm:bulletEnabled val="1"/>
        </dgm:presLayoutVars>
      </dgm:prSet>
      <dgm:spPr>
        <a:prstGeom prst="roundRect">
          <a:avLst/>
        </a:prstGeom>
      </dgm:spPr>
    </dgm:pt>
    <dgm:pt modelId="{82C7CBFC-DC2D-48D4-A5D2-AE9CDABA111A}" type="pres">
      <dgm:prSet presAssocID="{4384E645-909D-427F-9F68-990AF41F5454}" presName="spacerL" presStyleCnt="0"/>
      <dgm:spPr/>
    </dgm:pt>
    <dgm:pt modelId="{C906AE95-C96A-4494-9601-71A522F158DA}" type="pres">
      <dgm:prSet presAssocID="{4384E645-909D-427F-9F68-990AF41F5454}" presName="sibTrans" presStyleLbl="sibTrans2D1" presStyleIdx="2" presStyleCnt="3"/>
      <dgm:spPr/>
    </dgm:pt>
    <dgm:pt modelId="{08C7E25E-FCEC-449E-B7B1-13CB92288705}" type="pres">
      <dgm:prSet presAssocID="{4384E645-909D-427F-9F68-990AF41F5454}" presName="spacerR" presStyleCnt="0"/>
      <dgm:spPr/>
    </dgm:pt>
    <dgm:pt modelId="{E12F3224-0D8A-4C9B-AC1C-D741253724FD}" type="pres">
      <dgm:prSet presAssocID="{207DF0E3-0C68-4EA2-8E8B-95A17F840C00}" presName="node" presStyleLbl="node1" presStyleIdx="3" presStyleCnt="4" custScaleX="194872" custScaleY="194872">
        <dgm:presLayoutVars>
          <dgm:bulletEnabled val="1"/>
        </dgm:presLayoutVars>
      </dgm:prSet>
      <dgm:spPr>
        <a:prstGeom prst="roundRect">
          <a:avLst/>
        </a:prstGeom>
      </dgm:spPr>
    </dgm:pt>
  </dgm:ptLst>
  <dgm:cxnLst>
    <dgm:cxn modelId="{A6798C20-831E-4A15-8EAF-AD8BF2E3315A}" type="presOf" srcId="{742A0D01-0324-4984-990F-3CB387924DA8}" destId="{C579086A-E42A-4F33-9C50-BC94EC1632BA}" srcOrd="0" destOrd="0" presId="urn:microsoft.com/office/officeart/2005/8/layout/equation1"/>
    <dgm:cxn modelId="{4EE57531-F53E-4625-A45C-E64C322E4D9B}" srcId="{742A0D01-0324-4984-990F-3CB387924DA8}" destId="{207DF0E3-0C68-4EA2-8E8B-95A17F840C00}" srcOrd="3" destOrd="0" parTransId="{8D693BDC-4E08-482A-B067-ACC79B3B3CD6}" sibTransId="{ED7F61BF-4A65-44A1-BEA6-2AE8016A5E76}"/>
    <dgm:cxn modelId="{ACC9665B-388A-48AD-95D6-9CB7FF180A2E}" srcId="{742A0D01-0324-4984-990F-3CB387924DA8}" destId="{4432D3B4-5E30-41E3-931A-8DB7CF39820F}" srcOrd="1" destOrd="0" parTransId="{31AA91C6-9615-43E5-9C8C-D8E744456A94}" sibTransId="{A62A71A5-8A7E-4557-87CE-6C227B313F44}"/>
    <dgm:cxn modelId="{898D3B5C-9D65-478C-93D0-4C4D332F3709}" srcId="{742A0D01-0324-4984-990F-3CB387924DA8}" destId="{05211240-1280-453E-BED6-267C88AAD3E7}" srcOrd="2" destOrd="0" parTransId="{B5DEB8A1-9240-47B0-B871-EDA55D836100}" sibTransId="{4384E645-909D-427F-9F68-990AF41F5454}"/>
    <dgm:cxn modelId="{A011D152-ACBD-444C-8E15-8B65B3CAAED9}" type="presOf" srcId="{207DF0E3-0C68-4EA2-8E8B-95A17F840C00}" destId="{E12F3224-0D8A-4C9B-AC1C-D741253724FD}" srcOrd="0" destOrd="0" presId="urn:microsoft.com/office/officeart/2005/8/layout/equation1"/>
    <dgm:cxn modelId="{4BF71C9A-BA08-487B-8F8D-F514C15F5AAA}" type="presOf" srcId="{120ED502-98AF-4AA0-9171-CE5B72822377}" destId="{71DBD607-D4FA-4DD1-82B3-E351D05625E5}" srcOrd="0" destOrd="0" presId="urn:microsoft.com/office/officeart/2005/8/layout/equation1"/>
    <dgm:cxn modelId="{06886DC7-C501-4E53-8814-B8D332044194}" type="presOf" srcId="{4432D3B4-5E30-41E3-931A-8DB7CF39820F}" destId="{328B4B85-037E-4479-9029-ED94D25F1A38}" srcOrd="0" destOrd="0" presId="urn:microsoft.com/office/officeart/2005/8/layout/equation1"/>
    <dgm:cxn modelId="{2291A7C8-FDB0-4D8C-B1AD-BA5B0E9FC0D7}" type="presOf" srcId="{A62A71A5-8A7E-4557-87CE-6C227B313F44}" destId="{FB424322-2EBB-48D4-B10A-92E5ECA675D7}" srcOrd="0" destOrd="0" presId="urn:microsoft.com/office/officeart/2005/8/layout/equation1"/>
    <dgm:cxn modelId="{1BDDC4CE-05FC-441F-BFBE-1E266B8EA9CB}" type="presOf" srcId="{05211240-1280-453E-BED6-267C88AAD3E7}" destId="{907E3129-792D-421F-B991-360ECCCCA5CD}" srcOrd="0" destOrd="0" presId="urn:microsoft.com/office/officeart/2005/8/layout/equation1"/>
    <dgm:cxn modelId="{E663C3D3-C684-4B9F-8229-A20E9607815D}" type="presOf" srcId="{C93A7686-1B79-41F4-B79B-DBC82A4151E7}" destId="{7DA1B7AE-526F-4B06-8901-09BFEFA5A157}" srcOrd="0" destOrd="0" presId="urn:microsoft.com/office/officeart/2005/8/layout/equation1"/>
    <dgm:cxn modelId="{B67944E4-3AFA-4362-8666-20C2A8372349}" type="presOf" srcId="{4384E645-909D-427F-9F68-990AF41F5454}" destId="{C906AE95-C96A-4494-9601-71A522F158DA}" srcOrd="0" destOrd="0" presId="urn:microsoft.com/office/officeart/2005/8/layout/equation1"/>
    <dgm:cxn modelId="{59FE51E4-FF74-4C60-BF1B-58C8DCA9ACCD}" srcId="{742A0D01-0324-4984-990F-3CB387924DA8}" destId="{C93A7686-1B79-41F4-B79B-DBC82A4151E7}" srcOrd="0" destOrd="0" parTransId="{63C42108-A134-4AFF-95FF-1DEDA814E317}" sibTransId="{120ED502-98AF-4AA0-9171-CE5B72822377}"/>
    <dgm:cxn modelId="{B2BE9A4B-518C-4373-9A70-8DA06479F5DA}" type="presParOf" srcId="{C579086A-E42A-4F33-9C50-BC94EC1632BA}" destId="{7DA1B7AE-526F-4B06-8901-09BFEFA5A157}" srcOrd="0" destOrd="0" presId="urn:microsoft.com/office/officeart/2005/8/layout/equation1"/>
    <dgm:cxn modelId="{9CE77EB3-AC2B-4D59-A5D6-9CA48AFF45C8}" type="presParOf" srcId="{C579086A-E42A-4F33-9C50-BC94EC1632BA}" destId="{FB5A78D3-9D67-48F1-B346-E9131E254A83}" srcOrd="1" destOrd="0" presId="urn:microsoft.com/office/officeart/2005/8/layout/equation1"/>
    <dgm:cxn modelId="{37947EE1-7BAA-402E-AFC2-8063F8FC876C}" type="presParOf" srcId="{C579086A-E42A-4F33-9C50-BC94EC1632BA}" destId="{71DBD607-D4FA-4DD1-82B3-E351D05625E5}" srcOrd="2" destOrd="0" presId="urn:microsoft.com/office/officeart/2005/8/layout/equation1"/>
    <dgm:cxn modelId="{A28C38CF-9381-4D5E-9982-CC629F4789C1}" type="presParOf" srcId="{C579086A-E42A-4F33-9C50-BC94EC1632BA}" destId="{3FA8A4A4-854D-4A50-9DC1-2611FC6C85DB}" srcOrd="3" destOrd="0" presId="urn:microsoft.com/office/officeart/2005/8/layout/equation1"/>
    <dgm:cxn modelId="{A8A8DBAC-3F8F-48B6-A205-CF26E108F156}" type="presParOf" srcId="{C579086A-E42A-4F33-9C50-BC94EC1632BA}" destId="{328B4B85-037E-4479-9029-ED94D25F1A38}" srcOrd="4" destOrd="0" presId="urn:microsoft.com/office/officeart/2005/8/layout/equation1"/>
    <dgm:cxn modelId="{0A8EE1E6-183E-4F23-ABA7-60387E6FB3B9}" type="presParOf" srcId="{C579086A-E42A-4F33-9C50-BC94EC1632BA}" destId="{4039373D-88A2-47DB-AC38-64F21D080DBE}" srcOrd="5" destOrd="0" presId="urn:microsoft.com/office/officeart/2005/8/layout/equation1"/>
    <dgm:cxn modelId="{78ECF123-CCC9-46A3-B4F8-9C32A3D301C6}" type="presParOf" srcId="{C579086A-E42A-4F33-9C50-BC94EC1632BA}" destId="{FB424322-2EBB-48D4-B10A-92E5ECA675D7}" srcOrd="6" destOrd="0" presId="urn:microsoft.com/office/officeart/2005/8/layout/equation1"/>
    <dgm:cxn modelId="{593D2BF3-6943-43FB-A4B6-39440E5B3AFC}" type="presParOf" srcId="{C579086A-E42A-4F33-9C50-BC94EC1632BA}" destId="{31EBE4C2-43BE-437F-BB5A-344CE3E43604}" srcOrd="7" destOrd="0" presId="urn:microsoft.com/office/officeart/2005/8/layout/equation1"/>
    <dgm:cxn modelId="{2A752DC8-84BE-4B40-901A-6871C29191CD}" type="presParOf" srcId="{C579086A-E42A-4F33-9C50-BC94EC1632BA}" destId="{907E3129-792D-421F-B991-360ECCCCA5CD}" srcOrd="8" destOrd="0" presId="urn:microsoft.com/office/officeart/2005/8/layout/equation1"/>
    <dgm:cxn modelId="{868C8C13-CF2F-499A-9BE9-6015E0E91144}" type="presParOf" srcId="{C579086A-E42A-4F33-9C50-BC94EC1632BA}" destId="{82C7CBFC-DC2D-48D4-A5D2-AE9CDABA111A}" srcOrd="9" destOrd="0" presId="urn:microsoft.com/office/officeart/2005/8/layout/equation1"/>
    <dgm:cxn modelId="{3F4BFA6C-5339-4D42-8167-71672E46C42D}" type="presParOf" srcId="{C579086A-E42A-4F33-9C50-BC94EC1632BA}" destId="{C906AE95-C96A-4494-9601-71A522F158DA}" srcOrd="10" destOrd="0" presId="urn:microsoft.com/office/officeart/2005/8/layout/equation1"/>
    <dgm:cxn modelId="{C2DB26FF-2830-4C12-B9F3-89FA422B7F88}" type="presParOf" srcId="{C579086A-E42A-4F33-9C50-BC94EC1632BA}" destId="{08C7E25E-FCEC-449E-B7B1-13CB92288705}" srcOrd="11" destOrd="0" presId="urn:microsoft.com/office/officeart/2005/8/layout/equation1"/>
    <dgm:cxn modelId="{FC766318-1809-4B82-BE76-D524376EF02A}" type="presParOf" srcId="{C579086A-E42A-4F33-9C50-BC94EC1632BA}" destId="{E12F3224-0D8A-4C9B-AC1C-D741253724FD}" srcOrd="12" destOrd="0" presId="urn:microsoft.com/office/officeart/2005/8/layout/equation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DA1B7AE-526F-4B06-8901-09BFEFA5A157}">
      <dsp:nvSpPr>
        <dsp:cNvPr id="0" name=""/>
        <dsp:cNvSpPr/>
      </dsp:nvSpPr>
      <dsp:spPr>
        <a:xfrm>
          <a:off x="87238" y="301"/>
          <a:ext cx="1151396" cy="1151396"/>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kumimoji="1" lang="ja-JP" altLang="en-US" sz="1400" b="1" kern="1200">
              <a:latin typeface="游ゴシック" panose="020B0400000000000000" pitchFamily="50" charset="-128"/>
              <a:ea typeface="游ゴシック" panose="020B0400000000000000" pitchFamily="50" charset="-128"/>
              <a:cs typeface="+mn-cs"/>
            </a:rPr>
            <a:t>支払った</a:t>
          </a:r>
          <a:br>
            <a:rPr kumimoji="1" lang="en-US" altLang="ja-JP" sz="1400" b="1" kern="1200">
              <a:latin typeface="游ゴシック" panose="020B0400000000000000" pitchFamily="50" charset="-128"/>
              <a:ea typeface="游ゴシック" panose="020B0400000000000000" pitchFamily="50" charset="-128"/>
              <a:cs typeface="+mn-cs"/>
            </a:rPr>
          </a:br>
          <a:r>
            <a:rPr kumimoji="1" lang="ja-JP" altLang="en-US" sz="1400" b="1" kern="1200">
              <a:latin typeface="游ゴシック" panose="020B0400000000000000" pitchFamily="50" charset="-128"/>
              <a:ea typeface="游ゴシック" panose="020B0400000000000000" pitchFamily="50" charset="-128"/>
              <a:cs typeface="+mn-cs"/>
            </a:rPr>
            <a:t>医療費の</a:t>
          </a:r>
          <a:br>
            <a:rPr kumimoji="1" lang="en-US" altLang="ja-JP" sz="1400" b="1" kern="1200">
              <a:latin typeface="游ゴシック" panose="020B0400000000000000" pitchFamily="50" charset="-128"/>
              <a:ea typeface="游ゴシック" panose="020B0400000000000000" pitchFamily="50" charset="-128"/>
              <a:cs typeface="+mn-cs"/>
            </a:rPr>
          </a:br>
          <a:r>
            <a:rPr kumimoji="1" lang="ja-JP" altLang="en-US" sz="1400" b="1" kern="1200">
              <a:latin typeface="游ゴシック" panose="020B0400000000000000" pitchFamily="50" charset="-128"/>
              <a:ea typeface="游ゴシック" panose="020B0400000000000000" pitchFamily="50" charset="-128"/>
              <a:cs typeface="+mn-cs"/>
            </a:rPr>
            <a:t>総額</a:t>
          </a:r>
        </a:p>
      </dsp:txBody>
      <dsp:txXfrm>
        <a:off x="143445" y="56508"/>
        <a:ext cx="1038982" cy="1038982"/>
      </dsp:txXfrm>
    </dsp:sp>
    <dsp:sp modelId="{71DBD607-D4FA-4DD1-82B3-E351D05625E5}">
      <dsp:nvSpPr>
        <dsp:cNvPr id="0" name=""/>
        <dsp:cNvSpPr/>
      </dsp:nvSpPr>
      <dsp:spPr>
        <a:xfrm>
          <a:off x="1286612" y="404654"/>
          <a:ext cx="342691" cy="342691"/>
        </a:xfrm>
        <a:prstGeom prst="mathMinus">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kumimoji="1" lang="ja-JP" altLang="en-US" sz="1400" b="1" kern="1200">
            <a:solidFill>
              <a:sysClr val="window" lastClr="FFFFFF"/>
            </a:solidFill>
            <a:latin typeface="游ゴシック" panose="020B0400000000000000" pitchFamily="50" charset="-128"/>
            <a:ea typeface="游ゴシック" panose="020B0400000000000000" pitchFamily="50" charset="-128"/>
            <a:cs typeface="+mn-cs"/>
          </a:endParaRPr>
        </a:p>
      </dsp:txBody>
      <dsp:txXfrm>
        <a:off x="1332036" y="535699"/>
        <a:ext cx="251843" cy="80601"/>
      </dsp:txXfrm>
    </dsp:sp>
    <dsp:sp modelId="{328B4B85-037E-4479-9029-ED94D25F1A38}">
      <dsp:nvSpPr>
        <dsp:cNvPr id="0" name=""/>
        <dsp:cNvSpPr/>
      </dsp:nvSpPr>
      <dsp:spPr>
        <a:xfrm>
          <a:off x="1677280" y="301"/>
          <a:ext cx="1151396" cy="1151396"/>
        </a:xfrm>
        <a:prstGeom prst="roundRect">
          <a:avLst/>
        </a:prstGeom>
        <a:solidFill>
          <a:schemeClr val="accent5">
            <a:hueOff val="-2252848"/>
            <a:satOff val="-5806"/>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kumimoji="1" lang="ja-JP" altLang="en-US" sz="1400" b="1" kern="1200">
              <a:latin typeface="游ゴシック" panose="020B0400000000000000" pitchFamily="50" charset="-128"/>
              <a:ea typeface="游ゴシック" panose="020B0400000000000000" pitchFamily="50" charset="-128"/>
              <a:cs typeface="+mn-cs"/>
            </a:rPr>
            <a:t>保険などで補てんされる金額</a:t>
          </a:r>
          <a:endParaRPr kumimoji="1" lang="en-US" altLang="ja-JP" sz="1400" b="1" kern="1200">
            <a:latin typeface="游ゴシック" panose="020B0400000000000000" pitchFamily="50" charset="-128"/>
            <a:ea typeface="游ゴシック" panose="020B0400000000000000" pitchFamily="50" charset="-128"/>
            <a:cs typeface="+mn-cs"/>
          </a:endParaRPr>
        </a:p>
      </dsp:txBody>
      <dsp:txXfrm>
        <a:off x="1733487" y="56508"/>
        <a:ext cx="1038982" cy="1038982"/>
      </dsp:txXfrm>
    </dsp:sp>
    <dsp:sp modelId="{FB424322-2EBB-48D4-B10A-92E5ECA675D7}">
      <dsp:nvSpPr>
        <dsp:cNvPr id="0" name=""/>
        <dsp:cNvSpPr/>
      </dsp:nvSpPr>
      <dsp:spPr>
        <a:xfrm>
          <a:off x="2876654" y="404654"/>
          <a:ext cx="342691" cy="342691"/>
        </a:xfrm>
        <a:prstGeom prst="mathMinus">
          <a:avLst/>
        </a:prstGeom>
        <a:solidFill>
          <a:schemeClr val="accent5">
            <a:hueOff val="-3379271"/>
            <a:satOff val="-8710"/>
            <a:lumOff val="-588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kumimoji="1" lang="ja-JP" altLang="en-US" sz="1400" b="1" kern="1200">
            <a:solidFill>
              <a:sysClr val="window" lastClr="FFFFFF"/>
            </a:solidFill>
            <a:latin typeface="游ゴシック" panose="020B0400000000000000" pitchFamily="50" charset="-128"/>
            <a:ea typeface="游ゴシック" panose="020B0400000000000000" pitchFamily="50" charset="-128"/>
            <a:cs typeface="+mn-cs"/>
          </a:endParaRPr>
        </a:p>
      </dsp:txBody>
      <dsp:txXfrm>
        <a:off x="2922078" y="535699"/>
        <a:ext cx="251843" cy="80601"/>
      </dsp:txXfrm>
    </dsp:sp>
    <dsp:sp modelId="{907E3129-792D-421F-B991-360ECCCCA5CD}">
      <dsp:nvSpPr>
        <dsp:cNvPr id="0" name=""/>
        <dsp:cNvSpPr/>
      </dsp:nvSpPr>
      <dsp:spPr>
        <a:xfrm>
          <a:off x="3267322" y="301"/>
          <a:ext cx="1151396" cy="1151396"/>
        </a:xfrm>
        <a:prstGeom prst="roundRect">
          <a:avLst/>
        </a:prstGeom>
        <a:solidFill>
          <a:schemeClr val="accent5">
            <a:hueOff val="-4505695"/>
            <a:satOff val="-11613"/>
            <a:lumOff val="-784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kumimoji="1" lang="en-US" altLang="ja-JP" sz="1400" b="1" kern="1200">
              <a:latin typeface="游ゴシック" panose="020B0400000000000000" pitchFamily="50" charset="-128"/>
              <a:ea typeface="游ゴシック" panose="020B0400000000000000" pitchFamily="50" charset="-128"/>
              <a:cs typeface="+mn-cs"/>
            </a:rPr>
            <a:t>10</a:t>
          </a:r>
          <a:r>
            <a:rPr kumimoji="1" lang="ja-JP" altLang="en-US" sz="1400" b="1" kern="1200">
              <a:latin typeface="游ゴシック" panose="020B0400000000000000" pitchFamily="50" charset="-128"/>
              <a:ea typeface="游ゴシック" panose="020B0400000000000000" pitchFamily="50" charset="-128"/>
              <a:cs typeface="+mn-cs"/>
            </a:rPr>
            <a:t>万円</a:t>
          </a:r>
          <a:br>
            <a:rPr kumimoji="1" lang="en-US" altLang="ja-JP" sz="1400" b="1" kern="1200">
              <a:latin typeface="游ゴシック" panose="020B0400000000000000" pitchFamily="50" charset="-128"/>
              <a:ea typeface="游ゴシック" panose="020B0400000000000000" pitchFamily="50" charset="-128"/>
              <a:cs typeface="+mn-cs"/>
            </a:rPr>
          </a:br>
          <a:r>
            <a:rPr kumimoji="1" lang="ja-JP" altLang="en-US" sz="900" b="1" kern="1200">
              <a:latin typeface="游ゴシック" panose="020B0400000000000000" pitchFamily="50" charset="-128"/>
              <a:ea typeface="游ゴシック" panose="020B0400000000000000" pitchFamily="50" charset="-128"/>
              <a:cs typeface="+mn-cs"/>
            </a:rPr>
            <a:t>（所得合計額が</a:t>
          </a:r>
          <a:r>
            <a:rPr kumimoji="1" lang="en-US" altLang="en-US" sz="900" b="1" kern="1200">
              <a:latin typeface="游ゴシック" panose="020B0400000000000000" pitchFamily="50" charset="-128"/>
              <a:ea typeface="游ゴシック" panose="020B0400000000000000" pitchFamily="50" charset="-128"/>
              <a:cs typeface="+mn-cs"/>
            </a:rPr>
            <a:t>200</a:t>
          </a:r>
          <a:r>
            <a:rPr kumimoji="1" lang="ja-JP" altLang="en-US" sz="900" b="1" kern="1200">
              <a:latin typeface="游ゴシック" panose="020B0400000000000000" pitchFamily="50" charset="-128"/>
              <a:ea typeface="游ゴシック" panose="020B0400000000000000" pitchFamily="50" charset="-128"/>
              <a:cs typeface="+mn-cs"/>
            </a:rPr>
            <a:t>万円未満の場合は所得額の</a:t>
          </a:r>
          <a:r>
            <a:rPr kumimoji="1" lang="en-US" altLang="en-US" sz="900" b="1" kern="1200">
              <a:latin typeface="游ゴシック" panose="020B0400000000000000" pitchFamily="50" charset="-128"/>
              <a:ea typeface="游ゴシック" panose="020B0400000000000000" pitchFamily="50" charset="-128"/>
              <a:cs typeface="+mn-cs"/>
            </a:rPr>
            <a:t>5%</a:t>
          </a:r>
          <a:r>
            <a:rPr kumimoji="1" lang="ja-JP" altLang="en-US" sz="900" b="1" kern="1200">
              <a:latin typeface="游ゴシック" panose="020B0400000000000000" pitchFamily="50" charset="-128"/>
              <a:ea typeface="游ゴシック" panose="020B0400000000000000" pitchFamily="50" charset="-128"/>
              <a:cs typeface="+mn-cs"/>
            </a:rPr>
            <a:t>）</a:t>
          </a:r>
          <a:endParaRPr kumimoji="1" lang="en-US" altLang="ja-JP" sz="900" b="1" kern="1200">
            <a:latin typeface="游ゴシック" panose="020B0400000000000000" pitchFamily="50" charset="-128"/>
            <a:ea typeface="游ゴシック" panose="020B0400000000000000" pitchFamily="50" charset="-128"/>
            <a:cs typeface="+mn-cs"/>
          </a:endParaRPr>
        </a:p>
      </dsp:txBody>
      <dsp:txXfrm>
        <a:off x="3323529" y="56508"/>
        <a:ext cx="1038982" cy="1038982"/>
      </dsp:txXfrm>
    </dsp:sp>
    <dsp:sp modelId="{C906AE95-C96A-4494-9601-71A522F158DA}">
      <dsp:nvSpPr>
        <dsp:cNvPr id="0" name=""/>
        <dsp:cNvSpPr/>
      </dsp:nvSpPr>
      <dsp:spPr>
        <a:xfrm>
          <a:off x="4466696" y="404654"/>
          <a:ext cx="342691" cy="342691"/>
        </a:xfrm>
        <a:prstGeom prst="mathEqual">
          <a:avLst/>
        </a:prstGeom>
        <a:solidFill>
          <a:schemeClr val="accent5">
            <a:hueOff val="-6758543"/>
            <a:satOff val="-17419"/>
            <a:lumOff val="-1176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kumimoji="1" lang="ja-JP" altLang="en-US" sz="1400" b="1" kern="1200">
            <a:solidFill>
              <a:sysClr val="window" lastClr="FFFFFF"/>
            </a:solidFill>
            <a:latin typeface="游ゴシック" panose="020B0400000000000000" pitchFamily="50" charset="-128"/>
            <a:ea typeface="游ゴシック" panose="020B0400000000000000" pitchFamily="50" charset="-128"/>
            <a:cs typeface="+mn-cs"/>
          </a:endParaRPr>
        </a:p>
      </dsp:txBody>
      <dsp:txXfrm>
        <a:off x="4512120" y="475248"/>
        <a:ext cx="251843" cy="201503"/>
      </dsp:txXfrm>
    </dsp:sp>
    <dsp:sp modelId="{E12F3224-0D8A-4C9B-AC1C-D741253724FD}">
      <dsp:nvSpPr>
        <dsp:cNvPr id="0" name=""/>
        <dsp:cNvSpPr/>
      </dsp:nvSpPr>
      <dsp:spPr>
        <a:xfrm>
          <a:off x="4857364" y="301"/>
          <a:ext cx="1151396" cy="1151396"/>
        </a:xfrm>
        <a:prstGeom prst="roundRect">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kumimoji="1" lang="ja-JP" altLang="en-US" sz="1400" b="1" kern="1200">
              <a:latin typeface="游ゴシック" panose="020B0400000000000000" pitchFamily="50" charset="-128"/>
              <a:ea typeface="游ゴシック" panose="020B0400000000000000" pitchFamily="50" charset="-128"/>
              <a:cs typeface="+mn-cs"/>
            </a:rPr>
            <a:t>医療費</a:t>
          </a:r>
          <a:br>
            <a:rPr kumimoji="1" lang="en-US" altLang="ja-JP" sz="1400" b="1" kern="1200">
              <a:latin typeface="游ゴシック" panose="020B0400000000000000" pitchFamily="50" charset="-128"/>
              <a:ea typeface="游ゴシック" panose="020B0400000000000000" pitchFamily="50" charset="-128"/>
              <a:cs typeface="+mn-cs"/>
            </a:rPr>
          </a:br>
          <a:r>
            <a:rPr kumimoji="1" lang="ja-JP" altLang="en-US" sz="1400" b="1" kern="1200">
              <a:latin typeface="游ゴシック" panose="020B0400000000000000" pitchFamily="50" charset="-128"/>
              <a:ea typeface="游ゴシック" panose="020B0400000000000000" pitchFamily="50" charset="-128"/>
              <a:cs typeface="+mn-cs"/>
            </a:rPr>
            <a:t>控除額</a:t>
          </a:r>
          <a:br>
            <a:rPr kumimoji="1" lang="en-US" altLang="ja-JP" sz="1400" b="1" kern="1200">
              <a:latin typeface="游ゴシック" panose="020B0400000000000000" pitchFamily="50" charset="-128"/>
              <a:ea typeface="游ゴシック" panose="020B0400000000000000" pitchFamily="50" charset="-128"/>
              <a:cs typeface="+mn-cs"/>
            </a:rPr>
          </a:br>
          <a:r>
            <a:rPr kumimoji="1" lang="ja-JP" altLang="en-US" sz="900" b="1" kern="1200">
              <a:latin typeface="游ゴシック" panose="020B0400000000000000" pitchFamily="50" charset="-128"/>
              <a:ea typeface="游ゴシック" panose="020B0400000000000000" pitchFamily="50" charset="-128"/>
              <a:cs typeface="+mn-cs"/>
            </a:rPr>
            <a:t>（最高</a:t>
          </a:r>
          <a:r>
            <a:rPr kumimoji="1" lang="en-US" altLang="ja-JP" sz="900" b="1" kern="1200">
              <a:latin typeface="游ゴシック" panose="020B0400000000000000" pitchFamily="50" charset="-128"/>
              <a:ea typeface="游ゴシック" panose="020B0400000000000000" pitchFamily="50" charset="-128"/>
              <a:cs typeface="+mn-cs"/>
            </a:rPr>
            <a:t>200</a:t>
          </a:r>
          <a:r>
            <a:rPr kumimoji="1" lang="ja-JP" altLang="en-US" sz="900" b="1" kern="1200">
              <a:latin typeface="游ゴシック" panose="020B0400000000000000" pitchFamily="50" charset="-128"/>
              <a:ea typeface="游ゴシック" panose="020B0400000000000000" pitchFamily="50" charset="-128"/>
              <a:cs typeface="+mn-cs"/>
            </a:rPr>
            <a:t>万円）</a:t>
          </a:r>
        </a:p>
      </dsp:txBody>
      <dsp:txXfrm>
        <a:off x="4913571" y="56508"/>
        <a:ext cx="1038982" cy="1038982"/>
      </dsp:txXfrm>
    </dsp:sp>
  </dsp:spTree>
</dsp:drawing>
</file>

<file path=word/diagrams/layout1.xml><?xml version="1.0" encoding="utf-8"?>
<dgm:layoutDef xmlns:dgm="http://schemas.openxmlformats.org/drawingml/2006/diagram" xmlns:a="http://schemas.openxmlformats.org/drawingml/2006/main" uniqueId="urn:microsoft.com/office/officeart/2005/8/layout/equation1">
  <dgm:title val=""/>
  <dgm:desc val=""/>
  <dgm:catLst>
    <dgm:cat type="relationship" pri="17000"/>
    <dgm:cat type="process"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choose name="Name0">
      <dgm:if name="Name1" func="var" arg="dir" op="equ" val="norm">
        <dgm:alg type="lin">
          <dgm:param type="fallback" val="2D"/>
        </dgm:alg>
      </dgm:if>
      <dgm:else name="Name2">
        <dgm:alg type="lin">
          <dgm:param type="linDir" val="fromR"/>
          <dgm:param type="fallback" val="2D"/>
        </dgm:alg>
      </dgm:else>
    </dgm:choose>
    <dgm:shape xmlns:r="http://schemas.openxmlformats.org/officeDocument/2006/relationships" r:blip="">
      <dgm:adjLst/>
    </dgm:shape>
    <dgm:presOf/>
    <dgm:constrLst>
      <dgm:constr type="w" for="ch" ptType="node" refType="w"/>
      <dgm:constr type="w" for="ch" ptType="sibTrans" refType="w" refFor="ch" refPtType="node" fact="0.58"/>
      <dgm:constr type="primFontSz" for="ch" ptType="node" op="equ" val="65"/>
      <dgm:constr type="primFontSz" for="ch" ptType="sibTrans" op="equ" val="55"/>
      <dgm:constr type="primFontSz" for="ch" ptType="sibTrans" refType="primFontSz" refFor="ch" refPtType="node" op="lte" fact="0.8"/>
      <dgm:constr type="w" for="ch" forName="spacerL" refType="w" refFor="ch" refPtType="sibTrans" fact="0.14"/>
      <dgm:constr type="w" for="ch" forName="spacerR" refType="w" refFor="ch" refPtType="sibTrans" fact="0.14"/>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sibTransForEach" axis="followSib" ptType="sibTrans" cnt="1">
        <dgm:layoutNode name="spacerL">
          <dgm:alg type="sp"/>
          <dgm:shape xmlns:r="http://schemas.openxmlformats.org/officeDocument/2006/relationships" r:blip="">
            <dgm:adjLst/>
          </dgm:shape>
          <dgm:presOf/>
          <dgm:constrLst/>
          <dgm:ruleLst/>
        </dgm:layoutNode>
        <dgm:layoutNode name="sibTrans">
          <dgm:alg type="tx"/>
          <dgm:choose name="Name3">
            <dgm:if name="Name4" axis="followSib" ptType="sibTrans" func="cnt" op="equ" val="0">
              <dgm:shape xmlns:r="http://schemas.openxmlformats.org/officeDocument/2006/relationships" type="mathEqual" r:blip="">
                <dgm:adjLst/>
              </dgm:shape>
            </dgm:if>
            <dgm:else name="Name5">
              <dgm:shape xmlns:r="http://schemas.openxmlformats.org/officeDocument/2006/relationships" type="mathPlus" r:blip="">
                <dgm:adjLst/>
              </dgm:shape>
            </dgm:else>
          </dgm:choose>
          <dgm:presOf axis="self"/>
          <dgm:constrLst>
            <dgm:constr type="h" refType="w"/>
            <dgm:constr type="lMarg"/>
            <dgm:constr type="rMarg"/>
            <dgm:constr type="tMarg"/>
            <dgm:constr type="bMarg"/>
          </dgm:constrLst>
          <dgm:ruleLst>
            <dgm:rule type="primFontSz" val="5" fact="NaN" max="NaN"/>
          </dgm:ruleLst>
        </dgm:layoutNode>
        <dgm:layoutNode name="spacerR">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450</Words>
  <Characters>2567</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2020-05-25T03:04:00Z</dcterms:created>
  <dcterms:modified xsi:type="dcterms:W3CDTF">2020-05-29T08:48:00Z</dcterms:modified>
  <cp:category/>
</cp:coreProperties>
</file>