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B711" w14:textId="77777777" w:rsidR="008A23D1" w:rsidRPr="00150CCA" w:rsidRDefault="008A23D1" w:rsidP="00150CCA">
      <w:pPr>
        <w:pStyle w:val="1"/>
      </w:pPr>
      <w:r w:rsidRPr="00150CCA">
        <w:t>1.　企業活動</w:t>
      </w:r>
    </w:p>
    <w:p w14:paraId="463AC07F" w14:textId="13E2E86E" w:rsidR="008A23D1" w:rsidRPr="00DB5ED5" w:rsidRDefault="008A23D1" w:rsidP="008A23D1">
      <w:r>
        <w:rPr>
          <w:rFonts w:hint="eastAsia"/>
        </w:rPr>
        <w:t>企業活動を行うにあたって、企業の存在意義や価値観を明確にすることが重要です。これらが明確になっていないと、どの方向に向かって企業活動をすればよいのか曖昧になってしまいます。全社員がそれぞれの担当業務で一生懸命に努力しても、その方向が間違っていたのでは、効率的な業務を行うことはできません。企業が定めるべき目標や責任について理解することが、円滑な企業活動につながっていきます。</w:t>
      </w:r>
    </w:p>
    <w:p w14:paraId="730B3CA4" w14:textId="77777777" w:rsidR="008A23D1" w:rsidRPr="00C71D0B" w:rsidRDefault="008A23D1" w:rsidP="008A23D1">
      <w:pPr>
        <w:pStyle w:val="2"/>
      </w:pPr>
      <w:r w:rsidRPr="00C71D0B">
        <w:t>1.1.　企業理念と企業目標</w:t>
      </w:r>
    </w:p>
    <w:p w14:paraId="112241BD" w14:textId="77777777" w:rsidR="008A23D1" w:rsidRDefault="008A23D1" w:rsidP="008A23D1">
      <w:r>
        <w:rPr>
          <w:rFonts w:hint="eastAsia"/>
        </w:rPr>
        <w:t>企業活動の目的は利益を上げること、社会に貢献することです。そのため、多くの企業が「企業理念」や「企業目標」を掲げて活動をしています。この企業理念と企業目標は、基本的に変化することのない普遍的な理想といえます。</w:t>
      </w:r>
    </w:p>
    <w:p w14:paraId="6A40A156" w14:textId="77777777" w:rsidR="008A23D1" w:rsidRDefault="008A23D1" w:rsidP="008A23D1">
      <w:r>
        <w:rPr>
          <w:rFonts w:hint="eastAsia"/>
        </w:rPr>
        <w:t>ところが、社会環境や技術など、企業を取り巻く環境は大きく変化しています。企業理念や企業目標を達成するには、長期的な視点で変化に適応するための能力を作り出していくことが重要です。</w:t>
      </w:r>
    </w:p>
    <w:p w14:paraId="0A888CFB" w14:textId="77777777" w:rsidR="008A23D1" w:rsidRDefault="008A23D1" w:rsidP="008A23D1">
      <w:pPr>
        <w:pStyle w:val="2"/>
      </w:pPr>
      <w:r>
        <w:t>1.2.　CSR</w:t>
      </w:r>
    </w:p>
    <w:p w14:paraId="2E346AA7" w14:textId="05F66048" w:rsidR="008A23D1" w:rsidRDefault="008A23D1" w:rsidP="008A23D1">
      <w:r>
        <w:rPr>
          <w:rFonts w:hint="eastAsia"/>
        </w:rPr>
        <w:t>「</w:t>
      </w:r>
      <w:r>
        <w:t>CSR」とは、企業が社会に対して果たすべき責任を意味します。多くの企業がWebページを通じてCSRに対する考え方やCSR報告書を開示し、社会の関心や利害関係者の信頼を得ようとしています。</w:t>
      </w:r>
      <w:r>
        <w:rPr>
          <w:rFonts w:hint="eastAsia"/>
        </w:rPr>
        <w:t>企業は、利益を追求するだけでなく、すべての利害関係者の視点でビジネスを創造していく必要があります。企業市民という言葉があるように、社会の一員としての行動が求められています。それが、社会の信頼を獲得し、新たな企業価値を生むことにつながるのです。不正のない企業活動の遂行、法制度の遵守、製品やサービスの提供による利便性や安全性の実現などは、最も基本的な責任です。さらに社会に対してどのように貢献していくべきかを追求し、環境への配慮、社会福祉活動の推進、地域社会との連携などを含めて</w:t>
      </w:r>
      <w:r>
        <w:t>CSRととらえるべき時代になりつつあります。</w:t>
      </w:r>
    </w:p>
    <w:p w14:paraId="26A2E5DE" w14:textId="77777777" w:rsidR="008A23D1" w:rsidRDefault="008A23D1" w:rsidP="008A23D1">
      <w:pPr>
        <w:pStyle w:val="2"/>
      </w:pPr>
      <w:r>
        <w:t>1.3.　所有と経営の分離</w:t>
      </w:r>
    </w:p>
    <w:p w14:paraId="0E39C3C9" w14:textId="7F8DAA66" w:rsidR="008A23D1" w:rsidRDefault="008A23D1" w:rsidP="008A23D1">
      <w:r>
        <w:rPr>
          <w:rFonts w:hint="eastAsia"/>
        </w:rPr>
        <w:t>「所有と経営の分離」とは、企業を所有する株主と、経営を執行する経営者で、役割を分離する原則のことです。日本の株式会社において、経営の意思を決定する場が「株主総会」です。業務執行の意思決定をするのは「取締役会」で、その中から代表取締役が選任されます。代表取締役は、経営執行担当者となり、会社を対外的に代表しているとともに経営の最高責任者でもあります。このように、所有と経営の分離とは、取締役が分離される原則のことをいいます。企業活動を行うにあたって、経営と、株主や投資家などの利害関係者との信頼関係の構築や、経営の透明性を高めることが求められています。</w:t>
      </w:r>
    </w:p>
    <w:p w14:paraId="2422482E" w14:textId="77777777" w:rsidR="008A23D1" w:rsidRDefault="008A23D1" w:rsidP="008A23D1">
      <w:pPr>
        <w:pStyle w:val="2"/>
      </w:pPr>
      <w:r>
        <w:t>1.4.　ゴーイングコンサーン</w:t>
      </w:r>
    </w:p>
    <w:p w14:paraId="40EB9691" w14:textId="13D5A216" w:rsidR="008A23D1" w:rsidRDefault="008A23D1" w:rsidP="008A23D1">
      <w:r>
        <w:rPr>
          <w:rFonts w:hint="eastAsia"/>
        </w:rPr>
        <w:t>「ゴーイングコンサーン」とは、“企業が永遠に継続する”という前提のことです。ゴーイングコンサーンでは、企業が継続する責任を負い、継続していくための経営戦略を立てることが重要だと考えられています。例えば、今までの技術を活かしながら新しい分野に参入する</w:t>
      </w:r>
      <w:r>
        <w:rPr>
          <w:rFonts w:hint="eastAsia"/>
        </w:rPr>
        <w:lastRenderedPageBreak/>
        <w:t>など、企業目的を多様化・多角化させることで、ゴーイングコンサーンを目指す場合もあります。また、ゴーイングコンサーンを目指す上で、「</w:t>
      </w:r>
      <w:r>
        <w:t>BCP」や「コーポレートガバナンス」への積極的な取り組みが求められています。</w:t>
      </w:r>
    </w:p>
    <w:p w14:paraId="28FC01F5" w14:textId="77777777" w:rsidR="008A23D1" w:rsidRDefault="008A23D1" w:rsidP="008A23D1">
      <w:r>
        <w:rPr>
          <w:rFonts w:hint="eastAsia"/>
        </w:rPr>
        <w:t>●</w:t>
      </w:r>
      <w:r>
        <w:t>BCP</w:t>
      </w:r>
    </w:p>
    <w:p w14:paraId="4F1D20AD" w14:textId="57D86FFE" w:rsidR="008A23D1" w:rsidRDefault="008A23D1" w:rsidP="008A23D1">
      <w:r>
        <w:rPr>
          <w:rFonts w:hint="eastAsia"/>
        </w:rPr>
        <w:t>「</w:t>
      </w:r>
      <w:r>
        <w:t>BCP」とは、何らかのリスクが発生した場合でも、企業が安定して事業を継続するための、リスク管理手法または方針のことです。「事業継続計画」とも呼ばれます。</w:t>
      </w:r>
      <w:r>
        <w:rPr>
          <w:rFonts w:hint="eastAsia"/>
        </w:rPr>
        <w:t>自然災害や事故に遭遇すると、情報システムが壊滅的なダメージを受け、事業を継続できなくなる恐れがあります。そこで、地震や洪水、火災やテロなどのリスクを想定し、各リスクの影響を分析します。その上で、重要な事業を選定し、事業を継続させるための計画と体制を整備します。また、計画や体制を見直し、改善し続けることも必要とされています。</w:t>
      </w:r>
    </w:p>
    <w:p w14:paraId="2B7B7B5E" w14:textId="77777777" w:rsidR="008A23D1" w:rsidRDefault="008A23D1" w:rsidP="008A23D1">
      <w:r>
        <w:rPr>
          <w:rFonts w:hint="eastAsia"/>
        </w:rPr>
        <w:t>●コーポレートガバナンス</w:t>
      </w:r>
    </w:p>
    <w:p w14:paraId="05C246E3" w14:textId="254D38D6" w:rsidR="008A23D1" w:rsidRDefault="008A23D1" w:rsidP="008A23D1">
      <w:r>
        <w:rPr>
          <w:rFonts w:hint="eastAsia"/>
        </w:rPr>
        <w:t>「コーポレートガバナンス」とは、企業活動を監視し、経営の透明性や健全性をチェックしたり、経営者や組織による不祥事を防止したりする</w:t>
      </w:r>
      <w:r w:rsidR="00602AA3">
        <w:rPr>
          <w:rFonts w:hint="eastAsia"/>
        </w:rPr>
        <w:t>仕組</w:t>
      </w:r>
      <w:r>
        <w:rPr>
          <w:rFonts w:hint="eastAsia"/>
        </w:rPr>
        <w:t>みのことです。近年、企業や官公庁による不祥事が相次いで発生していることから、適切な社外取締役の選任や、情報開示体制の強化、監査部門の増強などを行って、企業を統治する必要があります。</w:t>
      </w:r>
    </w:p>
    <w:p w14:paraId="09263501" w14:textId="77777777" w:rsidR="008A23D1" w:rsidRDefault="008A23D1" w:rsidP="008A23D1">
      <w:r>
        <w:rPr>
          <w:rFonts w:hint="eastAsia"/>
        </w:rPr>
        <w:t>コーポレートガバナンスの主な目的は、次のとおりです。</w:t>
      </w:r>
    </w:p>
    <w:p w14:paraId="19CC263B" w14:textId="77777777" w:rsidR="008A23D1" w:rsidRDefault="008A23D1" w:rsidP="008A23D1">
      <w:r>
        <w:rPr>
          <w:rFonts w:hint="eastAsia"/>
        </w:rPr>
        <w:t>・経営者の私利私欲による暴走をチェックし、阻止する。</w:t>
      </w:r>
    </w:p>
    <w:p w14:paraId="47E3681F" w14:textId="77777777" w:rsidR="008A23D1" w:rsidRDefault="008A23D1" w:rsidP="008A23D1">
      <w:r>
        <w:rPr>
          <w:rFonts w:hint="eastAsia"/>
        </w:rPr>
        <w:t>・組織ぐるみの違法行為をチェックし、阻止する。</w:t>
      </w:r>
    </w:p>
    <w:p w14:paraId="7A1E3A0F" w14:textId="77777777" w:rsidR="008A23D1" w:rsidRDefault="008A23D1" w:rsidP="008A23D1">
      <w:r>
        <w:rPr>
          <w:rFonts w:hint="eastAsia"/>
        </w:rPr>
        <w:t>・経営の透明性、健全性、遵法性を確保する。</w:t>
      </w:r>
    </w:p>
    <w:p w14:paraId="74A6589E" w14:textId="77777777" w:rsidR="008A23D1" w:rsidRDefault="008A23D1" w:rsidP="008A23D1">
      <w:r>
        <w:rPr>
          <w:rFonts w:hint="eastAsia"/>
        </w:rPr>
        <w:t>・利害関係者への説明責任を徹底する。</w:t>
      </w:r>
    </w:p>
    <w:p w14:paraId="2CA29950" w14:textId="77777777" w:rsidR="008A23D1" w:rsidRDefault="008A23D1" w:rsidP="008A23D1">
      <w:r>
        <w:rPr>
          <w:rFonts w:hint="eastAsia"/>
        </w:rPr>
        <w:t>・迅速かつ適切に情報開示する。</w:t>
      </w:r>
    </w:p>
    <w:p w14:paraId="74E06BE6" w14:textId="77777777" w:rsidR="008A23D1" w:rsidRDefault="008A23D1" w:rsidP="008A23D1">
      <w:r>
        <w:rPr>
          <w:rFonts w:hint="eastAsia"/>
        </w:rPr>
        <w:t>・経営者ならびに各層の経営管理者の責任を明確にする。</w:t>
      </w:r>
    </w:p>
    <w:p w14:paraId="60984E97" w14:textId="77777777" w:rsidR="008A23D1" w:rsidRDefault="008A23D1" w:rsidP="008A23D1"/>
    <w:p w14:paraId="4E0BD065" w14:textId="77777777" w:rsidR="008A23D1" w:rsidRDefault="008A23D1" w:rsidP="00150CCA">
      <w:pPr>
        <w:pStyle w:val="1"/>
      </w:pPr>
      <w:r>
        <w:t>2.</w:t>
      </w:r>
      <w:r>
        <w:rPr>
          <w:rFonts w:hint="eastAsia"/>
        </w:rPr>
        <w:t xml:space="preserve">　経営資源</w:t>
      </w:r>
    </w:p>
    <w:p w14:paraId="36468EDB" w14:textId="77777777" w:rsidR="008A23D1" w:rsidRDefault="008A23D1" w:rsidP="008A23D1">
      <w:r>
        <w:rPr>
          <w:rFonts w:hint="eastAsia"/>
        </w:rPr>
        <w:t>「経営資源」とは、企業経営に欠かせない要素のことで、「ヒト・モノ・カネ・情報」があります。</w:t>
      </w:r>
    </w:p>
    <w:tbl>
      <w:tblPr>
        <w:tblStyle w:val="a5"/>
        <w:tblW w:w="5000" w:type="pct"/>
        <w:tblLook w:val="04A0" w:firstRow="1" w:lastRow="0" w:firstColumn="1" w:lastColumn="0" w:noHBand="0" w:noVBand="1"/>
      </w:tblPr>
      <w:tblGrid>
        <w:gridCol w:w="846"/>
        <w:gridCol w:w="7648"/>
      </w:tblGrid>
      <w:tr w:rsidR="005A51A6" w:rsidRPr="005A51A6" w14:paraId="782CEF69" w14:textId="77777777" w:rsidTr="0047032D">
        <w:tc>
          <w:tcPr>
            <w:tcW w:w="498" w:type="pct"/>
            <w:vAlign w:val="center"/>
          </w:tcPr>
          <w:p w14:paraId="104CB134" w14:textId="77777777" w:rsidR="005A51A6" w:rsidRPr="005A51A6" w:rsidRDefault="005A51A6" w:rsidP="0047032D">
            <w:r w:rsidRPr="005A51A6">
              <w:rPr>
                <w:rFonts w:hint="eastAsia"/>
              </w:rPr>
              <w:t>ヒト</w:t>
            </w:r>
          </w:p>
        </w:tc>
        <w:tc>
          <w:tcPr>
            <w:tcW w:w="4502" w:type="pct"/>
            <w:vAlign w:val="center"/>
          </w:tcPr>
          <w:p w14:paraId="6936D8ED" w14:textId="77777777" w:rsidR="005A51A6" w:rsidRPr="005A51A6" w:rsidRDefault="005A51A6" w:rsidP="0047032D">
            <w:r w:rsidRPr="005A51A6">
              <w:rPr>
                <w:rFonts w:hint="eastAsia"/>
              </w:rPr>
              <w:t>社員（人材）のことで、すべての企業活動において最も重要な資源といえます。</w:t>
            </w:r>
          </w:p>
        </w:tc>
      </w:tr>
      <w:tr w:rsidR="005A51A6" w:rsidRPr="005A51A6" w14:paraId="2C612E0C" w14:textId="77777777" w:rsidTr="0047032D">
        <w:tc>
          <w:tcPr>
            <w:tcW w:w="498" w:type="pct"/>
            <w:vAlign w:val="center"/>
          </w:tcPr>
          <w:p w14:paraId="6EE97DE3" w14:textId="77777777" w:rsidR="005A51A6" w:rsidRPr="005A51A6" w:rsidRDefault="005A51A6" w:rsidP="0047032D">
            <w:r w:rsidRPr="005A51A6">
              <w:rPr>
                <w:rFonts w:hint="eastAsia"/>
              </w:rPr>
              <w:t>モノ</w:t>
            </w:r>
          </w:p>
        </w:tc>
        <w:tc>
          <w:tcPr>
            <w:tcW w:w="4502" w:type="pct"/>
            <w:vAlign w:val="center"/>
          </w:tcPr>
          <w:p w14:paraId="0E8F594A" w14:textId="77777777" w:rsidR="005A51A6" w:rsidRPr="005A51A6" w:rsidRDefault="005A51A6" w:rsidP="0047032D">
            <w:r w:rsidRPr="005A51A6">
              <w:rPr>
                <w:rFonts w:hint="eastAsia"/>
              </w:rPr>
              <w:t>製品や商品のことで、企業活動に不可欠な生産設備、コンピュータ、プリンタ、コピー機なども含みます。</w:t>
            </w:r>
          </w:p>
        </w:tc>
      </w:tr>
      <w:tr w:rsidR="005A51A6" w:rsidRPr="005A51A6" w14:paraId="43D42024" w14:textId="77777777" w:rsidTr="0047032D">
        <w:tc>
          <w:tcPr>
            <w:tcW w:w="498" w:type="pct"/>
            <w:vAlign w:val="center"/>
          </w:tcPr>
          <w:p w14:paraId="273044BF" w14:textId="77777777" w:rsidR="005A51A6" w:rsidRPr="005A51A6" w:rsidRDefault="005A51A6" w:rsidP="0047032D">
            <w:r w:rsidRPr="005A51A6">
              <w:rPr>
                <w:rFonts w:hint="eastAsia"/>
              </w:rPr>
              <w:t>カネ</w:t>
            </w:r>
          </w:p>
        </w:tc>
        <w:tc>
          <w:tcPr>
            <w:tcW w:w="4502" w:type="pct"/>
            <w:vAlign w:val="center"/>
          </w:tcPr>
          <w:p w14:paraId="01CA2AAF" w14:textId="77777777" w:rsidR="005A51A6" w:rsidRPr="005A51A6" w:rsidRDefault="005A51A6" w:rsidP="0047032D">
            <w:r w:rsidRPr="005A51A6">
              <w:rPr>
                <w:rFonts w:hint="eastAsia"/>
              </w:rPr>
              <w:t>資金のことで、ヒトやモノを確保するために必要です。</w:t>
            </w:r>
          </w:p>
        </w:tc>
      </w:tr>
      <w:tr w:rsidR="005A51A6" w:rsidRPr="005A51A6" w14:paraId="44EB6ECD" w14:textId="77777777" w:rsidTr="0047032D">
        <w:tc>
          <w:tcPr>
            <w:tcW w:w="498" w:type="pct"/>
            <w:vAlign w:val="center"/>
          </w:tcPr>
          <w:p w14:paraId="3BE1D122" w14:textId="77777777" w:rsidR="005A51A6" w:rsidRPr="005A51A6" w:rsidRDefault="005A51A6" w:rsidP="0047032D">
            <w:r w:rsidRPr="005A51A6">
              <w:rPr>
                <w:rFonts w:hint="eastAsia"/>
              </w:rPr>
              <w:t>情報</w:t>
            </w:r>
          </w:p>
        </w:tc>
        <w:tc>
          <w:tcPr>
            <w:tcW w:w="4502" w:type="pct"/>
            <w:vAlign w:val="center"/>
          </w:tcPr>
          <w:p w14:paraId="6120DDD7" w14:textId="77777777" w:rsidR="005A51A6" w:rsidRPr="005A51A6" w:rsidRDefault="005A51A6" w:rsidP="0047032D">
            <w:r w:rsidRPr="005A51A6">
              <w:rPr>
                <w:rFonts w:hint="eastAsia"/>
              </w:rPr>
              <w:t>正確な判断を下し、競争力を持つための資料やデータのことです。</w:t>
            </w:r>
          </w:p>
        </w:tc>
      </w:tr>
    </w:tbl>
    <w:p w14:paraId="217775D2" w14:textId="77777777" w:rsidR="008A23D1" w:rsidRPr="00380B1E" w:rsidRDefault="008A23D1" w:rsidP="008A23D1"/>
    <w:p w14:paraId="7EEFCDCE" w14:textId="77777777" w:rsidR="008A23D1" w:rsidRPr="00292640" w:rsidRDefault="008A23D1" w:rsidP="00150CCA">
      <w:pPr>
        <w:pStyle w:val="1"/>
      </w:pPr>
      <w:r>
        <w:rPr>
          <w:rFonts w:hint="eastAsia"/>
        </w:rPr>
        <w:t>3</w:t>
      </w:r>
      <w:r w:rsidRPr="00292640">
        <w:t>.　経営管理</w:t>
      </w:r>
    </w:p>
    <w:p w14:paraId="241850A0" w14:textId="1E8A1E92" w:rsidR="008A23D1" w:rsidRDefault="008A23D1" w:rsidP="008A23D1">
      <w:r w:rsidRPr="00292640">
        <w:rPr>
          <w:rFonts w:hint="eastAsia"/>
        </w:rPr>
        <w:t>「経営管理」とは、企業の目標達成に向けて、経営資源（ヒト・モノ・カネ・情報）を調整・</w:t>
      </w:r>
      <w:r w:rsidRPr="00292640">
        <w:rPr>
          <w:rFonts w:hint="eastAsia"/>
        </w:rPr>
        <w:lastRenderedPageBreak/>
        <w:t>統合し、経営資源の最適配分や有効活用をするための活動のことです。企業の資源を最大限に活用し、効果を導き出すことが重要です。そのために経営目標を定め、「</w:t>
      </w:r>
      <w:r w:rsidRPr="00292640">
        <w:t>TQM」や「PDCAマネジメントサイクル」によって管理します。TQMとは、製品やサービスの品質向上と、経営目標の達成を両立させるための経営管理手法のことです。従来の日本においては、QC活動によって製品やサービスの品質を向上させましたが、顧客満足が得られなかったり、目標となる利益</w:t>
      </w:r>
      <w:r w:rsidRPr="00292640">
        <w:rPr>
          <w:rFonts w:hint="eastAsia"/>
        </w:rPr>
        <w:t>に達成しなかったりなどの問題も発生しました。</w:t>
      </w:r>
      <w:r w:rsidRPr="00292640">
        <w:t>TQMでは、経営目標に</w:t>
      </w:r>
      <w:r w:rsidR="00602AA3">
        <w:rPr>
          <w:rFonts w:hint="eastAsia"/>
        </w:rPr>
        <w:t>基づいて</w:t>
      </w:r>
      <w:r w:rsidRPr="00292640">
        <w:t>品質水準や顧客満足の目標を作り出し、組織的に取り組むことで、製品の品質や顧客満足度の向上、経費削減などを目指します。「総合的品質管理活動」とも呼ばれます。プロジェクトマネジメントで利用されるPDCAマネジメントサイクルは、経営管理を行うための基本的な考え方でもあります。PDCAマネジメントサイクルを</w:t>
      </w:r>
      <w:r>
        <w:rPr>
          <w:rFonts w:hint="eastAsia"/>
        </w:rPr>
        <w:t>通して</w:t>
      </w:r>
      <w:r w:rsidRPr="00292640">
        <w:t>、経営管理としてよりよいものを作り上げていきます。</w:t>
      </w:r>
    </w:p>
    <w:p w14:paraId="53D9C4B8" w14:textId="063930C7" w:rsidR="008A23D1" w:rsidRDefault="0047032D" w:rsidP="0047032D">
      <w:pPr>
        <w:spacing w:before="240"/>
        <w:jc w:val="center"/>
      </w:pPr>
      <w:r>
        <w:rPr>
          <w:rFonts w:hint="eastAsia"/>
          <w:noProof/>
        </w:rPr>
        <w:drawing>
          <wp:inline distT="0" distB="0" distL="0" distR="0" wp14:anchorId="5B10EF66" wp14:editId="33BD033B">
            <wp:extent cx="3905250" cy="1800225"/>
            <wp:effectExtent l="0" t="0" r="0" b="952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CCE02DF" w14:textId="0BE6ACBA" w:rsidR="00B73CEF" w:rsidRDefault="0005637B" w:rsidP="0047032D">
      <w:pPr>
        <w:rPr>
          <w:rFonts w:hint="eastAsia"/>
        </w:rPr>
      </w:pPr>
      <w:bookmarkStart w:id="0" w:name="_GoBack"/>
      <w:bookmarkEnd w:id="0"/>
    </w:p>
    <w:sectPr w:rsidR="00B73CE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E8ABF" w14:textId="77777777" w:rsidR="0005637B" w:rsidRDefault="0005637B" w:rsidP="009040A5">
      <w:r>
        <w:separator/>
      </w:r>
    </w:p>
  </w:endnote>
  <w:endnote w:type="continuationSeparator" w:id="0">
    <w:p w14:paraId="0E2124D1" w14:textId="77777777" w:rsidR="0005637B" w:rsidRDefault="0005637B" w:rsidP="0090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73E52" w14:textId="77777777" w:rsidR="0005637B" w:rsidRDefault="0005637B" w:rsidP="009040A5">
      <w:r>
        <w:separator/>
      </w:r>
    </w:p>
  </w:footnote>
  <w:footnote w:type="continuationSeparator" w:id="0">
    <w:p w14:paraId="2B8385B8" w14:textId="77777777" w:rsidR="0005637B" w:rsidRDefault="0005637B" w:rsidP="009040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D1"/>
    <w:rsid w:val="0003609E"/>
    <w:rsid w:val="0005637B"/>
    <w:rsid w:val="00082D31"/>
    <w:rsid w:val="00150CCA"/>
    <w:rsid w:val="00154113"/>
    <w:rsid w:val="002755CD"/>
    <w:rsid w:val="0047032D"/>
    <w:rsid w:val="004D5AAB"/>
    <w:rsid w:val="005A51A6"/>
    <w:rsid w:val="00602AA3"/>
    <w:rsid w:val="008A23D1"/>
    <w:rsid w:val="009040A5"/>
    <w:rsid w:val="00970B7B"/>
    <w:rsid w:val="00982898"/>
    <w:rsid w:val="00DF2988"/>
    <w:rsid w:val="00E6779A"/>
    <w:rsid w:val="00F43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39AE3B"/>
  <w15:chartTrackingRefBased/>
  <w15:docId w15:val="{AC29E43D-C9B5-43CF-86D2-D1944753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3D1"/>
    <w:pPr>
      <w:widowControl w:val="0"/>
      <w:jc w:val="both"/>
    </w:pPr>
  </w:style>
  <w:style w:type="paragraph" w:styleId="1">
    <w:name w:val="heading 1"/>
    <w:basedOn w:val="a"/>
    <w:next w:val="a"/>
    <w:link w:val="10"/>
    <w:uiPriority w:val="9"/>
    <w:qFormat/>
    <w:rsid w:val="00150CCA"/>
    <w:pPr>
      <w:keepNext/>
      <w:outlineLvl w:val="0"/>
    </w:pPr>
    <w:rPr>
      <w:rFonts w:asciiTheme="majorHAnsi" w:eastAsiaTheme="majorEastAsia" w:hAnsiTheme="majorHAnsi" w:cstheme="majorBidi"/>
      <w:b/>
      <w:color w:val="4472C4" w:themeColor="accent1"/>
      <w:sz w:val="28"/>
      <w:szCs w:val="24"/>
      <w:u w:val="single"/>
    </w:rPr>
  </w:style>
  <w:style w:type="paragraph" w:styleId="2">
    <w:name w:val="heading 2"/>
    <w:basedOn w:val="a"/>
    <w:next w:val="a"/>
    <w:link w:val="20"/>
    <w:uiPriority w:val="9"/>
    <w:unhideWhenUsed/>
    <w:qFormat/>
    <w:rsid w:val="008A23D1"/>
    <w:pPr>
      <w:keepNext/>
      <w:outlineLvl w:val="1"/>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0CCA"/>
    <w:rPr>
      <w:rFonts w:asciiTheme="majorHAnsi" w:eastAsiaTheme="majorEastAsia" w:hAnsiTheme="majorHAnsi" w:cstheme="majorBidi"/>
      <w:b/>
      <w:color w:val="4472C4" w:themeColor="accent1"/>
      <w:sz w:val="28"/>
      <w:szCs w:val="24"/>
      <w:u w:val="single"/>
    </w:rPr>
  </w:style>
  <w:style w:type="character" w:customStyle="1" w:styleId="20">
    <w:name w:val="見出し 2 (文字)"/>
    <w:basedOn w:val="a0"/>
    <w:link w:val="2"/>
    <w:uiPriority w:val="9"/>
    <w:rsid w:val="008A23D1"/>
    <w:rPr>
      <w:rFonts w:asciiTheme="majorHAnsi" w:eastAsiaTheme="majorEastAsia" w:hAnsiTheme="majorHAnsi" w:cstheme="majorBidi"/>
      <w:b/>
    </w:rPr>
  </w:style>
  <w:style w:type="paragraph" w:styleId="a3">
    <w:name w:val="Balloon Text"/>
    <w:basedOn w:val="a"/>
    <w:link w:val="a4"/>
    <w:uiPriority w:val="99"/>
    <w:semiHidden/>
    <w:unhideWhenUsed/>
    <w:rsid w:val="008A23D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A23D1"/>
    <w:rPr>
      <w:rFonts w:asciiTheme="majorHAnsi" w:eastAsiaTheme="majorEastAsia" w:hAnsiTheme="majorHAnsi" w:cstheme="majorBidi"/>
      <w:sz w:val="18"/>
      <w:szCs w:val="18"/>
    </w:rPr>
  </w:style>
  <w:style w:type="table" w:styleId="a5">
    <w:name w:val="Table Grid"/>
    <w:basedOn w:val="a1"/>
    <w:uiPriority w:val="39"/>
    <w:rsid w:val="005A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040A5"/>
    <w:pPr>
      <w:tabs>
        <w:tab w:val="center" w:pos="4252"/>
        <w:tab w:val="right" w:pos="8504"/>
      </w:tabs>
      <w:snapToGrid w:val="0"/>
    </w:pPr>
  </w:style>
  <w:style w:type="character" w:customStyle="1" w:styleId="a7">
    <w:name w:val="ヘッダー (文字)"/>
    <w:basedOn w:val="a0"/>
    <w:link w:val="a6"/>
    <w:uiPriority w:val="99"/>
    <w:rsid w:val="009040A5"/>
  </w:style>
  <w:style w:type="paragraph" w:styleId="a8">
    <w:name w:val="footer"/>
    <w:basedOn w:val="a"/>
    <w:link w:val="a9"/>
    <w:uiPriority w:val="99"/>
    <w:unhideWhenUsed/>
    <w:rsid w:val="009040A5"/>
    <w:pPr>
      <w:tabs>
        <w:tab w:val="center" w:pos="4252"/>
        <w:tab w:val="right" w:pos="8504"/>
      </w:tabs>
      <w:snapToGrid w:val="0"/>
    </w:pPr>
  </w:style>
  <w:style w:type="character" w:customStyle="1" w:styleId="a9">
    <w:name w:val="フッター (文字)"/>
    <w:basedOn w:val="a0"/>
    <w:link w:val="a8"/>
    <w:uiPriority w:val="99"/>
    <w:rsid w:val="0090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59A114-BD8B-4101-A9A7-9A17AB470A32}" type="doc">
      <dgm:prSet loTypeId="urn:microsoft.com/office/officeart/2005/8/layout/cycle5" loCatId="cycle" qsTypeId="urn:microsoft.com/office/officeart/2005/8/quickstyle/simple4" qsCatId="simple" csTypeId="urn:microsoft.com/office/officeart/2005/8/colors/colorful1" csCatId="colorful" phldr="1"/>
      <dgm:spPr/>
      <dgm:t>
        <a:bodyPr/>
        <a:lstStyle/>
        <a:p>
          <a:endParaRPr kumimoji="1" lang="ja-JP" altLang="en-US"/>
        </a:p>
      </dgm:t>
    </dgm:pt>
    <dgm:pt modelId="{8E1D5AB3-B228-4765-9A7F-320D0028C15B}">
      <dgm:prSet phldrT="[テキスト]"/>
      <dgm:spPr/>
      <dgm:t>
        <a:bodyPr/>
        <a:lstStyle/>
        <a:p>
          <a:pPr algn="ctr"/>
          <a:r>
            <a:rPr kumimoji="1" lang="ja-JP" altLang="en-US" b="1"/>
            <a:t>計画（</a:t>
          </a:r>
          <a:r>
            <a:rPr kumimoji="1" lang="en-US" altLang="ja-JP" b="1"/>
            <a:t>Plan</a:t>
          </a:r>
          <a:r>
            <a:rPr kumimoji="1" lang="ja-JP" altLang="en-US" b="1"/>
            <a:t>）</a:t>
          </a:r>
        </a:p>
      </dgm:t>
    </dgm:pt>
    <dgm:pt modelId="{462856A4-791F-41D2-A0C5-9DD424302A17}" type="parTrans" cxnId="{DD5E7A7D-0343-43C1-9F1C-3B390CC3B6AE}">
      <dgm:prSet/>
      <dgm:spPr/>
      <dgm:t>
        <a:bodyPr/>
        <a:lstStyle/>
        <a:p>
          <a:pPr algn="ctr"/>
          <a:endParaRPr kumimoji="1" lang="ja-JP" altLang="en-US" b="1"/>
        </a:p>
      </dgm:t>
    </dgm:pt>
    <dgm:pt modelId="{ED813E9D-BD89-43C2-956B-FBDA300CD7E6}" type="sibTrans" cxnId="{DD5E7A7D-0343-43C1-9F1C-3B390CC3B6AE}">
      <dgm:prSet/>
      <dgm:spPr>
        <a:ln w="28575">
          <a:solidFill>
            <a:schemeClr val="accent2"/>
          </a:solidFill>
        </a:ln>
      </dgm:spPr>
      <dgm:t>
        <a:bodyPr/>
        <a:lstStyle/>
        <a:p>
          <a:pPr algn="ctr"/>
          <a:endParaRPr kumimoji="1" lang="ja-JP" altLang="en-US" b="1"/>
        </a:p>
      </dgm:t>
    </dgm:pt>
    <dgm:pt modelId="{9ED0462C-D658-4C6A-B7F5-DAD93FF154B2}">
      <dgm:prSet phldrT="[テキスト]"/>
      <dgm:spPr/>
      <dgm:t>
        <a:bodyPr/>
        <a:lstStyle/>
        <a:p>
          <a:pPr algn="ctr"/>
          <a:r>
            <a:rPr kumimoji="1" lang="ja-JP" altLang="en-US" b="1"/>
            <a:t>運用（</a:t>
          </a:r>
          <a:r>
            <a:rPr kumimoji="1" lang="en-US" altLang="ja-JP" b="1"/>
            <a:t>Do</a:t>
          </a:r>
          <a:r>
            <a:rPr kumimoji="1" lang="ja-JP" altLang="en-US" b="1"/>
            <a:t>）</a:t>
          </a:r>
        </a:p>
      </dgm:t>
    </dgm:pt>
    <dgm:pt modelId="{D3E93335-EA59-4294-9C31-D9ED5A9A2390}" type="parTrans" cxnId="{49FA5E7D-7BF9-431D-94A2-9C6DBECC7E40}">
      <dgm:prSet/>
      <dgm:spPr/>
      <dgm:t>
        <a:bodyPr/>
        <a:lstStyle/>
        <a:p>
          <a:pPr algn="ctr"/>
          <a:endParaRPr kumimoji="1" lang="ja-JP" altLang="en-US" b="1"/>
        </a:p>
      </dgm:t>
    </dgm:pt>
    <dgm:pt modelId="{85086DDA-4947-4343-A53E-659141D5994E}" type="sibTrans" cxnId="{49FA5E7D-7BF9-431D-94A2-9C6DBECC7E40}">
      <dgm:prSet/>
      <dgm:spPr>
        <a:ln w="28575">
          <a:solidFill>
            <a:schemeClr val="accent3"/>
          </a:solidFill>
        </a:ln>
      </dgm:spPr>
      <dgm:t>
        <a:bodyPr/>
        <a:lstStyle/>
        <a:p>
          <a:pPr algn="ctr"/>
          <a:endParaRPr kumimoji="1" lang="ja-JP" altLang="en-US" b="1"/>
        </a:p>
      </dgm:t>
    </dgm:pt>
    <dgm:pt modelId="{1AB38D5C-803A-401A-AB2D-E7A165505B47}">
      <dgm:prSet phldrT="[テキスト]"/>
      <dgm:spPr/>
      <dgm:t>
        <a:bodyPr/>
        <a:lstStyle/>
        <a:p>
          <a:pPr algn="ctr"/>
          <a:r>
            <a:rPr kumimoji="1" lang="ja-JP" altLang="en-US" b="1"/>
            <a:t>評価（</a:t>
          </a:r>
          <a:r>
            <a:rPr kumimoji="1" lang="en-US" altLang="ja-JP" b="1"/>
            <a:t>Check</a:t>
          </a:r>
          <a:r>
            <a:rPr kumimoji="1" lang="ja-JP" altLang="en-US" b="1"/>
            <a:t>）</a:t>
          </a:r>
        </a:p>
      </dgm:t>
    </dgm:pt>
    <dgm:pt modelId="{01FBA919-B1D4-49D0-A10C-3F72049FCFB9}" type="parTrans" cxnId="{CC66A5A5-C3EE-425F-B1E1-5DB22C5991C2}">
      <dgm:prSet/>
      <dgm:spPr/>
      <dgm:t>
        <a:bodyPr/>
        <a:lstStyle/>
        <a:p>
          <a:pPr algn="ctr"/>
          <a:endParaRPr kumimoji="1" lang="ja-JP" altLang="en-US" b="1"/>
        </a:p>
      </dgm:t>
    </dgm:pt>
    <dgm:pt modelId="{12EA2213-2DD2-41A7-B46F-D37C6BBEDC61}" type="sibTrans" cxnId="{CC66A5A5-C3EE-425F-B1E1-5DB22C5991C2}">
      <dgm:prSet/>
      <dgm:spPr>
        <a:ln w="28575">
          <a:solidFill>
            <a:schemeClr val="accent4"/>
          </a:solidFill>
        </a:ln>
      </dgm:spPr>
      <dgm:t>
        <a:bodyPr/>
        <a:lstStyle/>
        <a:p>
          <a:pPr algn="ctr"/>
          <a:endParaRPr kumimoji="1" lang="ja-JP" altLang="en-US" b="1"/>
        </a:p>
      </dgm:t>
    </dgm:pt>
    <dgm:pt modelId="{1CF96FB7-E0FF-4568-B442-BC08D205AE34}">
      <dgm:prSet phldrT="[テキスト]"/>
      <dgm:spPr/>
      <dgm:t>
        <a:bodyPr/>
        <a:lstStyle/>
        <a:p>
          <a:pPr algn="ctr"/>
          <a:r>
            <a:rPr kumimoji="1" lang="ja-JP" altLang="en-US" b="1"/>
            <a:t>改善（</a:t>
          </a:r>
          <a:r>
            <a:rPr kumimoji="1" lang="en-US" altLang="ja-JP" b="1"/>
            <a:t>Act</a:t>
          </a:r>
          <a:r>
            <a:rPr kumimoji="1" lang="ja-JP" altLang="en-US" b="1"/>
            <a:t>）</a:t>
          </a:r>
        </a:p>
      </dgm:t>
    </dgm:pt>
    <dgm:pt modelId="{3A7F27AD-4422-48FF-AE0C-63E594269D91}" type="parTrans" cxnId="{401F67F3-F8D0-4D90-B524-0B68B6D79AA9}">
      <dgm:prSet/>
      <dgm:spPr/>
      <dgm:t>
        <a:bodyPr/>
        <a:lstStyle/>
        <a:p>
          <a:pPr algn="ctr"/>
          <a:endParaRPr kumimoji="1" lang="ja-JP" altLang="en-US" b="1"/>
        </a:p>
      </dgm:t>
    </dgm:pt>
    <dgm:pt modelId="{6F29FB91-A44A-4C4C-9E4F-C7522B2B58C9}" type="sibTrans" cxnId="{401F67F3-F8D0-4D90-B524-0B68B6D79AA9}">
      <dgm:prSet/>
      <dgm:spPr>
        <a:ln w="28575">
          <a:solidFill>
            <a:schemeClr val="accent5"/>
          </a:solidFill>
        </a:ln>
      </dgm:spPr>
      <dgm:t>
        <a:bodyPr/>
        <a:lstStyle/>
        <a:p>
          <a:pPr algn="ctr"/>
          <a:endParaRPr kumimoji="1" lang="ja-JP" altLang="en-US" b="1"/>
        </a:p>
      </dgm:t>
    </dgm:pt>
    <dgm:pt modelId="{1093135C-0483-4E0E-96C8-4185FB21A8AA}" type="pres">
      <dgm:prSet presAssocID="{1059A114-BD8B-4101-A9A7-9A17AB470A32}" presName="cycle" presStyleCnt="0">
        <dgm:presLayoutVars>
          <dgm:dir/>
          <dgm:resizeHandles val="exact"/>
        </dgm:presLayoutVars>
      </dgm:prSet>
      <dgm:spPr/>
    </dgm:pt>
    <dgm:pt modelId="{F86829BF-FECB-406C-A9DD-06AE2F7A5C5B}" type="pres">
      <dgm:prSet presAssocID="{8E1D5AB3-B228-4765-9A7F-320D0028C15B}" presName="node" presStyleLbl="node1" presStyleIdx="0" presStyleCnt="4" custScaleX="166067">
        <dgm:presLayoutVars>
          <dgm:bulletEnabled val="1"/>
        </dgm:presLayoutVars>
      </dgm:prSet>
      <dgm:spPr/>
    </dgm:pt>
    <dgm:pt modelId="{37A54F05-5159-44F9-9776-6F519167284C}" type="pres">
      <dgm:prSet presAssocID="{8E1D5AB3-B228-4765-9A7F-320D0028C15B}" presName="spNode" presStyleCnt="0"/>
      <dgm:spPr/>
    </dgm:pt>
    <dgm:pt modelId="{A9BFDDA3-8390-46D2-A70B-27A250C6D505}" type="pres">
      <dgm:prSet presAssocID="{ED813E9D-BD89-43C2-956B-FBDA300CD7E6}" presName="sibTrans" presStyleLbl="sibTrans1D1" presStyleIdx="0" presStyleCnt="4"/>
      <dgm:spPr/>
    </dgm:pt>
    <dgm:pt modelId="{642DAA25-E6DF-40DD-9BE1-B41A1B740973}" type="pres">
      <dgm:prSet presAssocID="{9ED0462C-D658-4C6A-B7F5-DAD93FF154B2}" presName="node" presStyleLbl="node1" presStyleIdx="1" presStyleCnt="4" custScaleX="166067" custRadScaleRad="194803">
        <dgm:presLayoutVars>
          <dgm:bulletEnabled val="1"/>
        </dgm:presLayoutVars>
      </dgm:prSet>
      <dgm:spPr/>
    </dgm:pt>
    <dgm:pt modelId="{7E0A6108-9D17-4BDA-8D53-9D18CAF997C3}" type="pres">
      <dgm:prSet presAssocID="{9ED0462C-D658-4C6A-B7F5-DAD93FF154B2}" presName="spNode" presStyleCnt="0"/>
      <dgm:spPr/>
    </dgm:pt>
    <dgm:pt modelId="{D44F49C3-0CF0-4B5A-B78D-119E9895CC0E}" type="pres">
      <dgm:prSet presAssocID="{85086DDA-4947-4343-A53E-659141D5994E}" presName="sibTrans" presStyleLbl="sibTrans1D1" presStyleIdx="1" presStyleCnt="4"/>
      <dgm:spPr/>
    </dgm:pt>
    <dgm:pt modelId="{9AEE23F2-C2A9-4864-AD69-E2BDD8BB0C02}" type="pres">
      <dgm:prSet presAssocID="{1AB38D5C-803A-401A-AB2D-E7A165505B47}" presName="node" presStyleLbl="node1" presStyleIdx="2" presStyleCnt="4" custScaleX="166067">
        <dgm:presLayoutVars>
          <dgm:bulletEnabled val="1"/>
        </dgm:presLayoutVars>
      </dgm:prSet>
      <dgm:spPr/>
    </dgm:pt>
    <dgm:pt modelId="{11F28081-4C4D-4FDB-9647-A7A1D63D3A62}" type="pres">
      <dgm:prSet presAssocID="{1AB38D5C-803A-401A-AB2D-E7A165505B47}" presName="spNode" presStyleCnt="0"/>
      <dgm:spPr/>
    </dgm:pt>
    <dgm:pt modelId="{CB5E0C83-DC0B-4182-88CD-19030440DDB5}" type="pres">
      <dgm:prSet presAssocID="{12EA2213-2DD2-41A7-B46F-D37C6BBEDC61}" presName="sibTrans" presStyleLbl="sibTrans1D1" presStyleIdx="2" presStyleCnt="4"/>
      <dgm:spPr/>
    </dgm:pt>
    <dgm:pt modelId="{1A44F7B1-1FE0-4EBA-A242-BE71CAF5907C}" type="pres">
      <dgm:prSet presAssocID="{1CF96FB7-E0FF-4568-B442-BC08D205AE34}" presName="node" presStyleLbl="node1" presStyleIdx="3" presStyleCnt="4" custScaleX="166067" custRadScaleRad="188566">
        <dgm:presLayoutVars>
          <dgm:bulletEnabled val="1"/>
        </dgm:presLayoutVars>
      </dgm:prSet>
      <dgm:spPr/>
    </dgm:pt>
    <dgm:pt modelId="{C03C4E64-818A-49FC-9DBD-8BB1F11165AC}" type="pres">
      <dgm:prSet presAssocID="{1CF96FB7-E0FF-4568-B442-BC08D205AE34}" presName="spNode" presStyleCnt="0"/>
      <dgm:spPr/>
    </dgm:pt>
    <dgm:pt modelId="{8CB2745B-6155-4817-9CC3-E7A632AE1A76}" type="pres">
      <dgm:prSet presAssocID="{6F29FB91-A44A-4C4C-9E4F-C7522B2B58C9}" presName="sibTrans" presStyleLbl="sibTrans1D1" presStyleIdx="3" presStyleCnt="4"/>
      <dgm:spPr/>
    </dgm:pt>
  </dgm:ptLst>
  <dgm:cxnLst>
    <dgm:cxn modelId="{F9BA9908-35B9-47EA-9820-4183F819B217}" type="presOf" srcId="{9ED0462C-D658-4C6A-B7F5-DAD93FF154B2}" destId="{642DAA25-E6DF-40DD-9BE1-B41A1B740973}" srcOrd="0" destOrd="0" presId="urn:microsoft.com/office/officeart/2005/8/layout/cycle5"/>
    <dgm:cxn modelId="{BFB95209-436D-4BD7-91CF-D5A32E6E3F20}" type="presOf" srcId="{1CF96FB7-E0FF-4568-B442-BC08D205AE34}" destId="{1A44F7B1-1FE0-4EBA-A242-BE71CAF5907C}" srcOrd="0" destOrd="0" presId="urn:microsoft.com/office/officeart/2005/8/layout/cycle5"/>
    <dgm:cxn modelId="{98D2865E-E0D8-4D71-88C6-404B190BB505}" type="presOf" srcId="{ED813E9D-BD89-43C2-956B-FBDA300CD7E6}" destId="{A9BFDDA3-8390-46D2-A70B-27A250C6D505}" srcOrd="0" destOrd="0" presId="urn:microsoft.com/office/officeart/2005/8/layout/cycle5"/>
    <dgm:cxn modelId="{EB8B4367-3806-4061-991F-FC04230ACCFD}" type="presOf" srcId="{6F29FB91-A44A-4C4C-9E4F-C7522B2B58C9}" destId="{8CB2745B-6155-4817-9CC3-E7A632AE1A76}" srcOrd="0" destOrd="0" presId="urn:microsoft.com/office/officeart/2005/8/layout/cycle5"/>
    <dgm:cxn modelId="{9829EF6D-C4EA-485F-9A14-930E25F10CA9}" type="presOf" srcId="{1059A114-BD8B-4101-A9A7-9A17AB470A32}" destId="{1093135C-0483-4E0E-96C8-4185FB21A8AA}" srcOrd="0" destOrd="0" presId="urn:microsoft.com/office/officeart/2005/8/layout/cycle5"/>
    <dgm:cxn modelId="{49FA5E7D-7BF9-431D-94A2-9C6DBECC7E40}" srcId="{1059A114-BD8B-4101-A9A7-9A17AB470A32}" destId="{9ED0462C-D658-4C6A-B7F5-DAD93FF154B2}" srcOrd="1" destOrd="0" parTransId="{D3E93335-EA59-4294-9C31-D9ED5A9A2390}" sibTransId="{85086DDA-4947-4343-A53E-659141D5994E}"/>
    <dgm:cxn modelId="{DD5E7A7D-0343-43C1-9F1C-3B390CC3B6AE}" srcId="{1059A114-BD8B-4101-A9A7-9A17AB470A32}" destId="{8E1D5AB3-B228-4765-9A7F-320D0028C15B}" srcOrd="0" destOrd="0" parTransId="{462856A4-791F-41D2-A0C5-9DD424302A17}" sibTransId="{ED813E9D-BD89-43C2-956B-FBDA300CD7E6}"/>
    <dgm:cxn modelId="{CC66A5A5-C3EE-425F-B1E1-5DB22C5991C2}" srcId="{1059A114-BD8B-4101-A9A7-9A17AB470A32}" destId="{1AB38D5C-803A-401A-AB2D-E7A165505B47}" srcOrd="2" destOrd="0" parTransId="{01FBA919-B1D4-49D0-A10C-3F72049FCFB9}" sibTransId="{12EA2213-2DD2-41A7-B46F-D37C6BBEDC61}"/>
    <dgm:cxn modelId="{25CE10B2-4111-4440-827B-78C997F4F3F8}" type="presOf" srcId="{1AB38D5C-803A-401A-AB2D-E7A165505B47}" destId="{9AEE23F2-C2A9-4864-AD69-E2BDD8BB0C02}" srcOrd="0" destOrd="0" presId="urn:microsoft.com/office/officeart/2005/8/layout/cycle5"/>
    <dgm:cxn modelId="{D45252BE-AE05-4B71-9904-50B5AF71F316}" type="presOf" srcId="{85086DDA-4947-4343-A53E-659141D5994E}" destId="{D44F49C3-0CF0-4B5A-B78D-119E9895CC0E}" srcOrd="0" destOrd="0" presId="urn:microsoft.com/office/officeart/2005/8/layout/cycle5"/>
    <dgm:cxn modelId="{660A43DF-04EE-4BD5-86F3-0CADE54685A0}" type="presOf" srcId="{12EA2213-2DD2-41A7-B46F-D37C6BBEDC61}" destId="{CB5E0C83-DC0B-4182-88CD-19030440DDB5}" srcOrd="0" destOrd="0" presId="urn:microsoft.com/office/officeart/2005/8/layout/cycle5"/>
    <dgm:cxn modelId="{2FBF75E8-137D-4D35-B1C0-3B7F06249F0D}" type="presOf" srcId="{8E1D5AB3-B228-4765-9A7F-320D0028C15B}" destId="{F86829BF-FECB-406C-A9DD-06AE2F7A5C5B}" srcOrd="0" destOrd="0" presId="urn:microsoft.com/office/officeart/2005/8/layout/cycle5"/>
    <dgm:cxn modelId="{401F67F3-F8D0-4D90-B524-0B68B6D79AA9}" srcId="{1059A114-BD8B-4101-A9A7-9A17AB470A32}" destId="{1CF96FB7-E0FF-4568-B442-BC08D205AE34}" srcOrd="3" destOrd="0" parTransId="{3A7F27AD-4422-48FF-AE0C-63E594269D91}" sibTransId="{6F29FB91-A44A-4C4C-9E4F-C7522B2B58C9}"/>
    <dgm:cxn modelId="{CADA7392-9FFA-4F75-A6A0-4A4900236902}" type="presParOf" srcId="{1093135C-0483-4E0E-96C8-4185FB21A8AA}" destId="{F86829BF-FECB-406C-A9DD-06AE2F7A5C5B}" srcOrd="0" destOrd="0" presId="urn:microsoft.com/office/officeart/2005/8/layout/cycle5"/>
    <dgm:cxn modelId="{A646A239-BE00-486B-A7F2-1F0658511786}" type="presParOf" srcId="{1093135C-0483-4E0E-96C8-4185FB21A8AA}" destId="{37A54F05-5159-44F9-9776-6F519167284C}" srcOrd="1" destOrd="0" presId="urn:microsoft.com/office/officeart/2005/8/layout/cycle5"/>
    <dgm:cxn modelId="{0AE9C929-16DB-45BB-AFD3-25FA1A674BF1}" type="presParOf" srcId="{1093135C-0483-4E0E-96C8-4185FB21A8AA}" destId="{A9BFDDA3-8390-46D2-A70B-27A250C6D505}" srcOrd="2" destOrd="0" presId="urn:microsoft.com/office/officeart/2005/8/layout/cycle5"/>
    <dgm:cxn modelId="{9F915239-DF78-419C-8745-AB092E5EEE43}" type="presParOf" srcId="{1093135C-0483-4E0E-96C8-4185FB21A8AA}" destId="{642DAA25-E6DF-40DD-9BE1-B41A1B740973}" srcOrd="3" destOrd="0" presId="urn:microsoft.com/office/officeart/2005/8/layout/cycle5"/>
    <dgm:cxn modelId="{E93993E8-5F33-4193-8123-51E52EBA878E}" type="presParOf" srcId="{1093135C-0483-4E0E-96C8-4185FB21A8AA}" destId="{7E0A6108-9D17-4BDA-8D53-9D18CAF997C3}" srcOrd="4" destOrd="0" presId="urn:microsoft.com/office/officeart/2005/8/layout/cycle5"/>
    <dgm:cxn modelId="{E5A1D9CF-6A49-4394-9E64-FBECC5C9F2F6}" type="presParOf" srcId="{1093135C-0483-4E0E-96C8-4185FB21A8AA}" destId="{D44F49C3-0CF0-4B5A-B78D-119E9895CC0E}" srcOrd="5" destOrd="0" presId="urn:microsoft.com/office/officeart/2005/8/layout/cycle5"/>
    <dgm:cxn modelId="{B1CA4179-4220-4E2D-A71D-0C15474355A0}" type="presParOf" srcId="{1093135C-0483-4E0E-96C8-4185FB21A8AA}" destId="{9AEE23F2-C2A9-4864-AD69-E2BDD8BB0C02}" srcOrd="6" destOrd="0" presId="urn:microsoft.com/office/officeart/2005/8/layout/cycle5"/>
    <dgm:cxn modelId="{CF9BFB5C-BE21-43F7-B265-C9215381073A}" type="presParOf" srcId="{1093135C-0483-4E0E-96C8-4185FB21A8AA}" destId="{11F28081-4C4D-4FDB-9647-A7A1D63D3A62}" srcOrd="7" destOrd="0" presId="urn:microsoft.com/office/officeart/2005/8/layout/cycle5"/>
    <dgm:cxn modelId="{76874CEE-6002-4611-B69F-D0F90D77537F}" type="presParOf" srcId="{1093135C-0483-4E0E-96C8-4185FB21A8AA}" destId="{CB5E0C83-DC0B-4182-88CD-19030440DDB5}" srcOrd="8" destOrd="0" presId="urn:microsoft.com/office/officeart/2005/8/layout/cycle5"/>
    <dgm:cxn modelId="{5A953845-9BA5-4393-AD39-8D073DDF3157}" type="presParOf" srcId="{1093135C-0483-4E0E-96C8-4185FB21A8AA}" destId="{1A44F7B1-1FE0-4EBA-A242-BE71CAF5907C}" srcOrd="9" destOrd="0" presId="urn:microsoft.com/office/officeart/2005/8/layout/cycle5"/>
    <dgm:cxn modelId="{391FA43D-3BE2-43E6-ADD0-408EC96D9AD9}" type="presParOf" srcId="{1093135C-0483-4E0E-96C8-4185FB21A8AA}" destId="{C03C4E64-818A-49FC-9DBD-8BB1F11165AC}" srcOrd="10" destOrd="0" presId="urn:microsoft.com/office/officeart/2005/8/layout/cycle5"/>
    <dgm:cxn modelId="{C6874D1B-36FD-489B-8690-DFBCE50F2BFD}" type="presParOf" srcId="{1093135C-0483-4E0E-96C8-4185FB21A8AA}" destId="{8CB2745B-6155-4817-9CC3-E7A632AE1A76}" srcOrd="11"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829BF-FECB-406C-A9DD-06AE2F7A5C5B}">
      <dsp:nvSpPr>
        <dsp:cNvPr id="0" name=""/>
        <dsp:cNvSpPr/>
      </dsp:nvSpPr>
      <dsp:spPr>
        <a:xfrm>
          <a:off x="1419041" y="315"/>
          <a:ext cx="1067166" cy="41769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kern="1200"/>
            <a:t>計画（</a:t>
          </a:r>
          <a:r>
            <a:rPr kumimoji="1" lang="en-US" altLang="ja-JP" sz="1100" b="1" kern="1200"/>
            <a:t>Plan</a:t>
          </a:r>
          <a:r>
            <a:rPr kumimoji="1" lang="ja-JP" altLang="en-US" sz="1100" b="1" kern="1200"/>
            <a:t>）</a:t>
          </a:r>
        </a:p>
      </dsp:txBody>
      <dsp:txXfrm>
        <a:off x="1439431" y="20705"/>
        <a:ext cx="1026386" cy="376917"/>
      </dsp:txXfrm>
    </dsp:sp>
    <dsp:sp modelId="{A9BFDDA3-8390-46D2-A70B-27A250C6D505}">
      <dsp:nvSpPr>
        <dsp:cNvPr id="0" name=""/>
        <dsp:cNvSpPr/>
      </dsp:nvSpPr>
      <dsp:spPr>
        <a:xfrm>
          <a:off x="1650239" y="417771"/>
          <a:ext cx="1381895" cy="1381895"/>
        </a:xfrm>
        <a:custGeom>
          <a:avLst/>
          <a:gdLst/>
          <a:ahLst/>
          <a:cxnLst/>
          <a:rect l="0" t="0" r="0" b="0"/>
          <a:pathLst>
            <a:path>
              <a:moveTo>
                <a:pt x="827984" y="13725"/>
              </a:moveTo>
              <a:arcTo wR="690947" hR="690947" stAng="16886364" swAng="1888056"/>
            </a:path>
          </a:pathLst>
        </a:custGeom>
        <a:noFill/>
        <a:ln w="28575" cap="flat" cmpd="sng" algn="ctr">
          <a:solidFill>
            <a:schemeClr val="accent2"/>
          </a:solidFill>
          <a:prstDash val="solid"/>
          <a:miter lim="800000"/>
          <a:tailEnd type="arrow"/>
        </a:ln>
        <a:effectLst/>
      </dsp:spPr>
      <dsp:style>
        <a:lnRef idx="1">
          <a:scrgbClr r="0" g="0" b="0"/>
        </a:lnRef>
        <a:fillRef idx="0">
          <a:scrgbClr r="0" g="0" b="0"/>
        </a:fillRef>
        <a:effectRef idx="0">
          <a:scrgbClr r="0" g="0" b="0"/>
        </a:effectRef>
        <a:fontRef idx="minor"/>
      </dsp:style>
    </dsp:sp>
    <dsp:sp modelId="{642DAA25-E6DF-40DD-9BE1-B41A1B740973}">
      <dsp:nvSpPr>
        <dsp:cNvPr id="0" name=""/>
        <dsp:cNvSpPr/>
      </dsp:nvSpPr>
      <dsp:spPr>
        <a:xfrm>
          <a:off x="2765029" y="691263"/>
          <a:ext cx="1067166" cy="41769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kern="1200"/>
            <a:t>運用（</a:t>
          </a:r>
          <a:r>
            <a:rPr kumimoji="1" lang="en-US" altLang="ja-JP" sz="1100" b="1" kern="1200"/>
            <a:t>Do</a:t>
          </a:r>
          <a:r>
            <a:rPr kumimoji="1" lang="ja-JP" altLang="en-US" sz="1100" b="1" kern="1200"/>
            <a:t>）</a:t>
          </a:r>
        </a:p>
      </dsp:txBody>
      <dsp:txXfrm>
        <a:off x="2785419" y="711653"/>
        <a:ext cx="1026386" cy="376917"/>
      </dsp:txXfrm>
    </dsp:sp>
    <dsp:sp modelId="{D44F49C3-0CF0-4B5A-B78D-119E9895CC0E}">
      <dsp:nvSpPr>
        <dsp:cNvPr id="0" name=""/>
        <dsp:cNvSpPr/>
      </dsp:nvSpPr>
      <dsp:spPr>
        <a:xfrm>
          <a:off x="1650239" y="557"/>
          <a:ext cx="1381895" cy="1381895"/>
        </a:xfrm>
        <a:custGeom>
          <a:avLst/>
          <a:gdLst/>
          <a:ahLst/>
          <a:cxnLst/>
          <a:rect l="0" t="0" r="0" b="0"/>
          <a:pathLst>
            <a:path>
              <a:moveTo>
                <a:pt x="1161352" y="1197039"/>
              </a:moveTo>
              <a:arcTo wR="690947" hR="690947" stAng="2825580" swAng="1888056"/>
            </a:path>
          </a:pathLst>
        </a:custGeom>
        <a:noFill/>
        <a:ln w="28575" cap="flat" cmpd="sng" algn="ctr">
          <a:solidFill>
            <a:schemeClr val="accent3"/>
          </a:solidFill>
          <a:prstDash val="solid"/>
          <a:miter lim="800000"/>
          <a:tailEnd type="arrow"/>
        </a:ln>
        <a:effectLst/>
      </dsp:spPr>
      <dsp:style>
        <a:lnRef idx="1">
          <a:scrgbClr r="0" g="0" b="0"/>
        </a:lnRef>
        <a:fillRef idx="0">
          <a:scrgbClr r="0" g="0" b="0"/>
        </a:fillRef>
        <a:effectRef idx="0">
          <a:scrgbClr r="0" g="0" b="0"/>
        </a:effectRef>
        <a:fontRef idx="minor"/>
      </dsp:style>
    </dsp:sp>
    <dsp:sp modelId="{9AEE23F2-C2A9-4864-AD69-E2BDD8BB0C02}">
      <dsp:nvSpPr>
        <dsp:cNvPr id="0" name=""/>
        <dsp:cNvSpPr/>
      </dsp:nvSpPr>
      <dsp:spPr>
        <a:xfrm>
          <a:off x="1419041" y="1382211"/>
          <a:ext cx="1067166" cy="417697"/>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kern="1200"/>
            <a:t>評価（</a:t>
          </a:r>
          <a:r>
            <a:rPr kumimoji="1" lang="en-US" altLang="ja-JP" sz="1100" b="1" kern="1200"/>
            <a:t>Check</a:t>
          </a:r>
          <a:r>
            <a:rPr kumimoji="1" lang="ja-JP" altLang="en-US" sz="1100" b="1" kern="1200"/>
            <a:t>）</a:t>
          </a:r>
        </a:p>
      </dsp:txBody>
      <dsp:txXfrm>
        <a:off x="1439431" y="1402601"/>
        <a:ext cx="1026386" cy="376917"/>
      </dsp:txXfrm>
    </dsp:sp>
    <dsp:sp modelId="{CB5E0C83-DC0B-4182-88CD-19030440DDB5}">
      <dsp:nvSpPr>
        <dsp:cNvPr id="0" name=""/>
        <dsp:cNvSpPr/>
      </dsp:nvSpPr>
      <dsp:spPr>
        <a:xfrm>
          <a:off x="903704" y="1246"/>
          <a:ext cx="1381895" cy="1381895"/>
        </a:xfrm>
        <a:custGeom>
          <a:avLst/>
          <a:gdLst/>
          <a:ahLst/>
          <a:cxnLst/>
          <a:rect l="0" t="0" r="0" b="0"/>
          <a:pathLst>
            <a:path>
              <a:moveTo>
                <a:pt x="539675" y="1365133"/>
              </a:moveTo>
              <a:arcTo wR="690947" hR="690947" stAng="6158786" swAng="1834966"/>
            </a:path>
          </a:pathLst>
        </a:custGeom>
        <a:noFill/>
        <a:ln w="28575" cap="flat" cmpd="sng" algn="ctr">
          <a:solidFill>
            <a:schemeClr val="accent4"/>
          </a:solidFill>
          <a:prstDash val="solid"/>
          <a:miter lim="800000"/>
          <a:tailEnd type="arrow"/>
        </a:ln>
        <a:effectLst/>
      </dsp:spPr>
      <dsp:style>
        <a:lnRef idx="1">
          <a:scrgbClr r="0" g="0" b="0"/>
        </a:lnRef>
        <a:fillRef idx="0">
          <a:scrgbClr r="0" g="0" b="0"/>
        </a:fillRef>
        <a:effectRef idx="0">
          <a:scrgbClr r="0" g="0" b="0"/>
        </a:effectRef>
        <a:fontRef idx="minor"/>
      </dsp:style>
    </dsp:sp>
    <dsp:sp modelId="{1A44F7B1-1FE0-4EBA-A242-BE71CAF5907C}">
      <dsp:nvSpPr>
        <dsp:cNvPr id="0" name=""/>
        <dsp:cNvSpPr/>
      </dsp:nvSpPr>
      <dsp:spPr>
        <a:xfrm>
          <a:off x="116148" y="691263"/>
          <a:ext cx="1067166" cy="417697"/>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kern="1200"/>
            <a:t>改善（</a:t>
          </a:r>
          <a:r>
            <a:rPr kumimoji="1" lang="en-US" altLang="ja-JP" sz="1100" b="1" kern="1200"/>
            <a:t>Act</a:t>
          </a:r>
          <a:r>
            <a:rPr kumimoji="1" lang="ja-JP" altLang="en-US" sz="1100" b="1" kern="1200"/>
            <a:t>）</a:t>
          </a:r>
        </a:p>
      </dsp:txBody>
      <dsp:txXfrm>
        <a:off x="136538" y="711653"/>
        <a:ext cx="1026386" cy="376917"/>
      </dsp:txXfrm>
    </dsp:sp>
    <dsp:sp modelId="{8CB2745B-6155-4817-9CC3-E7A632AE1A76}">
      <dsp:nvSpPr>
        <dsp:cNvPr id="0" name=""/>
        <dsp:cNvSpPr/>
      </dsp:nvSpPr>
      <dsp:spPr>
        <a:xfrm>
          <a:off x="903704" y="417082"/>
          <a:ext cx="1381895" cy="1381895"/>
        </a:xfrm>
        <a:custGeom>
          <a:avLst/>
          <a:gdLst/>
          <a:ahLst/>
          <a:cxnLst/>
          <a:rect l="0" t="0" r="0" b="0"/>
          <a:pathLst>
            <a:path>
              <a:moveTo>
                <a:pt x="217704" y="187509"/>
              </a:moveTo>
              <a:arcTo wR="690947" hR="690947" stAng="13606247" swAng="1834966"/>
            </a:path>
          </a:pathLst>
        </a:custGeom>
        <a:noFill/>
        <a:ln w="28575" cap="flat" cmpd="sng" algn="ctr">
          <a:solidFill>
            <a:schemeClr val="accent5"/>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384</Words>
  <Characters>2194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2019-06-17T01:30:00Z</dcterms:created>
  <dcterms:modified xsi:type="dcterms:W3CDTF">2019-08-02T01:54:00Z</dcterms:modified>
</cp:coreProperties>
</file>