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A44" w:rsidRPr="00B80066" w:rsidRDefault="00406A44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XVII</w:t>
      </w:r>
    </w:p>
    <w:p w:rsidR="00406A44" w:rsidRPr="00B80066" w:rsidRDefault="00406A44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ÁP DỤNG QUẢN LÝ RỦI RO VÀO PHÂN LOẠI DOANH NGHIỆP SẢN</w:t>
      </w:r>
      <w:r w:rsidRPr="00B80066">
        <w:rPr>
          <w:rFonts w:cs="Arial"/>
          <w:b/>
          <w:bCs/>
          <w:color w:val="000000"/>
          <w:szCs w:val="20"/>
          <w:lang w:eastAsia="vi-VN" w:bidi="vi-VN"/>
        </w:rPr>
        <w:br/>
        <w:t>XUẤT PHỤ TÙNG XE CƠ GIỚI NƯỚC NGOÀI</w:t>
      </w:r>
    </w:p>
    <w:p w:rsidR="00406A44" w:rsidRPr="00B80066" w:rsidRDefault="00406A44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406A44" w:rsidRPr="00B80066" w:rsidRDefault="00406A44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_________________________</w:t>
      </w:r>
    </w:p>
    <w:p w:rsidR="00406A44" w:rsidRPr="00B80066" w:rsidRDefault="00406A44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p w:rsidR="00406A44" w:rsidRPr="00B80066" w:rsidRDefault="00406A44" w:rsidP="00B80066">
      <w:pPr>
        <w:widowControl w:val="0"/>
        <w:tabs>
          <w:tab w:val="left" w:pos="123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0" w:name="bookmark348"/>
      <w:bookmarkEnd w:id="0"/>
      <w:r w:rsidRPr="00B80066">
        <w:rPr>
          <w:rFonts w:cs="Arial"/>
          <w:b/>
          <w:bCs/>
          <w:color w:val="000000"/>
          <w:szCs w:val="20"/>
          <w:lang w:eastAsia="vi-VN" w:bidi="vi-VN"/>
        </w:rPr>
        <w:t>1. Phân nhóm doanh nghiệp sản xuất phụ tùng xe cơ giới nước ngoài dựa trên mức độ rủi ro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Cơ quan chứng nhận phân nhóm doanh nghiệp sản xuất phụ tùng xe cơ giới nước ngoài dựa trên mức độ rủi ro như sau: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Nhóm I (có mức độ rủi ro thấp): là nhóm bao gồm các doanh nghiệp có số điểm đánh giá đạt điểm A chiếm trên 50% của tổng số điểm đánh giá và không có điểm C;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Nhóm II (có mức độ rủi ro trung bình): là nhóm bao gồm các doanh nghiệp có số điểm đánh giá đạt điểm B chiếm trên 50% của tổng số điểm đánh giá số điểm đánh giá hoặc các cơ sở sản xuất không thuộc nhóm I và nhóm III;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Nhóm III (có mức rủi ro cao): là nhóm bao gồm các doanh nghiệp có số điểm đánh giá đạt điểm C chiếm trên 50% của tổng số điểm đánh giá.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Bảng điểm đánh giá mức độ rủi ro được quy định tại Bảng 1 dưới đây: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i/>
          <w:iCs/>
          <w:color w:val="000000"/>
          <w:szCs w:val="20"/>
          <w:lang w:eastAsia="vi-VN" w:bidi="vi-VN"/>
        </w:rPr>
        <w:t>Bảng 1</w:t>
      </w:r>
      <w:r w:rsidRPr="00B80066">
        <w:rPr>
          <w:rFonts w:cs="Arial"/>
          <w:color w:val="000000"/>
          <w:szCs w:val="20"/>
          <w:lang w:eastAsia="vi-VN" w:bidi="vi-VN"/>
        </w:rPr>
        <w:t xml:space="preserve"> - </w:t>
      </w:r>
      <w:r w:rsidRPr="00B80066">
        <w:rPr>
          <w:rFonts w:cs="Arial"/>
          <w:b/>
          <w:bCs/>
          <w:i/>
          <w:iCs/>
          <w:color w:val="000000"/>
          <w:szCs w:val="20"/>
          <w:lang w:eastAsia="vi-VN" w:bidi="vi-VN"/>
        </w:rPr>
        <w:t>Bảng điểm đánh giá mức độ rủi ro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865"/>
        <w:gridCol w:w="5240"/>
        <w:gridCol w:w="638"/>
        <w:gridCol w:w="714"/>
        <w:gridCol w:w="708"/>
      </w:tblGrid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TT</w:t>
            </w:r>
          </w:p>
        </w:tc>
        <w:tc>
          <w:tcPr>
            <w:tcW w:w="338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Tiêu chí đánh giá</w:t>
            </w:r>
          </w:p>
        </w:tc>
        <w:tc>
          <w:tcPr>
            <w:tcW w:w="11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Điểm đánh giá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692C19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I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Tiêu chí hạ tầng doanh nghiệp, loại sản phẩm sản xuất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val="en-GB"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t>1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Địa điểm sản xuất ổn định, lâu dài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Địa điểm sản xuất có tính ổn định cao, có quyền sử dụng hợp pháp trong thời gian từ 10 năm trở lên.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Địa điểm sản xuất có tính ổn định trung bình, có quyền sử dụng hợp pháp trong thời gian từ 5 năm đến dưới 10 năm.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Địa điểm sản xuất có tính ổn định thấp, có quyền sử dụng hợp pháp trong thời gian dưới 5 năm.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2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Quy mô sản xuất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Sản lượng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Lớn</w:t>
            </w:r>
          </w:p>
        </w:tc>
        <w:tc>
          <w:tcPr>
            <w:tcW w:w="2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Sản xuất 1.000.000 sản phẩm/năm trở lên.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Trung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t xml:space="preserve"> </w:t>
            </w: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bình</w:t>
            </w:r>
          </w:p>
        </w:tc>
        <w:tc>
          <w:tcPr>
            <w:tcW w:w="2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Sản xuất từ 300.000 đến dưới 1.000.000 sản phẩm/năm.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Nhỏ</w:t>
            </w:r>
          </w:p>
        </w:tc>
        <w:tc>
          <w:tcPr>
            <w:tcW w:w="2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Sản xuất dưới 300.000 sản phẩm/năm.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692C19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br w:type="page"/>
              <w:t>3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Công nghệ sản xuất, lắp ráp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Hiện đại, doanh nghiệp thuộc khối các nước EU, G7.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Doanh nghiệp các nước thuộc khối G20 (không bao gồm các nước thuộc EU, G7) hoặc doanh nghiệp có Trung tâm nghiên cứu phát triển sản phẩm riêng.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Không thuộc hai đối tượng trên.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4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Trang thiết bị sản xuất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Được trang bị dây chuyền sản xuất hiện đại, mức độ tự động hóa cao.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Được trang bị dây chuyền sản xuất đồng bộ, có một số phần điều khiển bán tự động.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Hoàn toàn thủ công hoặc có một trong số các công đoạn không tự thực hiện, phải thuê doanh nghiệp khác.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692C19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5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Nhân lực kiểm tra chất lượng xuất xưởng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Nhân lực được cấp chứng chỉ đào tạo chuyên môn nghiệp vụ, có chuyên môn tay nghề cao.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Nhân lực được cấp chứng chỉ đào tạo chuyên môn nghiệp vụ.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Nhân lực không thuộc hai đối tượng trên.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692C19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6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Hệ thống quản lý chất lượng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Có chứng chỉ hệ thống quản lý chất lượng ISO 9001:2015 hoặc IATF 16949:2016 hoặc tương đương còn hiệu lực và được duy trì tốt.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Có chứng chỉ hệ thống quản lý chất lượng ISO 9001:2015 hoặc IATF 16949:2016 hoặc tương đương còn hiệu lực.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Có chứng chỉ hệ thống quản lý chất lượng ISO 9001:2015 hoặc IATF 16949:2016 hoặc tương đương còn hiệu lực nhưng không được duy trì tốt hoặc chưa có chứng chỉ hệ thống quản lý chất lượng.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  <w:tr w:rsidR="00406A44" w:rsidRPr="00692C19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II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Tiêu chí sự tuân thủ quy định của doanh nghiệp</w:t>
            </w:r>
          </w:p>
        </w:tc>
      </w:tr>
      <w:tr w:rsidR="00406A44" w:rsidRPr="00692C19" w:rsidTr="00D56978">
        <w:trPr>
          <w:trHeight w:val="20"/>
          <w:jc w:val="center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1</w:t>
            </w:r>
          </w:p>
        </w:tc>
        <w:tc>
          <w:tcPr>
            <w:tcW w:w="4531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Kết quả đánh giá COP gần nhất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Không có nội dung cần khắc phục.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A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Có không quá ba nội dung cần khắc phục.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3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Có trên ba nội dung cần khắc phục.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</w:t>
            </w:r>
          </w:p>
        </w:tc>
      </w:tr>
    </w:tbl>
    <w:p w:rsidR="00406A44" w:rsidRPr="00B80066" w:rsidRDefault="00406A44" w:rsidP="00B80066">
      <w:pPr>
        <w:keepNext/>
        <w:keepLines/>
        <w:widowControl w:val="0"/>
        <w:tabs>
          <w:tab w:val="left" w:pos="1232"/>
        </w:tabs>
        <w:adjustRightInd w:val="0"/>
        <w:snapToGrid w:val="0"/>
        <w:outlineLvl w:val="1"/>
        <w:rPr>
          <w:rFonts w:cs="Arial"/>
          <w:b/>
          <w:bCs/>
          <w:color w:val="000000"/>
          <w:szCs w:val="20"/>
          <w:lang w:val="en-GB" w:eastAsia="vi-VN" w:bidi="vi-VN"/>
        </w:rPr>
      </w:pPr>
      <w:bookmarkStart w:id="1" w:name="bookmark351"/>
      <w:bookmarkStart w:id="2" w:name="bookmark349"/>
      <w:bookmarkStart w:id="3" w:name="bookmark350"/>
      <w:bookmarkStart w:id="4" w:name="bookmark352"/>
      <w:bookmarkEnd w:id="1"/>
    </w:p>
    <w:p w:rsidR="00406A44" w:rsidRPr="00B80066" w:rsidRDefault="00406A44" w:rsidP="00B80066">
      <w:pPr>
        <w:keepNext/>
        <w:keepLines/>
        <w:widowControl w:val="0"/>
        <w:tabs>
          <w:tab w:val="left" w:pos="1232"/>
        </w:tabs>
        <w:adjustRightInd w:val="0"/>
        <w:snapToGrid w:val="0"/>
        <w:spacing w:after="120"/>
        <w:ind w:firstLine="720"/>
        <w:outlineLvl w:val="1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2. Áp dụng biện pháp quản lý cho từng nhóm</w:t>
      </w:r>
      <w:bookmarkEnd w:id="2"/>
      <w:bookmarkEnd w:id="3"/>
      <w:bookmarkEnd w:id="4"/>
    </w:p>
    <w:p w:rsidR="00406A44" w:rsidRPr="00B80066" w:rsidRDefault="00406A44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Biện pháp quản lý áp dụng cho từng nhóm doanh nghiệp theo mức độ rủi ro được quy định chi tiết tại Bảng 2 dưới đây:</w:t>
      </w:r>
    </w:p>
    <w:p w:rsidR="00406A44" w:rsidRPr="00B80066" w:rsidRDefault="00406A44" w:rsidP="00B80066">
      <w:pPr>
        <w:widowControl w:val="0"/>
        <w:adjustRightInd w:val="0"/>
        <w:snapToGrid w:val="0"/>
        <w:spacing w:after="12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i/>
          <w:iCs/>
          <w:color w:val="000000"/>
          <w:szCs w:val="20"/>
          <w:lang w:eastAsia="vi-VN" w:bidi="vi-VN"/>
        </w:rPr>
        <w:t>Bảng 2 - Biện pháp quản lý áp dụng cho từng nhóm doanh nghiệp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5534"/>
        <w:gridCol w:w="939"/>
        <w:gridCol w:w="939"/>
        <w:gridCol w:w="946"/>
      </w:tblGrid>
      <w:tr w:rsidR="00406A44" w:rsidRPr="00B80066" w:rsidTr="00D56978">
        <w:trPr>
          <w:trHeight w:val="20"/>
          <w:jc w:val="center"/>
        </w:trPr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TT</w:t>
            </w:r>
          </w:p>
        </w:tc>
        <w:tc>
          <w:tcPr>
            <w:tcW w:w="307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Biện pháp quản lý</w:t>
            </w:r>
          </w:p>
        </w:tc>
        <w:tc>
          <w:tcPr>
            <w:tcW w:w="156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Nhóm doanh nghiệp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362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071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I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II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III</w:t>
            </w:r>
          </w:p>
        </w:tc>
      </w:tr>
      <w:tr w:rsidR="00406A44" w:rsidRPr="00B80066" w:rsidTr="00D56978">
        <w:trPr>
          <w:trHeight w:val="20"/>
          <w:jc w:val="center"/>
        </w:trPr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3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Chu kỳ đánh giá COP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36 tháng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24 tháng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6A44" w:rsidRPr="00B80066" w:rsidRDefault="00406A44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12 tháng</w:t>
            </w:r>
          </w:p>
        </w:tc>
      </w:tr>
    </w:tbl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44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06A44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7DEBB-C321-4819-81A2-C0FAC9B6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A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A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A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A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A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A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A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A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A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A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A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A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A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A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A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A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2025-09-30T09:57:00Z</dcterms:created>
  <dcterms:modified xsi:type="dcterms:W3CDTF">2025-09-30T09:57:00Z</dcterms:modified>
</cp:coreProperties>
</file>