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F0E" w:rsidRPr="00CF2D62" w:rsidRDefault="009C5F0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color w:val="000000"/>
          <w:szCs w:val="20"/>
        </w:rPr>
      </w:pPr>
      <w:r w:rsidRPr="00CF2D62">
        <w:rPr>
          <w:rFonts w:eastAsia="Calibri" w:cs="Arial"/>
          <w:szCs w:val="20"/>
        </w:rPr>
        <w:t xml:space="preserve">Mẫu số 04C (động tác báo hiệu </w:t>
      </w:r>
      <w:r w:rsidRPr="00CF2D62">
        <w:rPr>
          <w:rFonts w:eastAsia="Calibri" w:cs="Arial"/>
          <w:color w:val="000000"/>
          <w:szCs w:val="20"/>
        </w:rPr>
        <w:t>cấm lưu thông tất cả các chiều đường)</w:t>
      </w:r>
    </w:p>
    <w:p w:rsidR="009C5F0E" w:rsidRPr="00CF2D62" w:rsidRDefault="009C5F0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9C5F0E" w:rsidRPr="00CF2D62" w:rsidRDefault="009C5F0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9C5F0E" w:rsidRPr="00CF2D62" w:rsidRDefault="009C5F0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9C5F0E" w:rsidRPr="00CF2D62" w:rsidRDefault="009C5F0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148D5B6F" wp14:editId="0DF96EC5">
            <wp:extent cx="3550920" cy="4572000"/>
            <wp:effectExtent l="0" t="0" r="0" b="0"/>
            <wp:docPr id="1240473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F0E" w:rsidRPr="00CF2D62" w:rsidRDefault="009C5F0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0E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C5F0E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890E9-68DC-44D1-8A0D-12011AA3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