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188C" w:rsidRPr="00CF2D62" w:rsidRDefault="00E6188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08B (động tác báo hiệu bên phải đi chậm lại)</w:t>
      </w:r>
    </w:p>
    <w:p w:rsidR="00E6188C" w:rsidRPr="00CF2D62" w:rsidRDefault="00E6188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pacing w:val="-4"/>
          <w:szCs w:val="20"/>
        </w:rPr>
      </w:pPr>
      <w:r w:rsidRPr="00CF2D62">
        <w:rPr>
          <w:rFonts w:eastAsia="Calibri" w:cs="Arial"/>
          <w:spacing w:val="-4"/>
          <w:szCs w:val="20"/>
        </w:rPr>
        <w:t xml:space="preserve"> </w:t>
      </w:r>
      <w:r w:rsidRPr="00CF2D62">
        <w:rPr>
          <w:rFonts w:eastAsia="Calibri" w:cs="Arial"/>
          <w:i/>
          <w:spacing w:val="-4"/>
          <w:szCs w:val="20"/>
        </w:rPr>
        <w:t xml:space="preserve">(Ban hành kèm theo Thông tư số 69/2024/TT-BCA ngày 12 tháng 11 năm 2024) </w:t>
      </w:r>
    </w:p>
    <w:p w:rsidR="00E6188C" w:rsidRPr="00CF2D62" w:rsidRDefault="00E6188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E6188C" w:rsidRPr="00CF2D62" w:rsidRDefault="00E6188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pacing w:val="-4"/>
          <w:szCs w:val="20"/>
          <w:lang w:val="en-GB"/>
        </w:rPr>
      </w:pPr>
    </w:p>
    <w:p w:rsidR="00E6188C" w:rsidRPr="00CF2D62" w:rsidRDefault="00E6188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pacing w:val="-4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48350920" wp14:editId="35ABE033">
            <wp:extent cx="3467735" cy="4429760"/>
            <wp:effectExtent l="0" t="0" r="0" b="8890"/>
            <wp:docPr id="901041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88C" w:rsidRPr="00CF2D62" w:rsidRDefault="00E6188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pacing w:val="-4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8C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6188C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E551A-DD41-4E6C-A722-F3969311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