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BÁO CÁO TỔNG KẾT — CẤU HÌNH A</w:t>
      </w:r>
    </w:p>
    <w:p>
      <w:pPr>
        <w:spacing w:after="400"/>
        <w:jc w:val="center"/>
      </w:pPr>
      <w:r>
        <w:rPr>
          <w:i/>
          <w:iCs/>
          <w:color w:val="555555"/>
          <w:sz w:val="24"/>
          <w:szCs w:val="24"/>
        </w:rPr>
        <w:t xml:space="preserve">Tái lập phương pháp inpainting gpt-image-1 theo Matsuoka et al. (2025)</w:t>
      </w:r>
    </w:p>
    <w:p>
      <w:pPr>
        <w:pStyle w:val="Heading1"/>
        <w:spacing w:after="150" w:before="300"/>
      </w:pPr>
      <w:r>
        <w:t xml:space="preserve">1. Mục tiêu</w:t>
      </w:r>
    </w:p>
    <w:p>
      <w:pPr>
        <w:spacing w:after="120"/>
      </w:pPr>
      <w:r>
        <w:t xml:space="preserve">Tái lập lại phương pháp tạo sinh ảnh của Matsuoka et al. (2025) — dùng gpt-image-1 với mask trắng toàn phần để xóa artifact phi giải phẫu trên ảnh X-quang bàn tay trẻ em — nhằm chứng minh hiểu biết về cách làm của tác giả, làm cơ sở đối chiếu trước khi đề xuất Cấu hình B/C (fine-tune Stable Diffusion + mask tường minh).</w:t>
      </w:r>
    </w:p>
    <w:p>
      <w:pPr>
        <w:pStyle w:val="Heading1"/>
        <w:spacing w:after="150" w:before="300"/>
      </w:pPr>
      <w:r>
        <w:t xml:space="preserve">2. Đối chiếu phương pháp với code gốc tác giả</w:t>
      </w:r>
    </w:p>
    <w:p>
      <w:pPr>
        <w:spacing w:after="120"/>
      </w:pPr>
      <w:r>
        <w:t xml:space="preserve">Repo chính thức: github.com/felipe-matsuoka123/EVALUATING-THE-CLINICAL-IMPACT-OF-GENERATIVE-INPAINTING-ON-BONE-AGE-ESTIMATION (trích từ mục Code Availability của bài báo).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50"/>
      </w:tblGrid>
      <w:tr>
        <w:tc>
          <w:tcPr>
            <w:tcW w:type="dxa" w:w="2400"/>
            <w:shd w:fill="1F3864" w:val="clear"/>
          </w:tcPr>
          <w:p>
            <w:r>
              <w:rPr>
                <w:b/>
                <w:bCs/>
                <w:color w:val="FFFFFF"/>
                <w:sz w:val="20"/>
                <w:szCs w:val="20"/>
              </w:rPr>
              <w:t xml:space="preserve">Yếu tố</w:t>
            </w:r>
          </w:p>
        </w:tc>
        <w:tc>
          <w:tcPr>
            <w:tcW w:type="dxa" w:w="3500"/>
            <w:shd w:fill="1F3864" w:val="clear"/>
          </w:tcPr>
          <w:p>
            <w:r>
              <w:rPr>
                <w:b/>
                <w:bCs/>
                <w:color w:val="FFFFFF"/>
                <w:sz w:val="20"/>
                <w:szCs w:val="20"/>
              </w:rPr>
              <w:t xml:space="preserve">Code chúng tôi</w:t>
            </w:r>
          </w:p>
        </w:tc>
        <w:tc>
          <w:tcPr>
            <w:tcW w:type="dxa" w:w="3450"/>
            <w:shd w:fill="1F3864" w:val="clear"/>
          </w:tcPr>
          <w:p>
            <w:r>
              <w:rPr>
                <w:b/>
                <w:bCs/>
                <w:color w:val="FFFFFF"/>
                <w:sz w:val="20"/>
                <w:szCs w:val="20"/>
              </w:rPr>
              <w:t xml:space="preserve">Code gốc tác giả (generate_mult.py)</w:t>
            </w:r>
          </w:p>
        </w:tc>
      </w:tr>
      <w:tr>
        <w:tc>
          <w:tcPr>
            <w:tcW w:type="dxa" w:w="2400"/>
          </w:tcPr>
          <w:p>
            <w:r>
              <w:rPr>
                <w:sz w:val="20"/>
                <w:szCs w:val="20"/>
              </w:rPr>
              <w:t xml:space="preserve">Prompt</w:t>
            </w:r>
          </w:p>
        </w:tc>
        <w:tc>
          <w:tcPr>
            <w:tcW w:type="dxa" w:w="3500"/>
          </w:tcPr>
          <w:p>
            <w:r>
              <w:rPr>
                <w:sz w:val="20"/>
                <w:szCs w:val="20"/>
              </w:rPr>
              <w:t xml:space="preserve">Nguyên văn</w:t>
            </w:r>
          </w:p>
        </w:tc>
        <w:tc>
          <w:tcPr>
            <w:tcW w:type="dxa" w:w="3450"/>
          </w:tcPr>
          <w:p>
            <w:r>
              <w:rPr>
                <w:sz w:val="20"/>
                <w:szCs w:val="20"/>
              </w:rPr>
              <w:t xml:space="preserve">Nguyên văn — khớp 100%</w:t>
            </w:r>
          </w:p>
        </w:tc>
      </w:tr>
      <w:tr>
        <w:tc>
          <w:tcPr>
            <w:tcW w:type="dxa" w:w="2400"/>
          </w:tcPr>
          <w:p>
            <w:r>
              <w:rPr>
                <w:sz w:val="20"/>
                <w:szCs w:val="20"/>
              </w:rPr>
              <w:t xml:space="preserve">Resize</w:t>
            </w:r>
          </w:p>
        </w:tc>
        <w:tc>
          <w:tcPr>
            <w:tcW w:type="dxa" w:w="3500"/>
          </w:tcPr>
          <w:p>
            <w:r>
              <w:rPr>
                <w:sz w:val="20"/>
                <w:szCs w:val="20"/>
              </w:rPr>
              <w:t xml:space="preserve">.resize(SIZE), không chỉ định resample</w:t>
            </w:r>
          </w:p>
        </w:tc>
        <w:tc>
          <w:tcPr>
            <w:tcW w:type="dxa" w:w="3450"/>
          </w:tcPr>
          <w:p>
            <w:r>
              <w:rPr>
                <w:sz w:val="20"/>
                <w:szCs w:val="20"/>
              </w:rPr>
              <w:t xml:space="preserve">Giống hệt</w:t>
            </w:r>
          </w:p>
        </w:tc>
      </w:tr>
      <w:tr>
        <w:tc>
          <w:tcPr>
            <w:tcW w:type="dxa" w:w="2400"/>
          </w:tcPr>
          <w:p>
            <w:r>
              <w:rPr>
                <w:sz w:val="20"/>
                <w:szCs w:val="20"/>
              </w:rPr>
              <w:t xml:space="preserve">Mask</w:t>
            </w:r>
          </w:p>
        </w:tc>
        <w:tc>
          <w:tcPr>
            <w:tcW w:type="dxa" w:w="3500"/>
          </w:tcPr>
          <w:p>
            <w:r>
              <w:rPr>
                <w:sz w:val="20"/>
                <w:szCs w:val="20"/>
              </w:rPr>
              <w:t xml:space="preserve">Trắng toàn phần, tạo 1 lần</w:t>
            </w:r>
          </w:p>
        </w:tc>
        <w:tc>
          <w:tcPr>
            <w:tcW w:type="dxa" w:w="3450"/>
          </w:tcPr>
          <w:p>
            <w:r>
              <w:rPr>
                <w:sz w:val="20"/>
                <w:szCs w:val="20"/>
              </w:rPr>
              <w:t xml:space="preserve">Giống hệt</w:t>
            </w:r>
          </w:p>
        </w:tc>
      </w:tr>
      <w:tr>
        <w:tc>
          <w:tcPr>
            <w:tcW w:type="dxa" w:w="2400"/>
          </w:tcPr>
          <w:p>
            <w:r>
              <w:rPr>
                <w:sz w:val="20"/>
                <w:szCs w:val="20"/>
              </w:rPr>
              <w:t xml:space="preserve">Số lần gọi API</w:t>
            </w:r>
          </w:p>
        </w:tc>
        <w:tc>
          <w:tcPr>
            <w:tcW w:type="dxa" w:w="3500"/>
          </w:tcPr>
          <w:p>
            <w:r>
              <w:rPr>
                <w:sz w:val="20"/>
                <w:szCs w:val="20"/>
              </w:rPr>
              <w:t xml:space="preserve">1 lần/ảnh, n=3</w:t>
            </w:r>
          </w:p>
        </w:tc>
        <w:tc>
          <w:tcPr>
            <w:tcW w:type="dxa" w:w="3450"/>
          </w:tcPr>
          <w:p>
            <w:r>
              <w:rPr>
                <w:sz w:val="20"/>
                <w:szCs w:val="20"/>
              </w:rPr>
              <w:t xml:space="preserve">Giống hệt</w:t>
            </w:r>
          </w:p>
        </w:tc>
      </w:tr>
      <w:tr>
        <w:tc>
          <w:tcPr>
            <w:tcW w:type="dxa" w:w="2400"/>
          </w:tcPr>
          <w:p>
            <w:r>
              <w:rPr>
                <w:sz w:val="20"/>
                <w:szCs w:val="20"/>
              </w:rPr>
              <w:t xml:space="preserve">Tham số quality</w:t>
            </w:r>
          </w:p>
        </w:tc>
        <w:tc>
          <w:tcPr>
            <w:tcW w:type="dxa" w:w="3500"/>
          </w:tcPr>
          <w:p>
            <w:r>
              <w:rPr>
                <w:sz w:val="20"/>
                <w:szCs w:val="20"/>
              </w:rPr>
              <w:t xml:space="preserve">2 phiên bản: không set (auto) và "high"</w:t>
            </w:r>
          </w:p>
        </w:tc>
        <w:tc>
          <w:tcPr>
            <w:tcW w:type="dxa" w:w="3450"/>
          </w:tcPr>
          <w:p>
            <w:r>
              <w:rPr>
                <w:b/>
                <w:bCs/>
                <w:color w:val="C62828"/>
                <w:sz w:val="20"/>
                <w:szCs w:val="20"/>
              </w:rPr>
              <w:t xml:space="preserve">KHÔNG có tham số quality trong code — mâu thuẫn với mô tả "high" trong Methods của bài báo</w:t>
            </w:r>
          </w:p>
        </w:tc>
      </w:tr>
    </w:tbl>
    <w:p>
      <w:pPr>
        <w:spacing w:after="150"/>
      </w:pPr>
    </w:p>
    <w:p>
      <w:pPr>
        <w:spacing w:after="120"/>
      </w:pPr>
      <w:r>
        <w:rPr>
          <w:i/>
          <w:iCs/>
        </w:rPr>
        <w:t xml:space="preserve">Phát hiện quan trọng: bài báo (Methods) mô tả dùng quality="high", nhưng code công khai không có tham số này ở bất kỳ đâu (đã kiểm tra toàn bộ repo, lịch sử Git chỉ có 1 commit duy nhất, không có phiên bản khác). Đây là một hạn chế về tính tái lập (reproducibility) của chính nghiên cứu gốc.</w:t>
      </w:r>
    </w:p>
    <w:p>
      <w:pPr>
        <w:pStyle w:val="Heading1"/>
        <w:spacing w:after="150" w:before="300"/>
      </w:pPr>
      <w:r>
        <w:t xml:space="preserve">3. Thiết kế thực nghiệm</w:t>
      </w:r>
    </w:p>
    <w:p>
      <w:pPr>
        <w:pStyle w:val="ListParagraph"/>
        <w:numPr>
          <w:ilvl w:val="0"/>
          <w:numId w:val="1"/>
        </w:numPr>
        <w:spacing w:after="80"/>
      </w:pPr>
      <w:r>
        <w:t xml:space="preserve">6 ID được chọn từ 200 ảnh test RSNA, cân bằng giới tính (3 Nam / 3 Nữ), bao phủ 5 kiểu artifact khác nhau.</w:t>
      </w:r>
    </w:p>
    <w:p>
      <w:pPr>
        <w:pStyle w:val="ListParagraph"/>
        <w:numPr>
          <w:ilvl w:val="0"/>
          <w:numId w:val="1"/>
        </w:numPr>
        <w:spacing w:after="80"/>
      </w:pPr>
      <w:r>
        <w:t xml:space="preserve">Mỗi ID sinh 3 bản (n=3) với quality="high"; riêng 4360 và 4362 có thêm bản quality mặc định (auto) để đối chiếu.</w:t>
      </w:r>
    </w:p>
    <w:p>
      <w:pPr>
        <w:pStyle w:val="ListParagraph"/>
        <w:numPr>
          <w:ilvl w:val="0"/>
          <w:numId w:val="1"/>
        </w:numPr>
        <w:spacing w:after="80"/>
      </w:pPr>
      <w:r>
        <w:t xml:space="preserve">Ground truth tuổi xương xác minh qua đối chiếu 3 nguồn độc lập (Kaggle, GitHub Deeplasia, bài báo Matsuoka) — khớp 100% ID và giới tính, khớp thống kê tổng thể với bài báo (tuổi TB 132,1 tháng, SD 43,1, 50/50 giới tính).</w:t>
      </w:r>
    </w:p>
    <w:p>
      <w:pPr>
        <w:pStyle w:val="Heading1"/>
        <w:spacing w:after="150" w:before="300"/>
      </w:pPr>
      <w:r>
        <w:t xml:space="preserve">4. Kết quả — 6 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900"/>
        <w:gridCol w:w="3050"/>
      </w:tblGrid>
      <w:tr>
        <w:tc>
          <w:tcPr>
            <w:tcW w:type="dxa" w:w="1400"/>
            <w:shd w:fill="1F3864" w:val="clear"/>
          </w:tcPr>
          <w:p>
            <w:r>
              <w:rPr>
                <w:b/>
                <w:bCs/>
                <w:color w:val="FFFFFF"/>
                <w:sz w:val="20"/>
                <w:szCs w:val="20"/>
              </w:rPr>
              <w:t xml:space="preserve">ID</w:t>
            </w:r>
          </w:p>
        </w:tc>
        <w:tc>
          <w:tcPr>
            <w:tcW w:type="dxa" w:w="1400"/>
            <w:shd w:fill="1F3864" w:val="clear"/>
          </w:tcPr>
          <w:p>
            <w:r>
              <w:rPr>
                <w:b/>
                <w:bCs/>
                <w:color w:val="FFFFFF"/>
                <w:sz w:val="20"/>
                <w:szCs w:val="20"/>
              </w:rPr>
              <w:t xml:space="preserve">Giới tính</w:t>
            </w:r>
          </w:p>
        </w:tc>
        <w:tc>
          <w:tcPr>
            <w:tcW w:type="dxa" w:w="1600"/>
            <w:shd w:fill="1F3864" w:val="clear"/>
          </w:tcPr>
          <w:p>
            <w:r>
              <w:rPr>
                <w:b/>
                <w:bCs/>
                <w:color w:val="FFFFFF"/>
                <w:sz w:val="20"/>
                <w:szCs w:val="20"/>
              </w:rPr>
              <w:t xml:space="preserve">Tuổi (tháng)</w:t>
            </w:r>
          </w:p>
        </w:tc>
        <w:tc>
          <w:tcPr>
            <w:tcW w:type="dxa" w:w="1900"/>
            <w:shd w:fill="1F3864" w:val="clear"/>
          </w:tcPr>
          <w:p>
            <w:r>
              <w:rPr>
                <w:b/>
                <w:bCs/>
                <w:color w:val="FFFFFF"/>
                <w:sz w:val="20"/>
                <w:szCs w:val="20"/>
              </w:rPr>
              <w:t xml:space="preserve">SSIM tự nhất quán</w:t>
            </w:r>
          </w:p>
        </w:tc>
        <w:tc>
          <w:tcPr>
            <w:tcW w:type="dxa" w:w="3050"/>
            <w:shd w:fill="1F3864" w:val="clear"/>
          </w:tcPr>
          <w:p>
            <w:r>
              <w:rPr>
                <w:b/>
                <w:bCs/>
                <w:color w:val="FFFFFF"/>
                <w:sz w:val="20"/>
                <w:szCs w:val="20"/>
              </w:rPr>
              <w:t xml:space="preserve">Đặc điểm artifact</w:t>
            </w:r>
          </w:p>
        </w:tc>
      </w:tr>
      <w:tr>
        <w:tc>
          <w:tcPr>
            <w:tcW w:type="dxa" w:w="1400"/>
          </w:tcPr>
          <w:p>
            <w:r>
              <w:rPr>
                <w:sz w:val="20"/>
                <w:szCs w:val="20"/>
              </w:rPr>
              <w:t xml:space="preserve">4362</w:t>
            </w:r>
          </w:p>
        </w:tc>
        <w:tc>
          <w:tcPr>
            <w:tcW w:type="dxa" w:w="1400"/>
          </w:tcPr>
          <w:p>
            <w:r>
              <w:rPr>
                <w:sz w:val="20"/>
                <w:szCs w:val="20"/>
              </w:rPr>
              <w:t xml:space="preserve">Nam</w:t>
            </w:r>
          </w:p>
        </w:tc>
        <w:tc>
          <w:tcPr>
            <w:tcW w:type="dxa" w:w="1600"/>
          </w:tcPr>
          <w:p>
            <w:r>
              <w:rPr>
                <w:sz w:val="20"/>
                <w:szCs w:val="20"/>
              </w:rPr>
              <w:t xml:space="preserve">73,26</w:t>
            </w:r>
          </w:p>
        </w:tc>
        <w:tc>
          <w:tcPr>
            <w:tcW w:type="dxa" w:w="1900"/>
          </w:tcPr>
          <w:p>
            <w:r>
              <w:rPr>
                <w:b/>
                <w:bCs/>
                <w:color w:val="C62828"/>
                <w:sz w:val="20"/>
                <w:szCs w:val="20"/>
              </w:rPr>
              <w:t xml:space="preserve">0,748 (thấp nhất)</w:t>
            </w:r>
          </w:p>
        </w:tc>
        <w:tc>
          <w:tcPr>
            <w:tcW w:type="dxa" w:w="3050"/>
          </w:tcPr>
          <w:p>
            <w:r>
              <w:rPr>
                <w:sz w:val="20"/>
                <w:szCs w:val="20"/>
              </w:rPr>
              <w:t xml:space="preserve">Khung sáng bao quanh — bất ổn định nhất</w:t>
            </w:r>
          </w:p>
        </w:tc>
      </w:tr>
      <w:tr>
        <w:tc>
          <w:tcPr>
            <w:tcW w:type="dxa" w:w="1400"/>
          </w:tcPr>
          <w:p>
            <w:r>
              <w:rPr>
                <w:sz w:val="20"/>
                <w:szCs w:val="20"/>
              </w:rPr>
              <w:t xml:space="preserve">4504</w:t>
            </w:r>
          </w:p>
        </w:tc>
        <w:tc>
          <w:tcPr>
            <w:tcW w:type="dxa" w:w="1400"/>
          </w:tcPr>
          <w:p>
            <w:r>
              <w:rPr>
                <w:sz w:val="20"/>
                <w:szCs w:val="20"/>
              </w:rPr>
              <w:t xml:space="preserve">Nữ</w:t>
            </w:r>
          </w:p>
        </w:tc>
        <w:tc>
          <w:tcPr>
            <w:tcW w:type="dxa" w:w="1600"/>
          </w:tcPr>
          <w:p>
            <w:r>
              <w:rPr>
                <w:sz w:val="20"/>
                <w:szCs w:val="20"/>
              </w:rPr>
              <w:t xml:space="preserve">99,66</w:t>
            </w:r>
          </w:p>
        </w:tc>
        <w:tc>
          <w:tcPr>
            <w:tcW w:type="dxa" w:w="1900"/>
          </w:tcPr>
          <w:p>
            <w:r>
              <w:rPr>
                <w:sz w:val="20"/>
                <w:szCs w:val="20"/>
              </w:rPr>
              <w:t xml:space="preserve">0,806</w:t>
            </w:r>
          </w:p>
        </w:tc>
        <w:tc>
          <w:tcPr>
            <w:tcW w:type="dxa" w:w="3050"/>
          </w:tcPr>
          <w:p>
            <w:r>
              <w:rPr>
                <w:sz w:val="20"/>
                <w:szCs w:val="20"/>
              </w:rPr>
              <w:t xml:space="preserve">Ảnh xoay nghiêng — model tự "làm thẳng" lại</w:t>
            </w:r>
          </w:p>
        </w:tc>
      </w:tr>
      <w:tr>
        <w:tc>
          <w:tcPr>
            <w:tcW w:type="dxa" w:w="1400"/>
          </w:tcPr>
          <w:p>
            <w:r>
              <w:rPr>
                <w:sz w:val="20"/>
                <w:szCs w:val="20"/>
              </w:rPr>
              <w:t xml:space="preserve">4513</w:t>
            </w:r>
          </w:p>
        </w:tc>
        <w:tc>
          <w:tcPr>
            <w:tcW w:type="dxa" w:w="1400"/>
          </w:tcPr>
          <w:p>
            <w:r>
              <w:rPr>
                <w:sz w:val="20"/>
                <w:szCs w:val="20"/>
              </w:rPr>
              <w:t xml:space="preserve">Nữ</w:t>
            </w:r>
          </w:p>
        </w:tc>
        <w:tc>
          <w:tcPr>
            <w:tcW w:type="dxa" w:w="1600"/>
          </w:tcPr>
          <w:p>
            <w:r>
              <w:rPr>
                <w:sz w:val="20"/>
                <w:szCs w:val="20"/>
              </w:rPr>
              <w:t xml:space="preserve">110,62</w:t>
            </w:r>
          </w:p>
        </w:tc>
        <w:tc>
          <w:tcPr>
            <w:tcW w:type="dxa" w:w="1900"/>
          </w:tcPr>
          <w:p>
            <w:r>
              <w:rPr>
                <w:sz w:val="20"/>
                <w:szCs w:val="20"/>
              </w:rPr>
              <w:t xml:space="preserve">0,845</w:t>
            </w:r>
          </w:p>
        </w:tc>
        <w:tc>
          <w:tcPr>
            <w:tcW w:type="dxa" w:w="3050"/>
          </w:tcPr>
          <w:p>
            <w:r>
              <w:rPr>
                <w:sz w:val="20"/>
                <w:szCs w:val="20"/>
              </w:rPr>
              <w:t xml:space="preserve">Thẻ nhãn đứng, đơn giản</w:t>
            </w:r>
          </w:p>
        </w:tc>
      </w:tr>
      <w:tr>
        <w:tc>
          <w:tcPr>
            <w:tcW w:type="dxa" w:w="1400"/>
          </w:tcPr>
          <w:p>
            <w:r>
              <w:rPr>
                <w:sz w:val="20"/>
                <w:szCs w:val="20"/>
              </w:rPr>
              <w:t xml:space="preserve">4360</w:t>
            </w:r>
          </w:p>
        </w:tc>
        <w:tc>
          <w:tcPr>
            <w:tcW w:type="dxa" w:w="1400"/>
          </w:tcPr>
          <w:p>
            <w:r>
              <w:rPr>
                <w:sz w:val="20"/>
                <w:szCs w:val="20"/>
              </w:rPr>
              <w:t xml:space="preserve">Nam</w:t>
            </w:r>
          </w:p>
        </w:tc>
        <w:tc>
          <w:tcPr>
            <w:tcW w:type="dxa" w:w="1600"/>
          </w:tcPr>
          <w:p>
            <w:r>
              <w:rPr>
                <w:sz w:val="20"/>
                <w:szCs w:val="20"/>
              </w:rPr>
              <w:t xml:space="preserve">168,93</w:t>
            </w:r>
          </w:p>
        </w:tc>
        <w:tc>
          <w:tcPr>
            <w:tcW w:type="dxa" w:w="1900"/>
          </w:tcPr>
          <w:p>
            <w:r>
              <w:rPr>
                <w:sz w:val="20"/>
                <w:szCs w:val="20"/>
              </w:rPr>
              <w:t xml:space="preserve">0,859</w:t>
            </w:r>
          </w:p>
        </w:tc>
        <w:tc>
          <w:tcPr>
            <w:tcW w:type="dxa" w:w="3050"/>
          </w:tcPr>
          <w:p>
            <w:r>
              <w:rPr>
                <w:sz w:val="20"/>
                <w:szCs w:val="20"/>
              </w:rPr>
              <w:t xml:space="preserve">Nhãn chữ đơn giản</w:t>
            </w:r>
          </w:p>
        </w:tc>
      </w:tr>
      <w:tr>
        <w:tc>
          <w:tcPr>
            <w:tcW w:type="dxa" w:w="1400"/>
          </w:tcPr>
          <w:p>
            <w:r>
              <w:rPr>
                <w:sz w:val="20"/>
                <w:szCs w:val="20"/>
              </w:rPr>
              <w:t xml:space="preserve">4364</w:t>
            </w:r>
          </w:p>
        </w:tc>
        <w:tc>
          <w:tcPr>
            <w:tcW w:type="dxa" w:w="1400"/>
          </w:tcPr>
          <w:p>
            <w:r>
              <w:rPr>
                <w:sz w:val="20"/>
                <w:szCs w:val="20"/>
              </w:rPr>
              <w:t xml:space="preserve">Nam</w:t>
            </w:r>
          </w:p>
        </w:tc>
        <w:tc>
          <w:tcPr>
            <w:tcW w:type="dxa" w:w="1600"/>
          </w:tcPr>
          <w:p>
            <w:r>
              <w:rPr>
                <w:sz w:val="20"/>
                <w:szCs w:val="20"/>
              </w:rPr>
              <w:t xml:space="preserve">135,46</w:t>
            </w:r>
          </w:p>
        </w:tc>
        <w:tc>
          <w:tcPr>
            <w:tcW w:type="dxa" w:w="1900"/>
          </w:tcPr>
          <w:p>
            <w:r>
              <w:rPr>
                <w:sz w:val="20"/>
                <w:szCs w:val="20"/>
              </w:rPr>
              <w:t xml:space="preserve">0,864</w:t>
            </w:r>
          </w:p>
        </w:tc>
        <w:tc>
          <w:tcPr>
            <w:tcW w:type="dxa" w:w="3050"/>
          </w:tcPr>
          <w:p>
            <w:r>
              <w:rPr>
                <w:sz w:val="20"/>
                <w:szCs w:val="20"/>
              </w:rPr>
              <w:t xml:space="preserve">Nhãn + viền sáng nhẹ</w:t>
            </w:r>
          </w:p>
        </w:tc>
      </w:tr>
      <w:tr>
        <w:tc>
          <w:tcPr>
            <w:tcW w:type="dxa" w:w="1400"/>
          </w:tcPr>
          <w:p>
            <w:r>
              <w:rPr>
                <w:sz w:val="20"/>
                <w:szCs w:val="20"/>
              </w:rPr>
              <w:t xml:space="preserve">4543</w:t>
            </w:r>
          </w:p>
        </w:tc>
        <w:tc>
          <w:tcPr>
            <w:tcW w:type="dxa" w:w="1400"/>
          </w:tcPr>
          <w:p>
            <w:r>
              <w:rPr>
                <w:sz w:val="20"/>
                <w:szCs w:val="20"/>
              </w:rPr>
              <w:t xml:space="preserve">Nữ</w:t>
            </w:r>
          </w:p>
        </w:tc>
        <w:tc>
          <w:tcPr>
            <w:tcW w:type="dxa" w:w="1600"/>
          </w:tcPr>
          <w:p>
            <w:r>
              <w:rPr>
                <w:sz w:val="20"/>
                <w:szCs w:val="20"/>
              </w:rPr>
              <w:t xml:space="preserve">76,92</w:t>
            </w:r>
          </w:p>
        </w:tc>
        <w:tc>
          <w:tcPr>
            <w:tcW w:type="dxa" w:w="1900"/>
          </w:tcPr>
          <w:p>
            <w:r>
              <w:rPr>
                <w:b/>
                <w:bCs/>
                <w:color w:val="2E7D32"/>
                <w:sz w:val="20"/>
                <w:szCs w:val="20"/>
              </w:rPr>
              <w:t xml:space="preserve">0,882 (cao nhất)</w:t>
            </w:r>
          </w:p>
        </w:tc>
        <w:tc>
          <w:tcPr>
            <w:tcW w:type="dxa" w:w="3050"/>
          </w:tcPr>
          <w:p>
            <w:r>
              <w:rPr>
                <w:sz w:val="20"/>
                <w:szCs w:val="20"/>
              </w:rPr>
              <w:t xml:space="preserve">Khung tối bao quanh — ổn định nhất</w:t>
            </w:r>
          </w:p>
        </w:tc>
      </w:tr>
    </w:tbl>
    <w:p>
      <w:pPr>
        <w:spacing w:after="100"/>
      </w:pPr>
    </w:p>
    <w:p>
      <w:pPr>
        <w:spacing w:after="120"/>
      </w:pPr>
      <w:r>
        <w:rPr>
          <w:b/>
          <w:bCs/>
        </w:rPr>
        <w:t xml:space="preserve">SSIM trung bình toàn bộ 6 ID: 0,834</w:t>
      </w:r>
    </w:p>
    <w:p>
      <w:r>
        <w:br w:type="page"/>
      </w:r>
    </w:p>
    <w:p>
      <w:pPr>
        <w:pStyle w:val="Heading1"/>
        <w:spacing w:after="150" w:before="300"/>
      </w:pPr>
      <w:r>
        <w:t xml:space="preserve">5. Phát hiện nổi bật</w:t>
      </w:r>
    </w:p>
    <w:p>
      <w:pPr>
        <w:pStyle w:val="Heading2"/>
        <w:spacing w:after="120" w:before="250"/>
      </w:pPr>
      <w:r>
        <w:t xml:space="preserve">5.1. Mâu thuẫn quality giữa bài báo và code gốc</w:t>
      </w:r>
    </w:p>
    <w:p>
      <w:pPr>
        <w:spacing w:after="120"/>
      </w:pPr>
      <w:r>
        <w:t xml:space="preserve">So sánh có kiểm soát (2 ID, giữ nguyên mọi yếu tố khác) cho thấy quality="high" cải thiện nhẹ tính ổn định so với auto (+0,026 đến +0,031 SSIM) ở cả 2 trường hợp — nhất quán nhưng không lớn. Ảnh hưởng của đặc điểm ảnh gốc (chênh lệch SSIM ~0,10-0,12 giữa các ID) lớn hơn nhiều so với ảnh hưởng của lựa chọn quality (~0,03).</w:t>
      </w:r>
    </w:p>
    <w:p>
      <w:pPr>
        <w:pStyle w:val="Heading2"/>
        <w:spacing w:after="120" w:before="250"/>
      </w:pPr>
      <w:r>
        <w:t xml:space="preserve">5.2. Model tự thay đổi hình học ảnh — vượt ra ngoài phạm vi được yêu cầu</w:t>
      </w:r>
    </w:p>
    <w:p>
      <w:pPr>
        <w:spacing w:after="120"/>
      </w:pPr>
      <w:r>
        <w:t xml:space="preserve">ID 4504 có ảnh gốc bị xoay nghiêng (lỗi căn chỉnh khi chụp, không phải nhãn/label). Cả 3 bản sinh ra đều cho thấy bàn tay đã được "làm thẳng lại" hoàn toàn — dù prompt chỉ yêu cầu xóa nhãn/artifact phi giải phẫu, không hề yêu cầu chỉnh sửa góc xoay. Đây là bằng chứng trực tiếp, cụ thể cho đúng vấn đề mà Matsuoka et al. cảnh báo: model can thiệp vượt quá phạm vi được yêu cầu trong prompt.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Pr>
          <w:p>
            <w:pPr>
              <w:jc w:val="center"/>
            </w:pPr>
            <w:r>
              <w:rPr>
                <w:b/>
                <w:bCs/>
                <w:sz w:val="20"/>
                <w:szCs w:val="20"/>
              </w:rPr>
              <w:t xml:space="preserve">Ảnh gốc (bị xoay nghiêng)</w:t>
            </w:r>
          </w:p>
          <w:p>
            <w:pPr>
              <w:jc w:val="center"/>
            </w:pPr>
            <w:r>
              <w:drawing>
                <wp:inline distT="0" distB="0" distL="0" distR="0">
                  <wp:extent cx="209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2095500"/>
                          </a:xfrm>
                          <a:prstGeom prst="rect">
                            <a:avLst/>
                          </a:prstGeom>
                        </pic:spPr>
                      </pic:pic>
                    </a:graphicData>
                  </a:graphic>
                </wp:inline>
              </w:drawing>
            </w:r>
          </w:p>
        </w:tc>
        <w:tc>
          <w:tcPr>
            <w:tcW w:type="dxa" w:w="4675"/>
          </w:tcPr>
          <w:p>
            <w:pPr>
              <w:jc w:val="center"/>
            </w:pPr>
            <w:r>
              <w:rPr>
                <w:b/>
                <w:bCs/>
                <w:sz w:val="20"/>
                <w:szCs w:val="20"/>
              </w:rPr>
              <w:t xml:space="preserve">Ảnh sinh ra bởi gpt-image-1 (đã "làm thẳng")</w:t>
            </w:r>
          </w:p>
          <w:p>
            <w:pPr>
              <w:jc w:val="center"/>
            </w:pPr>
            <w:r>
              <w:drawing>
                <wp:inline distT="0" distB="0" distL="0" distR="0">
                  <wp:extent cx="209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095500"/>
                          </a:xfrm>
                          <a:prstGeom prst="rect">
                            <a:avLst/>
                          </a:prstGeom>
                        </pic:spPr>
                      </pic:pic>
                    </a:graphicData>
                  </a:graphic>
                </wp:inline>
              </w:drawing>
            </w:r>
          </w:p>
        </w:tc>
      </w:tr>
    </w:tbl>
    <w:p>
      <w:pPr>
        <w:spacing w:after="200"/>
      </w:pPr>
    </w:p>
    <w:p>
      <w:pPr>
        <w:pStyle w:val="Heading2"/>
        <w:spacing w:after="120" w:before="250"/>
      </w:pPr>
      <w:r>
        <w:t xml:space="preserve">5.3. Bác bỏ giả thuyết "artifact dạng khung luôn kém ổn định"</w:t>
      </w:r>
    </w:p>
    <w:p>
      <w:pPr>
        <w:spacing w:after="120"/>
      </w:pPr>
      <w:r>
        <w:t xml:space="preserve">Quan sát ban đầu (4360 vs 4362) gợi ý artifact dạng khung bao quanh gây bất ổn định. Tuy nhiên ID 4543 (cũng dạng khung, màu tối thay vì sáng) lại đạt SSIM cao nhất (0,882) trong toàn bộ mẫu — bác bỏ giả thuyết ban đầu. Số liệu cho thấy 4362 là một trường hợp riêng lẻ, không đại diện cho cả nhóm "artifact dạng khung".</w:t>
      </w:r>
    </w:p>
    <w:p>
      <w:pPr>
        <w:pStyle w:val="Heading1"/>
        <w:spacing w:after="150" w:before="300"/>
      </w:pPr>
      <w:r>
        <w:t xml:space="preserve">6. Minh họa 6 ảnh đại diện (1 bản/ID, quality="high")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jc w:val="center"/>
            </w:pPr>
            <w:r>
              <w:rPr>
                <w:sz w:val="18"/>
                <w:szCs w:val="18"/>
              </w:rPr>
              <w:t xml:space="preserve">ID 4360</w:t>
            </w:r>
          </w:p>
        </w:tc>
        <w:tc>
          <w:tcPr>
            <w:tcW w:type="dxa" w:w="3117"/>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428750"/>
                          </a:xfrm>
                          <a:prstGeom prst="rect">
                            <a:avLst/>
                          </a:prstGeom>
                        </pic:spPr>
                      </pic:pic>
                    </a:graphicData>
                  </a:graphic>
                </wp:inline>
              </w:drawing>
            </w:r>
          </w:p>
          <w:p>
            <w:pPr>
              <w:jc w:val="center"/>
            </w:pPr>
            <w:r>
              <w:rPr>
                <w:sz w:val="18"/>
                <w:szCs w:val="18"/>
              </w:rPr>
              <w:t xml:space="preserve">ID 4362</w:t>
            </w:r>
          </w:p>
        </w:tc>
        <w:tc>
          <w:tcPr>
            <w:tcW w:type="dxa" w:w="3117"/>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428750"/>
                          </a:xfrm>
                          <a:prstGeom prst="rect">
                            <a:avLst/>
                          </a:prstGeom>
                        </pic:spPr>
                      </pic:pic>
                    </a:graphicData>
                  </a:graphic>
                </wp:inline>
              </w:drawing>
            </w:r>
          </w:p>
          <w:p>
            <w:pPr>
              <w:jc w:val="center"/>
            </w:pPr>
            <w:r>
              <w:rPr>
                <w:sz w:val="18"/>
                <w:szCs w:val="18"/>
              </w:rPr>
              <w:t xml:space="preserve">ID 4364</w:t>
            </w:r>
          </w:p>
        </w:tc>
      </w:tr>
      <w:tr>
        <w:tc>
          <w:tcPr>
            <w:tcW w:type="dxa" w:w="3117"/>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jc w:val="center"/>
            </w:pPr>
            <w:r>
              <w:rPr>
                <w:sz w:val="18"/>
                <w:szCs w:val="18"/>
              </w:rPr>
              <w:t xml:space="preserve">ID 4504</w:t>
            </w:r>
          </w:p>
        </w:tc>
        <w:tc>
          <w:tcPr>
            <w:tcW w:type="dxa" w:w="3117"/>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428750"/>
                          </a:xfrm>
                          <a:prstGeom prst="rect">
                            <a:avLst/>
                          </a:prstGeom>
                        </pic:spPr>
                      </pic:pic>
                    </a:graphicData>
                  </a:graphic>
                </wp:inline>
              </w:drawing>
            </w:r>
          </w:p>
          <w:p>
            <w:pPr>
              <w:jc w:val="center"/>
            </w:pPr>
            <w:r>
              <w:rPr>
                <w:sz w:val="18"/>
                <w:szCs w:val="18"/>
              </w:rPr>
              <w:t xml:space="preserve">ID 4513</w:t>
            </w:r>
          </w:p>
        </w:tc>
        <w:tc>
          <w:tcPr>
            <w:tcW w:type="dxa" w:w="3117"/>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428750"/>
                          </a:xfrm>
                          <a:prstGeom prst="rect">
                            <a:avLst/>
                          </a:prstGeom>
                        </pic:spPr>
                      </pic:pic>
                    </a:graphicData>
                  </a:graphic>
                </wp:inline>
              </w:drawing>
            </w:r>
          </w:p>
          <w:p>
            <w:pPr>
              <w:jc w:val="center"/>
            </w:pPr>
            <w:r>
              <w:rPr>
                <w:sz w:val="18"/>
                <w:szCs w:val="18"/>
              </w:rPr>
              <w:t xml:space="preserve">ID 4543</w:t>
            </w:r>
          </w:p>
        </w:tc>
      </w:tr>
    </w:tbl>
    <w:p>
      <w:pPr>
        <w:spacing w:after="200"/>
      </w:pPr>
    </w:p>
    <w:p>
      <w:pPr>
        <w:pStyle w:val="Heading1"/>
        <w:spacing w:after="150" w:before="300"/>
      </w:pPr>
      <w:r>
        <w:t xml:space="preserve">7. Kết luận cho Cấu hình A</w:t>
      </w:r>
    </w:p>
    <w:p>
      <w:pPr>
        <w:pStyle w:val="ListParagraph"/>
        <w:numPr>
          <w:ilvl w:val="0"/>
          <w:numId w:val="1"/>
        </w:numPr>
        <w:spacing w:after="80"/>
      </w:pPr>
      <w:r>
        <w:t xml:space="preserve">Đã tái lập thành công phương pháp gốc, đối chiếu trực tiếp với code chính thức của tác giả — khớp gần như tuyệt đối ngoại trừ tham số quality (đã phát hiện và phân tích mâu thuẫn).</w:t>
      </w:r>
    </w:p>
    <w:p>
      <w:pPr>
        <w:pStyle w:val="ListParagraph"/>
        <w:numPr>
          <w:ilvl w:val="0"/>
          <w:numId w:val="1"/>
        </w:numPr>
        <w:spacing w:after="80"/>
      </w:pPr>
      <w:r>
        <w:t xml:space="preserve">Đã minh họa và đo lường được 2 dạng rủi ro cụ thể mà bài báo gốc cảnh báo: (1) bất ổn định giữa các lần sinh với ảnh có đặc điểm bất thường (4362), (2) model can thiệp vượt phạm vi được yêu cầu, cụ thể là tự động chỉnh sửa góc xoay hình học (4504).</w:t>
      </w:r>
    </w:p>
    <w:p>
      <w:pPr>
        <w:pStyle w:val="ListParagraph"/>
        <w:numPr>
          <w:ilvl w:val="0"/>
          <w:numId w:val="1"/>
        </w:numPr>
        <w:spacing w:after="80"/>
      </w:pPr>
      <w:r>
        <w:t xml:space="preserve">Số liệu định lượng (SSIM tự nhất quán) cho 6 ID, TB=0,834, dao động 0,748–0,882 — đủ cơ sở định lượng cho phần phân tích nguyên nhân, làm nền so sánh với Cấu hình B/C sắp tới.</w:t>
      </w:r>
    </w:p>
    <w:p>
      <w:pPr>
        <w:pStyle w:val="ListParagraph"/>
        <w:numPr>
          <w:ilvl w:val="0"/>
          <w:numId w:val="1"/>
        </w:numPr>
        <w:spacing w:after="80"/>
      </w:pPr>
      <w:r>
        <w:t xml:space="preserve">Hạn chế: mẫu n=6 chỉ đủ minh họa (illustrative), không đủ để kết luận thống kê chặt chẽ về các giả thuyết đã nêu — phù hợp với mục tiêu ban đầu là "chứng minh hiểu cách làm", không phải một nghiên cứu thống kê đầy đủ quy mô 200 ảnh.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4cf09e3225712c5504a915a620bde5f339211b.png"/><Relationship Id="rId8" Type="http://schemas.openxmlformats.org/officeDocument/2006/relationships/image" Target="media/dc37e7df78d216fcd3d7336f30ca592d3fa0b694.png"/><Relationship Id="rId9" Type="http://schemas.openxmlformats.org/officeDocument/2006/relationships/image" Target="media/26c3dcad80ca68dd67c8ad89c3edcbe70635cff0.png"/><Relationship Id="rId10" Type="http://schemas.openxmlformats.org/officeDocument/2006/relationships/image" Target="media/98f6c07cff07fea21a0a5372b5787e520681d160.png"/><Relationship Id="rId11" Type="http://schemas.openxmlformats.org/officeDocument/2006/relationships/image" Target="media/524eedd075dbca5bfc1c49bb20fd61382fdd7d6d.png"/><Relationship Id="rId12" Type="http://schemas.openxmlformats.org/officeDocument/2006/relationships/image" Target="media/ab14f09d1df7ed56f7d2cf7c8b440a776b9bc00e.png"/><Relationship Id="rId13" Type="http://schemas.openxmlformats.org/officeDocument/2006/relationships/image" Target="media/0d1100ca3d76510d295a01921f38f25cf2a4760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2026-07-14T07:30:07.602Z</dcterms:created>
  <dcterms:modified xsi:type="dcterms:W3CDTF">2026-07-14T07:30:07.614Z</dcterms:modified>
</cp:coreProperties>
</file>

<file path=docProps/custom.xml><?xml version="1.0" encoding="utf-8"?>
<Properties xmlns="http://schemas.openxmlformats.org/officeDocument/2006/custom-properties" xmlns:vt="http://schemas.openxmlformats.org/officeDocument/2006/docPropsVTypes"/>
</file>