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9525"/>
      </w:tblGrid>
      <w:tr>
        <w:tc>
          <w:tcPr>
            <w:tcW w:type="dxa" w:w="7597"/>
            <w:vAlign w:val="center"/>
            <w:shd w:fill="FFF200"/>
            <w:tcMar>
              <w:top w:w="35" w:type="dxa"/>
              <w:start w:w="70" w:type="dxa"/>
              <w:bottom w:w="35" w:type="dxa"/>
              <w:end w:w="70" w:type="dxa"/>
            </w:tcMar>
          </w:tcPr>
          <w:p>
            <w:pPr>
              <w:keepNext w:val="0"/>
              <w:spacing w:before="0" w:after="0" w:line="240" w:lineRule="auto"/>
              <w:ind w:left="0" w:firstLine="0"/>
              <w:jc w:val="center"/>
            </w:pPr>
            <w:r>
              <w:rPr>
                <w:rFonts w:ascii="Times New Roman" w:hAnsi="Times New Roman" w:eastAsia="Times New Roman"/>
                <w:b/>
                <w:i w:val="0"/>
                <w:color w:val="000000"/>
                <w:sz w:val="22"/>
              </w:rPr>
              <w:t>10.Đồ án 10. Xây dựng công cụ hỗ trợ phân tích phụ thuộc</w:t>
              <w:br/>
              <w:t>hàm và chuẩn hóa, áp dụng cho CSDL quản lý đào tạo</w:t>
            </w:r>
          </w:p>
        </w:tc>
      </w:tr>
    </w:tbl>
    <w:p>
      <w:pPr>
        <w:keepNext w:val="0"/>
        <w:spacing w:before="100" w:after="240" w:line="240" w:lineRule="auto"/>
        <w:ind w:left="0" w:firstLine="0"/>
        <w:jc w:val="center"/>
      </w:pPr>
      <w:r>
        <w:rPr>
          <w:rFonts w:ascii="Times New Roman" w:hAnsi="Times New Roman" w:eastAsia="Times New Roman"/>
          <w:b/>
          <w:i w:val="0"/>
          <w:color w:val="000000"/>
          <w:sz w:val="24"/>
        </w:rPr>
        <w:t>10.Đồ án 10. Xây dựng công cụ hỗ trợ phân tích phụ thuộc hàm và chuẩn hóa,</w:t>
        <w:br/>
        <w:t>áp dụng cho CSDL quản lý đào tạo</w:t>
      </w:r>
    </w:p>
    <w:p>
      <w:pPr>
        <w:keepNext w:val="0"/>
        <w:spacing w:before="0" w:after="200" w:line="240" w:lineRule="auto"/>
        <w:ind w:left="0" w:firstLine="0"/>
        <w:jc w:val="both"/>
      </w:pPr>
      <w:r>
        <w:rPr>
          <w:rFonts w:ascii="Times New Roman" w:hAnsi="Times New Roman" w:eastAsia="Times New Roman"/>
          <w:b/>
          <w:i w:val="0"/>
          <w:color w:val="000000"/>
          <w:sz w:val="22"/>
        </w:rPr>
        <w:t xml:space="preserve">Bài toán: </w:t>
      </w:r>
      <w:r>
        <w:rPr>
          <w:rFonts w:ascii="Times New Roman" w:hAnsi="Times New Roman" w:eastAsia="Times New Roman"/>
          <w:b w:val="0"/>
          <w:i w:val="0"/>
          <w:color w:val="000000"/>
          <w:sz w:val="22"/>
        </w:rPr>
        <w:t>Xây dựng phần mềm (web hoặc desktop) nhận đầu vào là lược đồ quan hệ và tập phụ thuộc hàm, sau đó tự động tính toán các kết quả của lý thuyết thiết kế CSDL. Nhóm dùng chính công cụ này để thiết kế CSDL quản lý đào tạo của một trường đại học (sinh viên, học phần, lớp học phần, đăng ký, điểm, giảng viên, phòng học).</w:t>
      </w:r>
    </w:p>
    <w:p>
      <w:pPr>
        <w:keepNext/>
        <w:spacing w:before="0" w:after="160" w:line="240" w:lineRule="auto"/>
        <w:ind w:left="0" w:firstLine="0"/>
        <w:jc w:val="both"/>
      </w:pPr>
      <w:r>
        <w:rPr>
          <w:rFonts w:ascii="Times New Roman" w:hAnsi="Times New Roman" w:eastAsia="Times New Roman"/>
          <w:b/>
          <w:i w:val="0"/>
          <w:color w:val="000000"/>
          <w:sz w:val="22"/>
        </w:rPr>
        <w:t>Chức năng tối thiểu của công cụ:</w:t>
      </w:r>
    </w:p>
    <w:p>
      <w:pPr>
        <w:pStyle w:val="ListBullet"/>
        <w:keepNext w:val="0"/>
        <w:spacing w:before="0" w:after="40" w:line="240" w:lineRule="auto"/>
        <w:ind w:left="369" w:hanging="113"/>
        <w:jc w:val="both"/>
      </w:pPr>
      <w:r>
        <w:rPr>
          <w:rFonts w:ascii="Times New Roman" w:hAnsi="Times New Roman" w:eastAsia="Times New Roman"/>
          <w:b w:val="0"/>
          <w:i w:val="0"/>
          <w:color w:val="000000"/>
          <w:sz w:val="22"/>
        </w:rPr>
        <w:t>Tính bao đóng của tập thuộc tính và kiểm tra một phụ thuộc hàm có được suy ra từ tập đã cho hay không.</w:t>
      </w:r>
    </w:p>
    <w:p>
      <w:pPr>
        <w:pStyle w:val="ListBullet"/>
        <w:keepNext w:val="0"/>
        <w:spacing w:before="0" w:after="40" w:line="240" w:lineRule="auto"/>
        <w:ind w:left="369" w:hanging="113"/>
        <w:jc w:val="both"/>
      </w:pPr>
      <w:r>
        <w:rPr>
          <w:rFonts w:ascii="Times New Roman" w:hAnsi="Times New Roman" w:eastAsia="Times New Roman"/>
          <w:b w:val="0"/>
          <w:i w:val="0"/>
          <w:color w:val="000000"/>
          <w:sz w:val="22"/>
        </w:rPr>
        <w:t>Kiểm tra hai tập phụ thuộc hàm có tương đương không, và tìm phủ tối thiểu.</w:t>
      </w:r>
    </w:p>
    <w:p>
      <w:pPr>
        <w:pStyle w:val="ListBullet"/>
        <w:keepNext w:val="0"/>
        <w:spacing w:before="0" w:after="40" w:line="240" w:lineRule="auto"/>
        <w:ind w:left="369" w:hanging="113"/>
        <w:jc w:val="both"/>
      </w:pPr>
      <w:r>
        <w:rPr>
          <w:rFonts w:ascii="Times New Roman" w:hAnsi="Times New Roman" w:eastAsia="Times New Roman"/>
          <w:b w:val="0"/>
          <w:i w:val="0"/>
          <w:color w:val="000000"/>
          <w:sz w:val="22"/>
        </w:rPr>
        <w:t>Tìm tất cả khóa và siêu khóa (thuật toán dựa trên tập thuộc tính nguồn, đích và trung gian).</w:t>
      </w:r>
    </w:p>
    <w:p>
      <w:pPr>
        <w:pStyle w:val="ListBullet"/>
        <w:keepNext w:val="0"/>
        <w:spacing w:before="0" w:after="40" w:line="240" w:lineRule="auto"/>
        <w:ind w:left="369" w:hanging="113"/>
        <w:jc w:val="both"/>
      </w:pPr>
      <w:r>
        <w:rPr>
          <w:rFonts w:ascii="Times New Roman" w:hAnsi="Times New Roman" w:eastAsia="Times New Roman"/>
          <w:b w:val="0"/>
          <w:i w:val="0"/>
          <w:color w:val="000000"/>
          <w:sz w:val="22"/>
        </w:rPr>
        <w:t>Xác định dạng chuẩn cao nhất của lược đồ (1NF, 2NF, 3NF, BCNF).</w:t>
      </w:r>
    </w:p>
    <w:p>
      <w:pPr>
        <w:pStyle w:val="ListBullet"/>
        <w:keepNext w:val="0"/>
        <w:spacing w:before="0" w:after="40" w:line="240" w:lineRule="auto"/>
        <w:ind w:left="369" w:hanging="113"/>
        <w:jc w:val="both"/>
      </w:pPr>
      <w:r>
        <w:rPr>
          <w:rFonts w:ascii="Times New Roman" w:hAnsi="Times New Roman" w:eastAsia="Times New Roman"/>
          <w:b w:val="0"/>
          <w:i w:val="0"/>
          <w:color w:val="000000"/>
          <w:sz w:val="22"/>
        </w:rPr>
        <w:t>Phân rã về 3NF bằng thuật toán tổng hợp (bảo toàn phụ thuộc và thông tin) và về BCNF, kèm kiểm tra lossless join bằng phương pháp bảng (chase).</w:t>
      </w:r>
    </w:p>
    <w:p>
      <w:pPr>
        <w:pStyle w:val="ListBullet"/>
        <w:keepNext w:val="0"/>
        <w:spacing w:before="0" w:after="40" w:line="240" w:lineRule="auto"/>
        <w:ind w:left="369" w:hanging="113"/>
        <w:jc w:val="both"/>
      </w:pPr>
      <w:r>
        <w:rPr>
          <w:rFonts w:ascii="Times New Roman" w:hAnsi="Times New Roman" w:eastAsia="Times New Roman"/>
          <w:b w:val="0"/>
          <w:i w:val="0"/>
          <w:color w:val="000000"/>
          <w:sz w:val="22"/>
        </w:rPr>
        <w:t>Hiển thị từng bước giải để dùng như công cụ học tập.</w:t>
      </w:r>
    </w:p>
    <w:p>
      <w:pPr>
        <w:keepNext/>
        <w:spacing w:before="160" w:after="140" w:line="240" w:lineRule="auto"/>
        <w:ind w:left="0" w:firstLine="0"/>
        <w:jc w:val="both"/>
      </w:pPr>
      <w:r>
        <w:rPr>
          <w:rFonts w:ascii="Times New Roman" w:hAnsi="Times New Roman" w:eastAsia="Times New Roman"/>
          <w:b/>
          <w:i w:val="0"/>
          <w:color w:val="000000"/>
          <w:sz w:val="22"/>
        </w:rPr>
        <w:t>Các bước nghiên cứu gợi ý:</w:t>
      </w:r>
    </w:p>
    <w:p>
      <w:pPr>
        <w:keepNext w:val="0"/>
        <w:spacing w:before="0" w:after="40" w:line="240" w:lineRule="auto"/>
        <w:ind w:left="369" w:hanging="312"/>
        <w:jc w:val="both"/>
      </w:pPr>
      <w:r>
        <w:rPr>
          <w:rFonts w:ascii="Times New Roman" w:hAnsi="Times New Roman" w:eastAsia="Times New Roman"/>
          <w:b w:val="0"/>
          <w:i w:val="0"/>
          <w:color w:val="000000"/>
          <w:sz w:val="22"/>
        </w:rPr>
        <w:t>1.</w:t>
      </w:r>
      <w:r>
        <w:tab/>
      </w:r>
      <w:r>
        <w:rPr>
          <w:rFonts w:ascii="Times New Roman" w:hAnsi="Times New Roman" w:eastAsia="Times New Roman"/>
          <w:b w:val="0"/>
          <w:i w:val="0"/>
          <w:color w:val="000000"/>
          <w:sz w:val="22"/>
        </w:rPr>
        <w:t>Tổng hợp lý thuyết: hệ tiên đề Armstrong, các thuật toán bao đóng, phủ tối thiểu, tìm khóa, phân rã. Viết mã giả cho từng thuật toán.</w:t>
      </w:r>
    </w:p>
    <w:p>
      <w:pPr>
        <w:keepNext w:val="0"/>
        <w:spacing w:before="0" w:after="40" w:line="240" w:lineRule="auto"/>
        <w:ind w:left="369" w:hanging="312"/>
        <w:jc w:val="both"/>
      </w:pPr>
      <w:r>
        <w:rPr>
          <w:rFonts w:ascii="Times New Roman" w:hAnsi="Times New Roman" w:eastAsia="Times New Roman"/>
          <w:b w:val="0"/>
          <w:i w:val="0"/>
          <w:color w:val="000000"/>
          <w:sz w:val="22"/>
        </w:rPr>
        <w:t>2.</w:t>
      </w:r>
      <w:r>
        <w:tab/>
      </w:r>
      <w:r>
        <w:rPr>
          <w:rFonts w:ascii="Times New Roman" w:hAnsi="Times New Roman" w:eastAsia="Times New Roman"/>
          <w:b w:val="0"/>
          <w:i w:val="0"/>
          <w:color w:val="000000"/>
          <w:sz w:val="22"/>
        </w:rPr>
        <w:t>Phân tích độ phức tạp, đặc biệt là bài toán tìm tất cả khóa có độ phức tạp hàm mũ, và đề xuất cách tối ưu.</w:t>
      </w:r>
    </w:p>
    <w:p>
      <w:pPr>
        <w:keepNext w:val="0"/>
        <w:spacing w:before="0" w:after="40" w:line="240" w:lineRule="auto"/>
        <w:ind w:left="369" w:hanging="312"/>
        <w:jc w:val="both"/>
      </w:pPr>
      <w:r>
        <w:rPr>
          <w:rFonts w:ascii="Times New Roman" w:hAnsi="Times New Roman" w:eastAsia="Times New Roman"/>
          <w:b w:val="0"/>
          <w:i w:val="0"/>
          <w:color w:val="000000"/>
          <w:sz w:val="22"/>
        </w:rPr>
        <w:t>3.</w:t>
      </w:r>
      <w:r>
        <w:tab/>
      </w:r>
      <w:r>
        <w:rPr>
          <w:rFonts w:ascii="Times New Roman" w:hAnsi="Times New Roman" w:eastAsia="Times New Roman"/>
          <w:b w:val="0"/>
          <w:i w:val="0"/>
          <w:color w:val="000000"/>
          <w:sz w:val="22"/>
        </w:rPr>
        <w:t>Lập trình bằng Python, Java hoặc JavaScript, có giao diện nhập liệu và kiểm thử đơn vị bằng các bài tập trong giáo trình.</w:t>
      </w:r>
    </w:p>
    <w:p>
      <w:pPr>
        <w:keepNext w:val="0"/>
        <w:spacing w:before="0" w:after="40" w:line="240" w:lineRule="auto"/>
        <w:ind w:left="369" w:hanging="312"/>
        <w:jc w:val="both"/>
      </w:pPr>
      <w:r>
        <w:rPr>
          <w:rFonts w:ascii="Times New Roman" w:hAnsi="Times New Roman" w:eastAsia="Times New Roman"/>
          <w:b w:val="0"/>
          <w:i w:val="0"/>
          <w:color w:val="000000"/>
          <w:sz w:val="22"/>
        </w:rPr>
        <w:t>4.</w:t>
      </w:r>
      <w:r>
        <w:tab/>
      </w:r>
      <w:r>
        <w:rPr>
          <w:rFonts w:ascii="Times New Roman" w:hAnsi="Times New Roman" w:eastAsia="Times New Roman"/>
          <w:b w:val="0"/>
          <w:i w:val="0"/>
          <w:color w:val="000000"/>
          <w:sz w:val="22"/>
        </w:rPr>
        <w:t>Áp dụng công cụ vào bài toán quản lý đào tạo: thu thập phụ thuộc hàm từ quy chế đào tạo, chuẩn hóa, cài đặt CSDL và viết truy vấn.</w:t>
      </w:r>
    </w:p>
    <w:p>
      <w:r>
        <w:br w:type="page"/>
      </w:r>
    </w:p>
    <w:p>
      <w:pPr>
        <w:keepNext w:val="0"/>
        <w:spacing w:before="0" w:after="40" w:line="240" w:lineRule="auto"/>
        <w:ind w:left="369" w:hanging="312"/>
        <w:jc w:val="both"/>
      </w:pPr>
      <w:r>
        <w:rPr>
          <w:rFonts w:ascii="Times New Roman" w:hAnsi="Times New Roman" w:eastAsia="Times New Roman"/>
          <w:b w:val="0"/>
          <w:i w:val="0"/>
          <w:color w:val="000000"/>
          <w:sz w:val="22"/>
        </w:rPr>
        <w:t>5.</w:t>
      </w:r>
      <w:r>
        <w:tab/>
      </w:r>
      <w:r>
        <w:rPr>
          <w:rFonts w:ascii="Times New Roman" w:hAnsi="Times New Roman" w:eastAsia="Times New Roman"/>
          <w:b w:val="0"/>
          <w:i w:val="0"/>
          <w:color w:val="000000"/>
          <w:sz w:val="22"/>
        </w:rPr>
        <w:t>Đánh giá độ chính xác bằng cách so sánh với lời giải tay, và đánh giá thời gian chạy khi số thuộc tính tăng.</w:t>
      </w:r>
    </w:p>
    <w:p>
      <w:pPr>
        <w:keepNext/>
        <w:spacing w:before="200" w:after="160" w:line="240" w:lineRule="auto"/>
        <w:ind w:left="0" w:firstLine="0"/>
        <w:jc w:val="both"/>
      </w:pPr>
      <w:r>
        <w:rPr>
          <w:rFonts w:ascii="Times New Roman" w:hAnsi="Times New Roman" w:eastAsia="Times New Roman"/>
          <w:b/>
          <w:i w:val="0"/>
          <w:color w:val="000000"/>
          <w:sz w:val="22"/>
        </w:rPr>
        <w:t>Tài liệu tham khảo:</w:t>
      </w:r>
    </w:p>
    <w:p>
      <w:pPr>
        <w:pStyle w:val="ListBullet"/>
        <w:keepNext w:val="0"/>
        <w:spacing w:before="0" w:after="40" w:line="240" w:lineRule="auto"/>
        <w:ind w:left="369" w:hanging="113"/>
        <w:jc w:val="both"/>
      </w:pPr>
      <w:r>
        <w:rPr>
          <w:rFonts w:ascii="Times New Roman" w:hAnsi="Times New Roman" w:eastAsia="Times New Roman"/>
          <w:b w:val="0"/>
          <w:i w:val="0"/>
          <w:color w:val="000000"/>
          <w:sz w:val="22"/>
        </w:rPr>
        <w:t>Elmasri &amp; Navathe, chương 14 (cơ sở lý thuyết của phụ thuộc hàm và chuẩn hóa) và chương 15 (các thuật toán thiết kế quan hệ, phụ thuộc đa trị, 4NF).</w:t>
      </w:r>
    </w:p>
    <w:p>
      <w:pPr>
        <w:pStyle w:val="ListBullet"/>
        <w:keepNext w:val="0"/>
        <w:spacing w:before="0" w:after="40" w:line="240" w:lineRule="auto"/>
        <w:ind w:left="369" w:hanging="113"/>
        <w:jc w:val="both"/>
      </w:pPr>
      <w:r>
        <w:rPr>
          <w:rFonts w:ascii="Times New Roman" w:hAnsi="Times New Roman" w:eastAsia="Times New Roman"/>
          <w:b w:val="0"/>
          <w:i w:val="0"/>
          <w:color w:val="000000"/>
          <w:sz w:val="22"/>
        </w:rPr>
        <w:t>Silberschatz, chương 7 (Relational Database Design).</w:t>
      </w:r>
    </w:p>
    <w:p>
      <w:pPr>
        <w:pStyle w:val="ListBullet"/>
        <w:keepNext w:val="0"/>
        <w:spacing w:before="0" w:after="40" w:line="240" w:lineRule="auto"/>
        <w:ind w:left="369" w:hanging="113"/>
        <w:jc w:val="left"/>
      </w:pPr>
      <w:r>
        <w:rPr>
          <w:rFonts w:ascii="Times New Roman" w:hAnsi="Times New Roman" w:eastAsia="Times New Roman"/>
          <w:b w:val="0"/>
          <w:i w:val="0"/>
          <w:color w:val="000000"/>
          <w:sz w:val="22"/>
        </w:rPr>
        <w:t xml:space="preserve">E.F. Codd (1970), A Relational Model of Data for Large Shared Data Banks: </w:t>
      </w:r>
      <w:hyperlink r:id="rId9">
        <w:r>
          <w:rPr>
            <w:rFonts w:ascii="Times New Roman" w:hAnsi="Times New Roman" w:eastAsia="Times New Roman"/>
            <w:color w:val="0000FF"/>
            <w:u w:val="single"/>
            <w:sz w:val="22"/>
          </w:rPr>
          <w:t>https://dl.acm.org/doi/10.1145/362384.362685</w:t>
        </w:r>
      </w:hyperlink>
    </w:p>
    <w:p>
      <w:pPr>
        <w:pStyle w:val="ListBullet"/>
        <w:keepNext w:val="0"/>
        <w:spacing w:before="0" w:after="40" w:line="240" w:lineRule="auto"/>
        <w:ind w:left="369" w:hanging="113"/>
        <w:jc w:val="left"/>
      </w:pPr>
      <w:r>
        <w:rPr>
          <w:rFonts w:ascii="Times New Roman" w:hAnsi="Times New Roman" w:eastAsia="Times New Roman"/>
          <w:b w:val="0"/>
          <w:i w:val="0"/>
          <w:color w:val="000000"/>
          <w:sz w:val="22"/>
        </w:rPr>
        <w:t xml:space="preserve">W. Kent, A Simple Guide to Five Normal Forms: </w:t>
      </w:r>
      <w:hyperlink r:id="rId10">
        <w:r>
          <w:rPr>
            <w:rFonts w:ascii="Times New Roman" w:hAnsi="Times New Roman" w:eastAsia="Times New Roman"/>
            <w:color w:val="0000FF"/>
            <w:u w:val="single"/>
            <w:sz w:val="22"/>
          </w:rPr>
          <w:t>https://www.bkent.net/Doc/simple5.htm</w:t>
        </w:r>
      </w:hyperlink>
    </w:p>
    <w:p>
      <w:pPr>
        <w:pStyle w:val="ListBullet"/>
        <w:keepNext w:val="0"/>
        <w:spacing w:before="0" w:after="40" w:line="240" w:lineRule="auto"/>
        <w:ind w:left="369" w:hanging="113"/>
        <w:jc w:val="left"/>
      </w:pPr>
      <w:r>
        <w:rPr>
          <w:rFonts w:ascii="Times New Roman" w:hAnsi="Times New Roman" w:eastAsia="Times New Roman"/>
          <w:b w:val="0"/>
          <w:i w:val="0"/>
          <w:color w:val="000000"/>
          <w:sz w:val="22"/>
        </w:rPr>
        <w:t xml:space="preserve">Bài giảng CMU 15-445 về Normal Forms/Database Design: </w:t>
      </w:r>
      <w:hyperlink r:id="rId11">
        <w:r>
          <w:rPr>
            <w:rFonts w:ascii="Times New Roman" w:hAnsi="Times New Roman" w:eastAsia="Times New Roman"/>
            <w:color w:val="0000FF"/>
            <w:u w:val="single"/>
            <w:sz w:val="22"/>
          </w:rPr>
          <w:t>https://15445.courses.cs.cmu.edu/</w:t>
        </w:r>
      </w:hyperlink>
    </w:p>
    <w:sectPr w:rsidR="00FC693F" w:rsidRPr="0006063C" w:rsidSect="00034616">
      <w:pgSz w:w="11906" w:h="16838"/>
      <w:pgMar w:top="312" w:right="1049" w:bottom="850"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l.acm.org/doi/10.1145/362384.362685" TargetMode="External"/><Relationship Id="rId10" Type="http://schemas.openxmlformats.org/officeDocument/2006/relationships/hyperlink" Target="https://www.bkent.net/Doc/simple5.htm" TargetMode="External"/><Relationship Id="rId11" Type="http://schemas.openxmlformats.org/officeDocument/2006/relationships/hyperlink" Target="https://15445.courses.cs.c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