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before="0" w:after="0"/>
        <w:jc w:val="center"/>
      </w:pPr>
      <w:r>
        <w:t>「実船計測及び海象予測に基づいた荷重／強度評価技術に関する研究」</w:t>
        <w:br/>
        <w:t>対象船のデータ取得状況</w:t>
      </w:r>
    </w:p>
    <w:p>
      <w:pPr>
        <w:spacing w:before="0" w:after="0"/>
        <w:jc w:val="right"/>
      </w:pPr>
      <w:r>
        <w:t>2021 年2 月1 日</w:t>
        <w:br/>
        <w:t>日本シップヤード株式会社</w:t>
      </w:r>
    </w:p>
    <w:p>
      <w:pPr>
        <w:spacing w:before="0" w:after="0"/>
        <w:jc w:val="left"/>
      </w:pPr>
      <w:r>
        <w:t>1. 構造モニタリングデータ取得状況</w:t>
      </w:r>
    </w:p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2032"/>
        <w:gridCol w:w="2032"/>
        <w:gridCol w:w="2032"/>
        <w:gridCol w:w="2032"/>
        <w:gridCol w:w="2032"/>
      </w:tblGrid>
      <w:tr>
        <w:tc>
          <w:tcPr>
            <w:tcW w:type="dxa" w:w="567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No.</w:t>
            </w:r>
          </w:p>
        </w:tc>
        <w:tc>
          <w:tcPr>
            <w:tcW w:type="dxa" w:w="3175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データ名</w:t>
            </w:r>
          </w:p>
        </w:tc>
        <w:tc>
          <w:tcPr>
            <w:tcW w:type="dxa" w:w="2032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S.No.5215</w:t>
            </w:r>
          </w:p>
        </w:tc>
        <w:tc>
          <w:tcPr>
            <w:tcW w:type="dxa" w:w="2032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S.No.5167</w:t>
            </w:r>
          </w:p>
        </w:tc>
        <w:tc>
          <w:tcPr>
            <w:tcW w:type="dxa" w:w="2032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S.No.5276</w:t>
            </w:r>
          </w:p>
        </w:tc>
      </w:tr>
      <w:tr>
        <w:tc>
          <w:tcPr>
            <w:tcW w:type="dxa" w:w="567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1</w:t>
            </w:r>
          </w:p>
        </w:tc>
        <w:tc>
          <w:tcPr>
            <w:tcW w:type="dxa" w:w="2126"/>
          </w:tcPr>
          <w:p>
            <w:pPr>
              <w:jc w:val="left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運航</w:t>
            </w:r>
          </w:p>
        </w:tc>
        <w:tc>
          <w:tcPr>
            <w:tcW w:type="dxa" w:w="2126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○</w:t>
            </w:r>
          </w:p>
        </w:tc>
        <w:tc>
          <w:tcPr>
            <w:tcW w:type="dxa" w:w="2126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○</w:t>
            </w:r>
          </w:p>
        </w:tc>
        <w:tc>
          <w:tcPr>
            <w:tcW w:type="dxa" w:w="2126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―</w:t>
            </w:r>
          </w:p>
        </w:tc>
      </w:tr>
      <w:tr>
        <w:tc>
          <w:tcPr>
            <w:tcW w:type="dxa" w:w="567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2</w:t>
            </w:r>
          </w:p>
        </w:tc>
        <w:tc>
          <w:tcPr>
            <w:tcW w:type="dxa" w:w="2126"/>
          </w:tcPr>
          <w:p>
            <w:pPr>
              <w:jc w:val="left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積付</w:t>
            </w:r>
          </w:p>
        </w:tc>
        <w:tc>
          <w:tcPr>
            <w:tcW w:type="dxa" w:w="2126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×</w:t>
            </w:r>
          </w:p>
        </w:tc>
        <w:tc>
          <w:tcPr>
            <w:tcW w:type="dxa" w:w="2126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×</w:t>
            </w:r>
          </w:p>
        </w:tc>
        <w:tc>
          <w:tcPr>
            <w:tcW w:type="dxa" w:w="2126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―</w:t>
            </w:r>
          </w:p>
        </w:tc>
      </w:tr>
      <w:tr>
        <w:tc>
          <w:tcPr>
            <w:tcW w:type="dxa" w:w="567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3</w:t>
            </w:r>
          </w:p>
        </w:tc>
        <w:tc>
          <w:tcPr>
            <w:tcW w:type="dxa" w:w="2126"/>
          </w:tcPr>
          <w:p>
            <w:pPr>
              <w:jc w:val="left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センサー（応力）</w:t>
            </w:r>
          </w:p>
        </w:tc>
        <w:tc>
          <w:tcPr>
            <w:tcW w:type="dxa" w:w="2126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○</w:t>
            </w:r>
          </w:p>
        </w:tc>
        <w:tc>
          <w:tcPr>
            <w:tcW w:type="dxa" w:w="2126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○</w:t>
            </w:r>
          </w:p>
        </w:tc>
        <w:tc>
          <w:tcPr>
            <w:tcW w:type="dxa" w:w="2126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―</w:t>
            </w:r>
          </w:p>
        </w:tc>
      </w:tr>
      <w:tr>
        <w:tc>
          <w:tcPr>
            <w:tcW w:type="dxa" w:w="567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4</w:t>
            </w:r>
          </w:p>
        </w:tc>
        <w:tc>
          <w:tcPr>
            <w:tcW w:type="dxa" w:w="2126"/>
          </w:tcPr>
          <w:p>
            <w:pPr>
              <w:jc w:val="left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センサー（レインフロー）</w:t>
            </w:r>
          </w:p>
        </w:tc>
        <w:tc>
          <w:tcPr>
            <w:tcW w:type="dxa" w:w="2126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○</w:t>
            </w:r>
          </w:p>
        </w:tc>
        <w:tc>
          <w:tcPr>
            <w:tcW w:type="dxa" w:w="2126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○</w:t>
            </w:r>
          </w:p>
        </w:tc>
        <w:tc>
          <w:tcPr>
            <w:tcW w:type="dxa" w:w="2126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―</w:t>
            </w:r>
          </w:p>
        </w:tc>
      </w:tr>
      <w:tr>
        <w:tc>
          <w:tcPr>
            <w:tcW w:type="dxa" w:w="567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5</w:t>
            </w:r>
          </w:p>
        </w:tc>
        <w:tc>
          <w:tcPr>
            <w:tcW w:type="dxa" w:w="2126"/>
          </w:tcPr>
          <w:p>
            <w:pPr>
              <w:jc w:val="left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センサー（加速度）</w:t>
            </w:r>
          </w:p>
        </w:tc>
        <w:tc>
          <w:tcPr>
            <w:tcW w:type="dxa" w:w="2126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○</w:t>
            </w:r>
          </w:p>
        </w:tc>
        <w:tc>
          <w:tcPr>
            <w:tcW w:type="dxa" w:w="2126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○</w:t>
            </w:r>
          </w:p>
        </w:tc>
        <w:tc>
          <w:tcPr>
            <w:tcW w:type="dxa" w:w="2126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―</w:t>
            </w:r>
          </w:p>
        </w:tc>
      </w:tr>
      <w:tr>
        <w:tc>
          <w:tcPr>
            <w:tcW w:type="dxa" w:w="567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6</w:t>
            </w:r>
          </w:p>
        </w:tc>
        <w:tc>
          <w:tcPr>
            <w:tcW w:type="dxa" w:w="2126"/>
          </w:tcPr>
          <w:p>
            <w:pPr>
              <w:jc w:val="left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センサー（運動）</w:t>
            </w:r>
          </w:p>
        </w:tc>
        <w:tc>
          <w:tcPr>
            <w:tcW w:type="dxa" w:w="2126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△（要ノイズ除去）</w:t>
            </w:r>
          </w:p>
        </w:tc>
        <w:tc>
          <w:tcPr>
            <w:tcW w:type="dxa" w:w="2126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○</w:t>
            </w:r>
          </w:p>
        </w:tc>
        <w:tc>
          <w:tcPr>
            <w:tcW w:type="dxa" w:w="2126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―</w:t>
            </w:r>
          </w:p>
        </w:tc>
      </w:tr>
      <w:tr>
        <w:tc>
          <w:tcPr>
            <w:tcW w:type="dxa" w:w="567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7</w:t>
            </w:r>
          </w:p>
        </w:tc>
        <w:tc>
          <w:tcPr>
            <w:tcW w:type="dxa" w:w="2126"/>
          </w:tcPr>
          <w:p>
            <w:pPr>
              <w:jc w:val="left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波浪レーダー</w:t>
            </w:r>
          </w:p>
        </w:tc>
        <w:tc>
          <w:tcPr>
            <w:tcW w:type="dxa" w:w="2126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未搭載</w:t>
            </w:r>
          </w:p>
        </w:tc>
        <w:tc>
          <w:tcPr>
            <w:tcW w:type="dxa" w:w="2126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○</w:t>
            </w:r>
          </w:p>
        </w:tc>
        <w:tc>
          <w:tcPr>
            <w:tcW w:type="dxa" w:w="2126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搭載予定</w:t>
            </w:r>
          </w:p>
        </w:tc>
      </w:tr>
      <w:tr>
        <w:tc>
          <w:tcPr>
            <w:tcW w:type="dxa" w:w="567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8</w:t>
            </w:r>
          </w:p>
        </w:tc>
        <w:tc>
          <w:tcPr>
            <w:tcW w:type="dxa" w:w="2126"/>
          </w:tcPr>
          <w:p>
            <w:pPr>
              <w:jc w:val="left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海象予報値</w:t>
            </w:r>
          </w:p>
        </w:tc>
        <w:tc>
          <w:tcPr>
            <w:tcW w:type="dxa" w:w="2126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△（SN2 準備中）</w:t>
            </w:r>
          </w:p>
        </w:tc>
        <w:tc>
          <w:tcPr>
            <w:tcW w:type="dxa" w:w="2126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△（SN2 準備中）</w:t>
            </w:r>
          </w:p>
        </w:tc>
        <w:tc>
          <w:tcPr>
            <w:tcW w:type="dxa" w:w="2126"/>
          </w:tcPr>
          <w:p>
            <w:pPr>
              <w:jc w:val="center"/>
            </w:pPr>
            <w:r>
              <w:rPr>
                <w:rFonts w:ascii="Meiryo UI" w:hAnsi="Meiryo UI"/>
                <w:b w:val="0"/>
                <w:i w:val="0"/>
                <w:caps w:val="0"/>
                <w:sz w:val="21"/>
                <w:u w:val="none"/>
              </w:rPr>
              <w:t>―</w:t>
            </w:r>
          </w:p>
        </w:tc>
      </w:tr>
    </w:tbl>
    <w:p>
      <w:pPr>
        <w:spacing w:before="0" w:after="0"/>
        <w:jc w:val="left"/>
      </w:pPr>
      <w:r>
        <w:br/>
        <w:t>以下にS.No.5167 の2020 年12 月分の取得データを示す。</w:t>
        <w:br/>
      </w:r>
    </w:p>
    <w:p>
      <w:pPr>
        <w:spacing w:before="0" w:after="0"/>
        <w:jc w:val="left"/>
      </w:pPr>
      <w:r>
        <w:t>2. 航路</w:t>
      </w:r>
    </w:p>
    <w:p>
      <w:pPr>
        <w:spacing w:before="0" w:after="0"/>
        <w:jc w:val="left"/>
      </w:pPr>
      <w:r>
        <w:t xml:space="preserve"> S.No.5167の就航後の航路を図1 に示す。図中の色の淡い方から濃い方に向けて本船が航行している。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288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p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28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図1 航路</w:t>
      </w:r>
    </w:p>
    <w:p>
      <w:r>
        <w:br w:type="page"/>
      </w:r>
    </w:p>
    <w:p>
      <w:pPr>
        <w:spacing w:before="0" w:after="0"/>
        <w:jc w:val="left"/>
      </w:pPr>
      <w:r>
        <w:t>3. 応力</w:t>
      </w:r>
    </w:p>
    <w:p>
      <w:pPr>
        <w:spacing w:before="0" w:after="0"/>
        <w:jc w:val="left"/>
      </w:pPr>
      <w:r>
        <w:t xml:space="preserve"> 計測した応力時系列を図２に示す。図中の青線が20 分平均値、誤差範囲として20 分標準偏差をプロットしている。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1.　DFP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2.　DFS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2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3.　SFP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3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4.　SFS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3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5.　DMP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3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6.　DMS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3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7.　SMP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3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8.　SMS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3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9.　DAP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3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10.　DAS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37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11.　SAP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38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12.　SAS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39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13.　L21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4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14.　L22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15.　L23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4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16.　L24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5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17.　L25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6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18.　L41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7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19.　L42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8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20.　L43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9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21.　L44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1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22.　L45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11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23.　L46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12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24.　L47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13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25.　L48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14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26.　L49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15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27.　L410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16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28.　L51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17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29.　L52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18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30.　L53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19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31.　L54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2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32.　L55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21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33.　L56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22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34.　L57</w:t>
        <w:br/>
      </w:r>
    </w:p>
    <w:p>
      <w:pPr>
        <w:spacing w:before="0" w:after="0"/>
        <w:jc w:val="center"/>
      </w:pPr>
      <w:r>
        <w:t>図2 計測応力時系列</w:t>
      </w:r>
    </w:p>
    <w:p>
      <w:r>
        <w:br w:type="page"/>
      </w:r>
    </w:p>
    <w:p>
      <w:pPr>
        <w:spacing w:before="0" w:after="0"/>
        <w:jc w:val="left"/>
      </w:pPr>
      <w:r>
        <w:t>4. 加速度</w:t>
      </w:r>
    </w:p>
    <w:p>
      <w:pPr>
        <w:spacing w:before="0" w:after="0"/>
        <w:jc w:val="left"/>
      </w:pPr>
      <w:r>
        <w:t xml:space="preserve"> 計測した加速度時系列を図3 に示す。図中の青線が20 平均値、誤差範囲として20 標準偏差をプロットしている。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23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35.　AFx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24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36.　AFy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25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37.　AFz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26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38.　AAx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27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39.　AAy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Stress-28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40.　AAz</w:t>
        <w:br/>
      </w:r>
    </w:p>
    <w:p>
      <w:pPr>
        <w:spacing w:before="0" w:after="0"/>
        <w:jc w:val="center"/>
      </w:pPr>
      <w:r>
        <w:t>図3 計測加速度時系列</w:t>
      </w:r>
    </w:p>
    <w:p>
      <w:r>
        <w:br w:type="page"/>
      </w:r>
    </w:p>
    <w:p>
      <w:pPr>
        <w:spacing w:before="0" w:after="0"/>
        <w:jc w:val="left"/>
      </w:pPr>
      <w:r>
        <w:t>5. 運動</w:t>
      </w:r>
    </w:p>
    <w:p>
      <w:pPr>
        <w:spacing w:before="0" w:after="0"/>
        <w:jc w:val="left"/>
      </w:pPr>
      <w:r>
        <w:t xml:space="preserve"> ジャイロで計測したRoll とPitch の20 最大値をプロットしたものを図４に示す。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Gyro-1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41.　Roll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Gyro-2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42.　Pitch</w:t>
        <w:br/>
      </w:r>
    </w:p>
    <w:p>
      <w:pPr>
        <w:spacing w:before="0" w:after="0"/>
        <w:jc w:val="center"/>
      </w:pPr>
      <w:r>
        <w:t>図4 運動時系列</w:t>
      </w:r>
    </w:p>
    <w:p>
      <w:r>
        <w:br w:type="page"/>
      </w:r>
    </w:p>
    <w:p>
      <w:pPr>
        <w:spacing w:before="0" w:after="0"/>
        <w:jc w:val="left"/>
      </w:pPr>
      <w:r>
        <w:t>6. 海象予報値</w:t>
      </w:r>
    </w:p>
    <w:p>
      <w:pPr>
        <w:spacing w:before="0" w:after="0"/>
        <w:jc w:val="left"/>
      </w:pPr>
      <w:r>
        <w:t xml:space="preserve"> S.No.5167 の航路データからSea-Navi1.0 より得た海象予報値のうち、有義波高と波周期を図5 に示す。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Wave-1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有義波高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56000" cy="16560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-Wave-2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6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  <w:jc w:val="center"/>
      </w:pPr>
      <w:r>
        <w:t>波周期</w:t>
        <w:br/>
      </w:r>
    </w:p>
    <w:p>
      <w:pPr>
        <w:spacing w:before="0" w:after="0"/>
        <w:jc w:val="center"/>
      </w:pPr>
      <w:r>
        <w:t>図5 海象予報値</w:t>
      </w:r>
    </w:p>
    <w:p>
      <w:pPr>
        <w:spacing w:before="0" w:after="0"/>
        <w:jc w:val="right"/>
      </w:pPr>
      <w:r>
        <w:br/>
        <w:br/>
        <w:br/>
        <w:t>以上</w:t>
      </w:r>
    </w:p>
    <w:sectPr w:rsidR="00FC693F" w:rsidRPr="0006063C" w:rsidSect="00034616">
      <w:pgSz w:w="12240" w:h="15840"/>
      <w:pgMar w:top="1525" w:right="1003" w:bottom="1763" w:left="107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Meiryo UI" w:hAnsi="Meiryo UI"/>
      <w:b w:val="0"/>
      <w:i w:val="0"/>
      <w:caps w:val="0"/>
      <w:sz w:val="21"/>
      <w:u w:val="none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