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MODIFICATION — DRAFT</w:t>
      </w:r>
    </w:p>
    <w:p>
      <w:r>
        <w:rPr>
          <w:b/>
          <w:color w:val="B00020"/>
        </w:rPr>
        <w:t>**DO NOT SIGN — REVIEW REQUIRED**</w:t>
      </w:r>
    </w:p>
    <w:p>
      <w:pPr>
        <w:pStyle w:val="Heading2"/>
      </w:pPr>
      <w:r>
        <w:t>Block 1 — Contract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Contract / BPA</w:t>
            </w:r>
          </w:p>
        </w:tc>
        <w:tc>
          <w:tcPr>
            <w:tcW w:type="dxa" w:w="4320"/>
          </w:tcPr>
          <w:p>
            <w:r>
              <w:t>FA4877-24-A-T010 (TFL BPA Master)</w:t>
            </w:r>
          </w:p>
        </w:tc>
      </w:tr>
      <w:tr>
        <w:tc>
          <w:tcPr>
            <w:tcW w:type="dxa" w:w="4320"/>
          </w:tcPr>
          <w:p>
            <w:r>
              <w:t>Modification Number</w:t>
            </w:r>
          </w:p>
        </w:tc>
        <w:tc>
          <w:tcPr>
            <w:tcW w:type="dxa" w:w="4320"/>
          </w:tcPr>
          <w:p>
            <w:r>
              <w:t>P00003 (DRAFT)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Tarkana Facilities &amp; Logistics LLC</w:t>
            </w:r>
          </w:p>
        </w:tc>
      </w:tr>
      <w:tr>
        <w:tc>
          <w:tcPr>
            <w:tcW w:type="dxa" w:w="4320"/>
          </w:tcPr>
          <w:p>
            <w:r>
              <w:t>Modification Type</w:t>
            </w:r>
          </w:p>
        </w:tc>
        <w:tc>
          <w:tcPr>
            <w:tcW w:type="dxa" w:w="4320"/>
          </w:tcPr>
          <w:p>
            <w:r>
              <w:t>Bilateral — SF 30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Emergency backup generator maintenance — Bldg 214 (K shop warehouse)</w:t>
            </w:r>
          </w:p>
        </w:tc>
      </w:tr>
    </w:tbl>
    <w:p>
      <w:pPr>
        <w:pStyle w:val="Heading2"/>
      </w:pPr>
      <w:r>
        <w:t>Block 2 — Description of Change</w:t>
      </w:r>
    </w:p>
    <w:p>
      <w:r>
        <w:t>Add emergency backup generator preventive maintenance service to the existing TFL BPA workscope. Service frequency: monthly inspection, quarterly load test, annual major service. Scope explicitly covers the 80kW diesel unit located at Bldg 214 (K shop warehouse) and its associated 500-gal day tank.</w:t>
      </w:r>
    </w:p>
    <w:p>
      <w:r>
        <w:t>This modification adds the service under the existing BPA ceiling. No increase in aggregate ceiling is required. Individual calls will be placed against the mod using the existing call procedures.</w:t>
      </w:r>
    </w:p>
    <w:p>
      <w:pPr>
        <w:pStyle w:val="Heading2"/>
      </w:pPr>
      <w:r>
        <w:t>Block 3 — Draft History / Comments</w:t>
      </w:r>
    </w:p>
    <w:p>
      <w:r>
        <w:rPr>
          <w:b/>
        </w:rPr>
        <w:t xml:space="preserve">Draft 1: </w:t>
      </w:r>
      <w:r>
        <w:t>Prepared by TSgt Morales 18 December 2024. Sent to SJA for scope review.</w:t>
      </w:r>
    </w:p>
    <w:p>
      <w:r>
        <w:rPr>
          <w:b/>
        </w:rPr>
        <w:t xml:space="preserve">Draft 2: </w:t>
      </w:r>
      <w:r>
        <w:t>SJA returned 22 December 2024 with a question about whether generator maintenance is within the original BPA scope of 'facility maintenance.' SJA position: borderline — possibly within scope, definitely arguable. Recommend a determination of scope applicability memo before execution.</w:t>
      </w:r>
    </w:p>
    <w:p>
      <w:r>
        <w:rPr>
          <w:b/>
        </w:rPr>
        <w:t xml:space="preserve">Status: </w:t>
      </w:r>
      <w:r>
        <w:t>Determination memo not drafted. Morales departed before completion. SMSgt Dooley (CE) has been calling about this weekly — the generator is out of PM and the warranty clock is at risk.</w:t>
      </w:r>
    </w:p>
    <w:p>
      <w:pPr>
        <w:pStyle w:val="Heading2"/>
      </w:pPr>
      <w:r>
        <w:t>Block 4 — Signature Blocks</w:t>
      </w:r>
    </w:p>
    <w:p>
      <w:r>
        <w:t>For the Government:</w:t>
        <w:br/>
        <w:br/>
        <w:t>Contracting Officer signature: ________________________  Date: __________</w:t>
      </w:r>
    </w:p>
    <w:p>
      <w:r>
        <w:t>For the Contractor:</w:t>
        <w:br/>
        <w:br/>
        <w:t>Authorized Representative signature: ________________________  Date: __________</w:t>
      </w:r>
    </w:p>
    <w:p>
      <w:pPr>
        <w:pStyle w:val="Heading2"/>
      </w:pPr>
      <w:r>
        <w:t>Incoming KO — Recommended Action</w:t>
      </w:r>
    </w:p>
    <w:p>
      <w:r>
        <w:t>Either (1) write the determination memo placing the work within the BPA's 'facility maintenance' scope and finalize the mod, (2) establish a new acquisition vehicle specifically for generator maintenance, or (3) decline the work and refer CE to a different mechanism. Decision should be made before Dooley's next 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