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34" w:rsidRPr="00A77B5A" w:rsidRDefault="00A07F34" w:rsidP="00A07F34">
      <w:pPr>
        <w:pStyle w:val="Caption"/>
        <w:keepNext/>
        <w:rPr>
          <w:i w:val="0"/>
          <w:color w:val="auto"/>
          <w:sz w:val="24"/>
          <w:szCs w:val="24"/>
        </w:rPr>
      </w:pPr>
      <w:permStart w:id="1090324628" w:edGrp="everyone"/>
      <w:permEnd w:id="1090324628"/>
      <w:r w:rsidRPr="00A77B5A">
        <w:rPr>
          <w:b/>
          <w:i w:val="0"/>
          <w:color w:val="auto"/>
          <w:sz w:val="24"/>
          <w:szCs w:val="24"/>
        </w:rPr>
        <w:t xml:space="preserve">Table </w:t>
      </w:r>
      <w:r>
        <w:rPr>
          <w:b/>
          <w:i w:val="0"/>
          <w:color w:val="auto"/>
          <w:sz w:val="24"/>
          <w:szCs w:val="24"/>
        </w:rPr>
        <w:t>1</w:t>
      </w:r>
      <w:r w:rsidRPr="00A77B5A">
        <w:rPr>
          <w:b/>
          <w:i w:val="0"/>
          <w:color w:val="auto"/>
          <w:sz w:val="24"/>
          <w:szCs w:val="24"/>
        </w:rPr>
        <w:t>.</w:t>
      </w:r>
      <w:r w:rsidRPr="00A77B5A">
        <w:rPr>
          <w:i w:val="0"/>
          <w:color w:val="auto"/>
          <w:sz w:val="24"/>
          <w:szCs w:val="24"/>
        </w:rPr>
        <w:t xml:space="preserve"> MP concentrations in muscle and gut per unit body wet weight and the ratio between muscle and gut concentrations. Data adapted from Abbasi et al. </w:t>
      </w:r>
      <w:r w:rsidRPr="00A77B5A">
        <w:rPr>
          <w:i w:val="0"/>
          <w:color w:val="auto"/>
          <w:sz w:val="24"/>
          <w:szCs w:val="24"/>
        </w:rPr>
        <w:fldChar w:fldCharType="begin" w:fldLock="1"/>
      </w:r>
      <w:r w:rsidR="00160ADE">
        <w:rPr>
          <w:i w:val="0"/>
          <w:color w:val="auto"/>
          <w:sz w:val="24"/>
          <w:szCs w:val="24"/>
        </w:rPr>
        <w:instrText>ADDIN CSL_CITATION {"citationItems":[{"id":"ITEM-1","itemData":{"DOI":"10.1016/j.chemosphere.2018.04.076","ISSN":"00456535","abstract":"Commercially-important species of fish and a crustacean from four sites in the Musa estuary and a site in the Persian Gulf have been analysed for the presence and location of microplastics (MPs). A total of 828 MPs were detected in the guts (gastrointestinal tracts), skin, muscle, gills and liver of demersal and pelagic fish (Platycephalus indicus, Saurida tumbil, Sillago sihama, Cynoglossus abbreviatus) from all five sites and in the exoskeleton and muscle of the tiger prawn, Penaeus semisulcatus, from three sites. On an individual basis, MPs were most abundant in P. indicus (mean = 21.8) and least frequently encountered in P. semisulcatus (mean = 7.8), but when normalized on a mass basis, MPs ranged from 0.16 g-1for C. abbreviatus to 1.5 g-1for P. semisulcatus. Microscopic analyses (polarized light, fluorescence, SEM/EDS) revealed that MPs were mainly fibrous fragments (with a few angular fragments) of various colour and size (&lt;100 μm to &gt; 1000 μm) and with strong C and O signatures. Additional particles detected that were distinctly different in colour, morphology, brittleness and elemental composition (part-metallic, and containing Cu) were suspected of being fragments of antifouling paint. The means of entry of MPs into tissues not involved in digestion are unclear but could be related to translocation or adherence. Regardless of the mode of accumulation, the presence of MPs in heavily fished species of fish and crustacean raises concerns about the potential transfer of synthetic materials into humans.","author":[{"dropping-particle":"","family":"Abbasi","given":"Sajjad","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dropping-particle":"","family":"Soltani","given":"Naghmeh","non-dropping-particle":"","parse-names":false,"suffix":""},{"dropping-particle":"","family":"Keshavarzi","given":"Behnam","non-dropping-particle":"","parse-names":false,"suffix":""},{"dropping-particle":"","family":"Moore","given":"Farid","non-dropping-particle":"","parse-names":false,"suffix":""},{"dropping-particle":"","family":"Turner","given":"Andrew","non-dropping-particle":"","parse-names":false,"suffix":""},{"dropping-particle":"","family":"Hassanaghaei","given":"Mina","non-dropping-particle":"","parse-names":false,"suffix":""},{"dropping-particle":"","family":"Keshavarzi","given":"Behnam","non-dropping-particle":"","parse-names":false,"suffix":""},{"dropping-particle":"","family":"Abbasi","given":"Sajjad","non-dropping-particle":"","parse-names":false,"suffix":""},{"dropping-particle":"","family":"Moore","given":"Farid","non-dropping-particle":"","parse-names":false,"suffix":""},{"dropping-particle":"","family":"Turner","given":"Andrew","non-dropping-particle":"","parse-names":false,"suffix":""}],"container-title":"Chemosphere","id":"ITEM-1","issued":{"date-parts":[["2018"]]},"page":"80-87","publisher":"Elsevier Ltd","title":"Microplastics in different tissues of fish and prawn from the Musa Estuary, Persian Gulf","type":"article-journal","volume":"205"},"uris":["http://www.mendeley.com/documents/?uuid=b00f0298-3781-473d-97cc-81562ec12a89"]}],"mendeley":{"formattedCitation":"(&lt;i&gt;1&lt;/i&gt;)","plainTextFormattedCitation":"(1)","previouslyFormattedCitation":"(&lt;i&gt;1&lt;/i&gt;)"},"properties":{"noteIndex":0},"schema":"https://github.com/citation-style-language/schema/raw/master/csl-citation.json"}</w:instrText>
      </w:r>
      <w:r w:rsidRPr="00A77B5A">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1</w:t>
      </w:r>
      <w:r w:rsidR="00160ADE" w:rsidRPr="00160ADE">
        <w:rPr>
          <w:i w:val="0"/>
          <w:noProof/>
          <w:color w:val="auto"/>
          <w:sz w:val="24"/>
          <w:szCs w:val="24"/>
        </w:rPr>
        <w:t>)</w:t>
      </w:r>
      <w:r w:rsidRPr="00A77B5A">
        <w:rPr>
          <w:i w:val="0"/>
          <w:color w:val="auto"/>
          <w:sz w:val="24"/>
          <w:szCs w:val="24"/>
        </w:rPr>
        <w:fldChar w:fldCharType="end"/>
      </w:r>
      <w:r w:rsidRPr="00A77B5A">
        <w:rPr>
          <w:i w:val="0"/>
          <w:color w:val="auto"/>
          <w:sz w:val="24"/>
          <w:szCs w:val="24"/>
        </w:rPr>
        <w:t xml:space="preserve"> and Barboza et al. </w:t>
      </w:r>
      <w:r w:rsidRPr="00A77B5A">
        <w:rPr>
          <w:i w:val="0"/>
          <w:color w:val="auto"/>
          <w:sz w:val="24"/>
          <w:szCs w:val="24"/>
        </w:rPr>
        <w:fldChar w:fldCharType="begin" w:fldLock="1"/>
      </w:r>
      <w:r w:rsidR="00160ADE">
        <w:rPr>
          <w:i w:val="0"/>
          <w:color w:val="auto"/>
          <w:sz w:val="24"/>
          <w:szCs w:val="24"/>
        </w:rPr>
        <w:instrText>ADDIN CSL_CITATION {"citationItems":[{"id":"ITEM-1","itemData":{"DOI":"10.1016/j.scitotenv.2019.134625","ISSN":"18791026","abstract":"Microplastics (MP) pollution has received increased attention over the last few years. However, while the number of studies documentating the ingestion of microplastics by fish has increased, fewer studies have addressed the toxicological effects derived from the ingestion of these small items in wild conditions. Here, MP contamination and effect biomarkers were investigated in three commercially important fish species from the North East Atlantic Ocean. From the 150 analysed fish (50 per species), 49 % had MP. In fish from the 3 species, MP in the gastrointestinal tract, gills and dorsal muscle were found. Fish with MP had significantly (p ≤ 0.05) higher lipid peroxidation levels in the brain, gills and dorsal muscle, and increased brain acetylcholinesterase activity than fish where no MP were found. These results suggest lipid oxidative damage in gills and muscle, and neurotoxicity through lipid oxidative damage and acetylcholinesterase induction in relation to MP and/or MP-associated chemicals exposure. From the 150 fish analysed, 32 % had MP in dorsal muscle, with a total mean (± SD) of 0.054 ± 0.099 MP items/g. Based on this mean and on EFSA recommendation for fish consumption by adults or the general population, human consumers of Dicentrachus labrax, Trachurus trachurus, Scomber colias may intake 842 MP items/year from fish consumption only. Based on the mean of MP in fish muscle and data (EUMOFA, NOAA) of fish consumption per capita in selected European and American countries, the estimated intake of microplastics through fish consumption ranged from 518 to 3078 MP items/year/capita. Considering that fish consumption is only one of the routes of human exposure to microplastics, this study and others in the literature emphasize the need for more research, risk assessment and adoption of measures to minimize human exposure to these particles. Thus, MP pollution and its effects should be further investigated and addressed according to the WHO ‘One Health’ approach.","author":[{"dropping-particle":"","family":"Barboza","given":"Luís Gabriel A.","non-dropping-particle":"","parse-names":false,"suffix":""},{"dropping-particle":"","family":"Lopes","given":"Clara","non-dropping-particle":"","parse-names":false,"suffix":""},{"dropping-particle":"","family":"Oliveira","given":"Patrícia","non-dropping-particle":"","parse-names":false,"suffix":""},{"dropping-particle":"","family":"Bessa","given":"Filipa","non-dropping-particle":"","parse-names":false,"suffix":""},{"dropping-particle":"","family":"Otero","given":"Vanessa","non-dropping-particle":"","parse-names":false,"suffix":""},{"dropping-particle":"","family":"Henriques","given":"Bruno","non-dropping-particle":"","parse-names":false,"suffix":""},{"dropping-particle":"","family":"Raimundo","given":"Joana","non-dropping-particle":"","parse-names":false,"suffix":""},{"dropping-particle":"","family":"Caetano","given":"Miguel","non-dropping-particle":"","parse-names":false,"suffix":""},{"dropping-particle":"","family":"Vale","given":"Carlos","non-dropping-particle":"","parse-names":false,"suffix":""},{"dropping-particle":"","family":"Guilhermino","given":"Lúcia","non-dropping-particle":"","parse-names":false,"suffix":""}],"container-title":"Science of the Total Environment","id":"ITEM-1","issue":"xxxx","issued":{"date-parts":[["2020"]]},"title":"Microplastics in wild fish from North East Atlantic Ocean and its potential for causing neurotoxic effects, lipid oxidative damage, and human health risks associated with ingestion exposure","type":"article-journal","volume":"717"},"uris":["http://www.mendeley.com/documents/?uuid=222c9817-f2df-411e-9ef4-665fb878e936"]}],"mendeley":{"formattedCitation":"(&lt;i&gt;2&lt;/i&gt;)","plainTextFormattedCitation":"(2)","previouslyFormattedCitation":"(&lt;i&gt;2&lt;/i&gt;)"},"properties":{"noteIndex":0},"schema":"https://github.com/citation-style-language/schema/raw/master/csl-citation.json"}</w:instrText>
      </w:r>
      <w:r w:rsidRPr="00A77B5A">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2</w:t>
      </w:r>
      <w:r w:rsidR="00160ADE" w:rsidRPr="00160ADE">
        <w:rPr>
          <w:i w:val="0"/>
          <w:noProof/>
          <w:color w:val="auto"/>
          <w:sz w:val="24"/>
          <w:szCs w:val="24"/>
        </w:rPr>
        <w:t>)</w:t>
      </w:r>
      <w:r w:rsidRPr="00A77B5A">
        <w:rPr>
          <w:i w:val="0"/>
          <w:color w:val="auto"/>
          <w:sz w:val="24"/>
          <w:szCs w:val="24"/>
        </w:rPr>
        <w:fldChar w:fldCharType="end"/>
      </w:r>
      <w:r w:rsidRPr="00A77B5A">
        <w:rPr>
          <w:i w:val="0"/>
          <w:color w:val="auto"/>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596"/>
        <w:gridCol w:w="1275"/>
        <w:gridCol w:w="1259"/>
        <w:gridCol w:w="1252"/>
        <w:gridCol w:w="1496"/>
        <w:gridCol w:w="1591"/>
      </w:tblGrid>
      <w:tr w:rsidR="00A07F34" w:rsidRPr="00A77B5A" w:rsidTr="00F7637E">
        <w:tc>
          <w:tcPr>
            <w:tcW w:w="1603" w:type="dxa"/>
            <w:tcBorders>
              <w:top w:val="single" w:sz="4" w:space="0" w:color="auto"/>
              <w:bottom w:val="single" w:sz="4" w:space="0" w:color="auto"/>
            </w:tcBorders>
          </w:tcPr>
          <w:p w:rsidR="00A07F34" w:rsidRPr="00A77B5A" w:rsidRDefault="00A07F34" w:rsidP="00F7637E">
            <w:pPr>
              <w:rPr>
                <w:b/>
              </w:rPr>
            </w:pPr>
            <w:r w:rsidRPr="00A77B5A">
              <w:rPr>
                <w:b/>
              </w:rPr>
              <w:t>Species</w:t>
            </w:r>
          </w:p>
        </w:tc>
        <w:tc>
          <w:tcPr>
            <w:tcW w:w="604" w:type="dxa"/>
            <w:tcBorders>
              <w:top w:val="single" w:sz="4" w:space="0" w:color="auto"/>
              <w:bottom w:val="single" w:sz="4" w:space="0" w:color="auto"/>
            </w:tcBorders>
          </w:tcPr>
          <w:p w:rsidR="00A07F34" w:rsidRPr="00A77B5A" w:rsidRDefault="00A07F34" w:rsidP="00F7637E">
            <w:pPr>
              <w:jc w:val="center"/>
              <w:rPr>
                <w:b/>
                <w:i/>
              </w:rPr>
            </w:pPr>
            <w:r w:rsidRPr="00A77B5A">
              <w:rPr>
                <w:b/>
                <w:i/>
              </w:rPr>
              <w:t>N</w:t>
            </w:r>
          </w:p>
        </w:tc>
        <w:tc>
          <w:tcPr>
            <w:tcW w:w="1296"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Total weight of </w:t>
            </w:r>
            <w:r w:rsidRPr="00A77B5A">
              <w:rPr>
                <w:b/>
                <w:i/>
              </w:rPr>
              <w:t xml:space="preserve">N </w:t>
            </w:r>
            <w:r w:rsidRPr="00A77B5A">
              <w:rPr>
                <w:b/>
              </w:rPr>
              <w:t>species (g)</w:t>
            </w:r>
          </w:p>
        </w:tc>
        <w:tc>
          <w:tcPr>
            <w:tcW w:w="1262"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muscle (#/BWW)</w:t>
            </w:r>
          </w:p>
        </w:tc>
        <w:tc>
          <w:tcPr>
            <w:tcW w:w="1255" w:type="dxa"/>
            <w:tcBorders>
              <w:top w:val="single" w:sz="4" w:space="0" w:color="auto"/>
              <w:bottom w:val="single" w:sz="4" w:space="0" w:color="auto"/>
            </w:tcBorders>
          </w:tcPr>
          <w:p w:rsidR="00A07F34" w:rsidRPr="00A77B5A" w:rsidRDefault="00A07F34" w:rsidP="00F7637E">
            <w:pPr>
              <w:jc w:val="center"/>
              <w:rPr>
                <w:b/>
              </w:rPr>
            </w:pPr>
            <w:r w:rsidRPr="00A77B5A">
              <w:rPr>
                <w:b/>
              </w:rPr>
              <w:t xml:space="preserve">MP </w:t>
            </w:r>
            <w:proofErr w:type="spellStart"/>
            <w:r w:rsidRPr="00A77B5A">
              <w:rPr>
                <w:b/>
              </w:rPr>
              <w:t>conc</w:t>
            </w:r>
            <w:proofErr w:type="spellEnd"/>
            <w:r w:rsidRPr="00A77B5A">
              <w:rPr>
                <w:b/>
              </w:rPr>
              <w:t xml:space="preserve"> in gut (#/BWW)</w:t>
            </w:r>
          </w:p>
        </w:tc>
        <w:tc>
          <w:tcPr>
            <w:tcW w:w="1430" w:type="dxa"/>
            <w:tcBorders>
              <w:top w:val="single" w:sz="4" w:space="0" w:color="auto"/>
              <w:bottom w:val="single" w:sz="4" w:space="0" w:color="auto"/>
            </w:tcBorders>
          </w:tcPr>
          <w:p w:rsidR="00A07F34" w:rsidRPr="00A77B5A" w:rsidRDefault="00A07F34" w:rsidP="00F7637E">
            <w:pPr>
              <w:jc w:val="center"/>
              <w:rPr>
                <w:b/>
              </w:rPr>
            </w:pPr>
            <w:r w:rsidRPr="00A77B5A">
              <w:rPr>
                <w:b/>
              </w:rPr>
              <w:t>Ratio (</w:t>
            </w:r>
            <w:proofErr w:type="spellStart"/>
            <w:r w:rsidRPr="00A77B5A">
              <w:rPr>
                <w:b/>
              </w:rPr>
              <w:t>muscle:gut</w:t>
            </w:r>
            <w:proofErr w:type="spellEnd"/>
            <w:r w:rsidRPr="00A77B5A">
              <w:rPr>
                <w:b/>
              </w:rPr>
              <w:t>)</w:t>
            </w:r>
          </w:p>
        </w:tc>
        <w:tc>
          <w:tcPr>
            <w:tcW w:w="1612" w:type="dxa"/>
            <w:tcBorders>
              <w:top w:val="single" w:sz="4" w:space="0" w:color="auto"/>
              <w:bottom w:val="single" w:sz="4" w:space="0" w:color="auto"/>
            </w:tcBorders>
          </w:tcPr>
          <w:p w:rsidR="00A07F34" w:rsidRPr="00A77B5A" w:rsidRDefault="00A07F34" w:rsidP="00F7637E">
            <w:pPr>
              <w:jc w:val="center"/>
              <w:rPr>
                <w:b/>
              </w:rPr>
            </w:pPr>
            <w:r w:rsidRPr="00A77B5A">
              <w:rPr>
                <w:b/>
              </w:rPr>
              <w:t>Reference</w:t>
            </w:r>
          </w:p>
        </w:tc>
      </w:tr>
      <w:tr w:rsidR="00A07F34" w:rsidRPr="00A77B5A" w:rsidTr="00F7637E">
        <w:trPr>
          <w:trHeight w:val="814"/>
        </w:trPr>
        <w:tc>
          <w:tcPr>
            <w:tcW w:w="1603" w:type="dxa"/>
            <w:tcBorders>
              <w:top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Sillago</w:t>
            </w:r>
            <w:proofErr w:type="spellEnd"/>
            <w:r w:rsidRPr="00A77B5A">
              <w:rPr>
                <w:rFonts w:cs="Times New Roman"/>
                <w:i/>
                <w:iCs/>
                <w:color w:val="000000"/>
                <w:szCs w:val="24"/>
              </w:rPr>
              <w:t xml:space="preserve"> </w:t>
            </w:r>
            <w:proofErr w:type="spellStart"/>
            <w:r w:rsidRPr="00A77B5A">
              <w:rPr>
                <w:rFonts w:cs="Times New Roman"/>
                <w:i/>
                <w:iCs/>
                <w:color w:val="000000"/>
                <w:szCs w:val="24"/>
              </w:rPr>
              <w:t>sihama</w:t>
            </w:r>
            <w:proofErr w:type="spellEnd"/>
          </w:p>
        </w:tc>
        <w:tc>
          <w:tcPr>
            <w:tcW w:w="604"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w:t>
            </w:r>
          </w:p>
        </w:tc>
        <w:tc>
          <w:tcPr>
            <w:tcW w:w="1296"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972.4</w:t>
            </w:r>
          </w:p>
        </w:tc>
        <w:tc>
          <w:tcPr>
            <w:tcW w:w="1262"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0.055</w:t>
            </w:r>
          </w:p>
        </w:tc>
        <w:tc>
          <w:tcPr>
            <w:tcW w:w="1255"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0.015</w:t>
            </w:r>
          </w:p>
        </w:tc>
        <w:tc>
          <w:tcPr>
            <w:tcW w:w="1430" w:type="dxa"/>
            <w:tcBorders>
              <w:top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3.533</w:t>
            </w:r>
          </w:p>
        </w:tc>
        <w:tc>
          <w:tcPr>
            <w:tcW w:w="1612" w:type="dxa"/>
            <w:tcBorders>
              <w:top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2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Platycephalus</w:t>
            </w:r>
            <w:proofErr w:type="spellEnd"/>
            <w:r w:rsidRPr="00A77B5A">
              <w:rPr>
                <w:rFonts w:cs="Times New Roman"/>
                <w:i/>
                <w:iCs/>
                <w:color w:val="000000"/>
                <w:szCs w:val="24"/>
              </w:rPr>
              <w:t xml:space="preserve"> indicus</w:t>
            </w:r>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44</w:t>
            </w:r>
            <w:bookmarkStart w:id="0" w:name="_GoBack"/>
            <w:bookmarkEnd w:id="0"/>
            <w:r w:rsidRPr="00A77B5A">
              <w:rPr>
                <w:rFonts w:cs="Times New Roman"/>
                <w:color w:val="000000"/>
                <w:szCs w:val="24"/>
              </w:rPr>
              <w:t>1.6</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0.109</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0.057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1.921</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Saurida</w:t>
            </w:r>
            <w:proofErr w:type="spellEnd"/>
            <w:r w:rsidRPr="00A77B5A">
              <w:rPr>
                <w:rFonts w:cs="Times New Roman"/>
                <w:i/>
                <w:iCs/>
                <w:color w:val="000000"/>
                <w:szCs w:val="24"/>
              </w:rPr>
              <w:t xml:space="preserve"> </w:t>
            </w:r>
            <w:proofErr w:type="spellStart"/>
            <w:r w:rsidRPr="00A77B5A">
              <w:rPr>
                <w:rFonts w:cs="Times New Roman"/>
                <w:i/>
                <w:iCs/>
                <w:color w:val="000000"/>
                <w:szCs w:val="24"/>
              </w:rPr>
              <w:t>tumbil</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4</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144.4</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0.083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0.069</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1.200</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797"/>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Cynoglossus</w:t>
            </w:r>
            <w:proofErr w:type="spellEnd"/>
            <w:r w:rsidRPr="00A77B5A">
              <w:rPr>
                <w:rFonts w:cs="Times New Roman"/>
                <w:i/>
                <w:iCs/>
                <w:color w:val="000000"/>
                <w:szCs w:val="24"/>
              </w:rPr>
              <w:t xml:space="preserve"> </w:t>
            </w:r>
            <w:proofErr w:type="spellStart"/>
            <w:r w:rsidRPr="00A77B5A">
              <w:rPr>
                <w:rFonts w:cs="Times New Roman"/>
                <w:i/>
                <w:iCs/>
                <w:color w:val="000000"/>
                <w:szCs w:val="24"/>
              </w:rPr>
              <w:t>abbreviatus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833.8</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0.037</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0.838</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Abbasi et al., 2018</w:t>
            </w:r>
          </w:p>
        </w:tc>
      </w:tr>
      <w:tr w:rsidR="00A07F34" w:rsidRPr="00A77B5A" w:rsidTr="00F7637E">
        <w:trPr>
          <w:trHeight w:val="815"/>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Dicentrarchus</w:t>
            </w:r>
            <w:proofErr w:type="spellEnd"/>
            <w:r w:rsidRPr="00A77B5A">
              <w:rPr>
                <w:rFonts w:cs="Times New Roman"/>
                <w:i/>
                <w:iCs/>
                <w:color w:val="000000"/>
                <w:szCs w:val="24"/>
              </w:rPr>
              <w:t xml:space="preserve"> </w:t>
            </w:r>
            <w:proofErr w:type="spellStart"/>
            <w:r w:rsidRPr="00A77B5A">
              <w:rPr>
                <w:rFonts w:cs="Times New Roman"/>
                <w:i/>
                <w:iCs/>
                <w:color w:val="000000"/>
                <w:szCs w:val="24"/>
              </w:rPr>
              <w:t>labrax</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17150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0.001</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0.269</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rPr>
          <w:trHeight w:val="806"/>
        </w:trPr>
        <w:tc>
          <w:tcPr>
            <w:tcW w:w="1603" w:type="dxa"/>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Trachurus</w:t>
            </w:r>
            <w:proofErr w:type="spellEnd"/>
            <w:r w:rsidRPr="00A77B5A">
              <w:rPr>
                <w:rFonts w:cs="Times New Roman"/>
                <w:i/>
                <w:iCs/>
                <w:color w:val="000000"/>
                <w:szCs w:val="24"/>
              </w:rPr>
              <w:t xml:space="preserve"> </w:t>
            </w:r>
            <w:proofErr w:type="spellStart"/>
            <w:r w:rsidRPr="00A77B5A">
              <w:rPr>
                <w:rFonts w:cs="Times New Roman"/>
                <w:i/>
                <w:iCs/>
                <w:color w:val="000000"/>
                <w:szCs w:val="24"/>
              </w:rPr>
              <w:t>trachurus</w:t>
            </w:r>
            <w:proofErr w:type="spellEnd"/>
          </w:p>
        </w:tc>
        <w:tc>
          <w:tcPr>
            <w:tcW w:w="604"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11400</w:t>
            </w:r>
          </w:p>
        </w:tc>
        <w:tc>
          <w:tcPr>
            <w:tcW w:w="1262"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255"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0.004</w:t>
            </w:r>
          </w:p>
        </w:tc>
        <w:tc>
          <w:tcPr>
            <w:tcW w:w="1430" w:type="dxa"/>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0.673</w:t>
            </w:r>
          </w:p>
        </w:tc>
        <w:tc>
          <w:tcPr>
            <w:tcW w:w="1612" w:type="dxa"/>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1603" w:type="dxa"/>
            <w:tcBorders>
              <w:bottom w:val="single" w:sz="4" w:space="0" w:color="auto"/>
            </w:tcBorders>
            <w:vAlign w:val="center"/>
          </w:tcPr>
          <w:p w:rsidR="00A07F34" w:rsidRPr="00A77B5A" w:rsidRDefault="00A07F34" w:rsidP="00F7637E">
            <w:pPr>
              <w:rPr>
                <w:rFonts w:cs="Times New Roman"/>
                <w:i/>
                <w:iCs/>
                <w:color w:val="000000"/>
                <w:szCs w:val="24"/>
              </w:rPr>
            </w:pPr>
            <w:proofErr w:type="spellStart"/>
            <w:r w:rsidRPr="00A77B5A">
              <w:rPr>
                <w:rFonts w:cs="Times New Roman"/>
                <w:i/>
                <w:iCs/>
                <w:color w:val="000000"/>
                <w:szCs w:val="24"/>
              </w:rPr>
              <w:t>Scomber</w:t>
            </w:r>
            <w:proofErr w:type="spellEnd"/>
            <w:r w:rsidRPr="00A77B5A">
              <w:rPr>
                <w:rFonts w:cs="Times New Roman"/>
                <w:i/>
                <w:iCs/>
                <w:color w:val="000000"/>
                <w:szCs w:val="24"/>
              </w:rPr>
              <w:t xml:space="preserve"> </w:t>
            </w:r>
            <w:proofErr w:type="spellStart"/>
            <w:r w:rsidRPr="00A77B5A">
              <w:rPr>
                <w:rFonts w:cs="Times New Roman"/>
                <w:i/>
                <w:iCs/>
                <w:color w:val="000000"/>
                <w:szCs w:val="24"/>
              </w:rPr>
              <w:t>colias</w:t>
            </w:r>
            <w:proofErr w:type="spellEnd"/>
          </w:p>
        </w:tc>
        <w:tc>
          <w:tcPr>
            <w:tcW w:w="604"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50</w:t>
            </w:r>
          </w:p>
        </w:tc>
        <w:tc>
          <w:tcPr>
            <w:tcW w:w="1296"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17200</w:t>
            </w:r>
          </w:p>
        </w:tc>
        <w:tc>
          <w:tcPr>
            <w:tcW w:w="1262"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0.002</w:t>
            </w:r>
          </w:p>
        </w:tc>
        <w:tc>
          <w:tcPr>
            <w:tcW w:w="1255"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0.003</w:t>
            </w:r>
          </w:p>
        </w:tc>
        <w:tc>
          <w:tcPr>
            <w:tcW w:w="1430" w:type="dxa"/>
            <w:tcBorders>
              <w:bottom w:val="single" w:sz="4" w:space="0" w:color="auto"/>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0.508</w:t>
            </w:r>
          </w:p>
        </w:tc>
        <w:tc>
          <w:tcPr>
            <w:tcW w:w="1612" w:type="dxa"/>
            <w:tcBorders>
              <w:bottom w:val="single" w:sz="4" w:space="0" w:color="auto"/>
            </w:tcBorders>
            <w:vAlign w:val="center"/>
          </w:tcPr>
          <w:p w:rsidR="00A07F34" w:rsidRPr="00A77B5A" w:rsidRDefault="00A07F34" w:rsidP="00F7637E">
            <w:pPr>
              <w:rPr>
                <w:rFonts w:cs="Times New Roman"/>
                <w:color w:val="000000"/>
                <w:szCs w:val="24"/>
              </w:rPr>
            </w:pPr>
            <w:r w:rsidRPr="00A77B5A">
              <w:rPr>
                <w:rFonts w:cs="Times New Roman"/>
                <w:color w:val="000000"/>
                <w:szCs w:val="24"/>
              </w:rPr>
              <w:t>Barboza et al., 2019</w:t>
            </w:r>
          </w:p>
        </w:tc>
      </w:tr>
      <w:tr w:rsidR="00A07F34" w:rsidRPr="00A77B5A" w:rsidTr="00F7637E">
        <w:tc>
          <w:tcPr>
            <w:tcW w:w="6020" w:type="dxa"/>
            <w:gridSpan w:val="5"/>
            <w:tcBorders>
              <w:top w:val="single" w:sz="4" w:space="0" w:color="auto"/>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Average (±SD)</w:t>
            </w:r>
          </w:p>
        </w:tc>
        <w:tc>
          <w:tcPr>
            <w:tcW w:w="1430" w:type="dxa"/>
            <w:tcBorders>
              <w:top w:val="single" w:sz="4" w:space="0" w:color="auto"/>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1.28 (±1.13)</w:t>
            </w:r>
          </w:p>
        </w:tc>
        <w:tc>
          <w:tcPr>
            <w:tcW w:w="1612" w:type="dxa"/>
            <w:tcBorders>
              <w:top w:val="single" w:sz="4" w:space="0" w:color="auto"/>
              <w:left w:val="nil"/>
              <w:bottom w:val="nil"/>
              <w:right w:val="nil"/>
            </w:tcBorders>
            <w:vAlign w:val="center"/>
          </w:tcPr>
          <w:p w:rsidR="00A07F34" w:rsidRPr="00A77B5A" w:rsidRDefault="00A07F34" w:rsidP="00F7637E">
            <w:pPr>
              <w:rPr>
                <w:rFonts w:cs="Times New Roman"/>
                <w:color w:val="000000"/>
                <w:szCs w:val="24"/>
              </w:rPr>
            </w:pPr>
          </w:p>
        </w:tc>
      </w:tr>
      <w:tr w:rsidR="00A07F34" w:rsidRPr="00A77B5A" w:rsidTr="00F7637E">
        <w:tc>
          <w:tcPr>
            <w:tcW w:w="6020" w:type="dxa"/>
            <w:gridSpan w:val="5"/>
            <w:tcBorders>
              <w:top w:val="nil"/>
              <w:left w:val="nil"/>
              <w:bottom w:val="nil"/>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Minimum</w:t>
            </w:r>
          </w:p>
        </w:tc>
        <w:tc>
          <w:tcPr>
            <w:tcW w:w="1430" w:type="dxa"/>
            <w:tcBorders>
              <w:top w:val="nil"/>
              <w:left w:val="nil"/>
              <w:bottom w:val="nil"/>
              <w:right w:val="nil"/>
            </w:tcBorders>
            <w:vAlign w:val="center"/>
          </w:tcPr>
          <w:p w:rsidR="00A07F34" w:rsidRPr="00A77B5A" w:rsidRDefault="00A07F34" w:rsidP="00F7637E">
            <w:pPr>
              <w:jc w:val="center"/>
              <w:rPr>
                <w:rFonts w:cs="Times New Roman"/>
                <w:color w:val="000000"/>
                <w:szCs w:val="24"/>
              </w:rPr>
            </w:pPr>
            <w:r w:rsidRPr="00A77B5A">
              <w:rPr>
                <w:rFonts w:cs="Times New Roman"/>
                <w:color w:val="000000"/>
                <w:szCs w:val="24"/>
              </w:rPr>
              <w:t>0.27</w:t>
            </w:r>
          </w:p>
        </w:tc>
        <w:tc>
          <w:tcPr>
            <w:tcW w:w="1612" w:type="dxa"/>
            <w:tcBorders>
              <w:top w:val="nil"/>
              <w:left w:val="nil"/>
              <w:bottom w:val="nil"/>
              <w:right w:val="nil"/>
            </w:tcBorders>
            <w:vAlign w:val="center"/>
          </w:tcPr>
          <w:p w:rsidR="00A07F34" w:rsidRPr="00A77B5A" w:rsidRDefault="00A07F34" w:rsidP="00F7637E">
            <w:pPr>
              <w:rPr>
                <w:rFonts w:cs="Times New Roman"/>
                <w:color w:val="000000"/>
                <w:szCs w:val="24"/>
              </w:rPr>
            </w:pPr>
          </w:p>
        </w:tc>
      </w:tr>
      <w:tr w:rsidR="00A07F34" w:rsidTr="00F7637E">
        <w:tc>
          <w:tcPr>
            <w:tcW w:w="6020" w:type="dxa"/>
            <w:gridSpan w:val="5"/>
            <w:tcBorders>
              <w:top w:val="nil"/>
              <w:left w:val="nil"/>
              <w:bottom w:val="single" w:sz="4" w:space="0" w:color="auto"/>
              <w:right w:val="nil"/>
            </w:tcBorders>
            <w:vAlign w:val="center"/>
          </w:tcPr>
          <w:p w:rsidR="00A07F34" w:rsidRPr="00A77B5A" w:rsidRDefault="00A07F34" w:rsidP="00F7637E">
            <w:pPr>
              <w:jc w:val="right"/>
              <w:rPr>
                <w:rFonts w:cs="Times New Roman"/>
                <w:b/>
                <w:color w:val="000000"/>
                <w:szCs w:val="24"/>
              </w:rPr>
            </w:pPr>
            <w:r w:rsidRPr="00A77B5A">
              <w:rPr>
                <w:rFonts w:cs="Times New Roman"/>
                <w:b/>
                <w:color w:val="000000"/>
                <w:szCs w:val="24"/>
              </w:rPr>
              <w:t>Maximum</w:t>
            </w:r>
          </w:p>
        </w:tc>
        <w:tc>
          <w:tcPr>
            <w:tcW w:w="1430" w:type="dxa"/>
            <w:tcBorders>
              <w:top w:val="nil"/>
              <w:left w:val="nil"/>
              <w:bottom w:val="single" w:sz="4" w:space="0" w:color="auto"/>
              <w:right w:val="nil"/>
            </w:tcBorders>
            <w:vAlign w:val="center"/>
          </w:tcPr>
          <w:p w:rsidR="00A07F34" w:rsidRPr="00510F24" w:rsidRDefault="00A07F34" w:rsidP="00F7637E">
            <w:pPr>
              <w:jc w:val="center"/>
              <w:rPr>
                <w:rFonts w:cs="Times New Roman"/>
                <w:color w:val="000000"/>
                <w:szCs w:val="24"/>
              </w:rPr>
            </w:pPr>
            <w:r w:rsidRPr="00A77B5A">
              <w:rPr>
                <w:rFonts w:cs="Times New Roman"/>
                <w:color w:val="000000"/>
                <w:szCs w:val="24"/>
              </w:rPr>
              <w:t>3.53</w:t>
            </w:r>
          </w:p>
        </w:tc>
        <w:tc>
          <w:tcPr>
            <w:tcW w:w="1612" w:type="dxa"/>
            <w:tcBorders>
              <w:top w:val="nil"/>
              <w:left w:val="nil"/>
              <w:bottom w:val="single" w:sz="4" w:space="0" w:color="auto"/>
              <w:right w:val="nil"/>
            </w:tcBorders>
            <w:vAlign w:val="center"/>
          </w:tcPr>
          <w:p w:rsidR="00A07F34" w:rsidRPr="00510F24" w:rsidRDefault="00A07F34" w:rsidP="00F7637E">
            <w:pPr>
              <w:rPr>
                <w:rFonts w:cs="Times New Roman"/>
                <w:color w:val="000000"/>
                <w:szCs w:val="24"/>
              </w:rPr>
            </w:pPr>
          </w:p>
        </w:tc>
      </w:tr>
    </w:tbl>
    <w:p w:rsidR="00A07F34" w:rsidRDefault="00A07F34"/>
    <w:p w:rsidR="00A07F34" w:rsidRDefault="00A07F34">
      <w:r>
        <w:br w:type="page"/>
      </w:r>
    </w:p>
    <w:p w:rsidR="00A07F34" w:rsidRPr="00A76A7A" w:rsidRDefault="00A07F34" w:rsidP="00A07F34">
      <w:pPr>
        <w:pStyle w:val="Caption"/>
        <w:keepNext/>
        <w:rPr>
          <w:i w:val="0"/>
          <w:color w:val="auto"/>
          <w:sz w:val="24"/>
          <w:szCs w:val="24"/>
        </w:rPr>
      </w:pPr>
      <w:r w:rsidRPr="00A76A7A">
        <w:rPr>
          <w:b/>
          <w:i w:val="0"/>
          <w:color w:val="auto"/>
          <w:sz w:val="24"/>
          <w:szCs w:val="24"/>
        </w:rPr>
        <w:lastRenderedPageBreak/>
        <w:t xml:space="preserve">Table </w:t>
      </w:r>
      <w:r>
        <w:rPr>
          <w:b/>
          <w:i w:val="0"/>
          <w:color w:val="auto"/>
          <w:sz w:val="24"/>
          <w:szCs w:val="24"/>
        </w:rPr>
        <w:t>2</w:t>
      </w:r>
      <w:r w:rsidRPr="00A76A7A">
        <w:rPr>
          <w:b/>
          <w:i w:val="0"/>
          <w:color w:val="auto"/>
          <w:sz w:val="24"/>
          <w:szCs w:val="24"/>
        </w:rPr>
        <w:t>.</w:t>
      </w:r>
      <w:r w:rsidRPr="00A76A7A">
        <w:rPr>
          <w:i w:val="0"/>
          <w:color w:val="auto"/>
          <w:sz w:val="24"/>
          <w:szCs w:val="24"/>
        </w:rPr>
        <w:t xml:space="preserve"> Search terms/strings for each food </w:t>
      </w:r>
      <w:r>
        <w:rPr>
          <w:i w:val="0"/>
          <w:color w:val="auto"/>
          <w:sz w:val="24"/>
          <w:szCs w:val="24"/>
        </w:rPr>
        <w:t>source in FOSCOLLAB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7"/>
        <w:gridCol w:w="10"/>
      </w:tblGrid>
      <w:tr w:rsidR="00A07F34" w:rsidTr="00F7637E">
        <w:tc>
          <w:tcPr>
            <w:tcW w:w="3145" w:type="dxa"/>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Food </w:t>
            </w:r>
            <w:r>
              <w:rPr>
                <w:b/>
                <w:lang w:val="en-US"/>
              </w:rPr>
              <w:t>source</w:t>
            </w:r>
          </w:p>
        </w:tc>
        <w:tc>
          <w:tcPr>
            <w:tcW w:w="5927" w:type="dxa"/>
            <w:gridSpan w:val="2"/>
            <w:tcBorders>
              <w:top w:val="single" w:sz="4" w:space="0" w:color="auto"/>
              <w:bottom w:val="single" w:sz="4" w:space="0" w:color="auto"/>
            </w:tcBorders>
          </w:tcPr>
          <w:p w:rsidR="00A07F34" w:rsidRPr="005C7FFB" w:rsidRDefault="00A07F34" w:rsidP="00F7637E">
            <w:pPr>
              <w:jc w:val="both"/>
              <w:rPr>
                <w:b/>
                <w:lang w:val="en-US"/>
              </w:rPr>
            </w:pPr>
            <w:r w:rsidRPr="005C7FFB">
              <w:rPr>
                <w:b/>
                <w:lang w:val="en-US"/>
              </w:rPr>
              <w:t xml:space="preserve">Search </w:t>
            </w:r>
            <w:r>
              <w:rPr>
                <w:b/>
                <w:lang w:val="en-US"/>
              </w:rPr>
              <w:t>Strings</w:t>
            </w:r>
          </w:p>
        </w:tc>
      </w:tr>
      <w:tr w:rsidR="00A07F34" w:rsidTr="00F7637E">
        <w:trPr>
          <w:gridAfter w:val="1"/>
          <w:wAfter w:w="10" w:type="dxa"/>
          <w:trHeight w:val="1048"/>
        </w:trPr>
        <w:tc>
          <w:tcPr>
            <w:tcW w:w="3145" w:type="dxa"/>
            <w:tcBorders>
              <w:top w:val="single" w:sz="4" w:space="0" w:color="auto"/>
            </w:tcBorders>
          </w:tcPr>
          <w:p w:rsidR="00A07F34" w:rsidRDefault="00A07F34" w:rsidP="00F7637E">
            <w:pPr>
              <w:jc w:val="both"/>
              <w:rPr>
                <w:lang w:val="en-US"/>
              </w:rPr>
            </w:pPr>
            <w:r>
              <w:rPr>
                <w:lang w:val="en-US"/>
              </w:rPr>
              <w:t>Fish</w:t>
            </w:r>
          </w:p>
        </w:tc>
        <w:tc>
          <w:tcPr>
            <w:tcW w:w="5917" w:type="dxa"/>
            <w:tcBorders>
              <w:top w:val="single" w:sz="4" w:space="0" w:color="auto"/>
            </w:tcBorders>
          </w:tcPr>
          <w:p w:rsidR="00A07F34" w:rsidRDefault="00A07F34" w:rsidP="00F7637E">
            <w:pPr>
              <w:jc w:val="both"/>
              <w:rPr>
                <w:lang w:val="en-US"/>
              </w:rPr>
            </w:pPr>
            <w:r>
              <w:rPr>
                <w:lang w:val="en-US"/>
              </w:rPr>
              <w:t xml:space="preserve">Fish (meat); Freshwater fish; Marine fish; Miscellaneous (misc.) coastal marine fishes; Misc. demersal marine fishes; Misc. freshwater fishes; Misc. pelagic marine fishes </w:t>
            </w:r>
          </w:p>
        </w:tc>
      </w:tr>
      <w:tr w:rsidR="00A07F34" w:rsidTr="00F7637E">
        <w:trPr>
          <w:gridAfter w:val="1"/>
          <w:wAfter w:w="10" w:type="dxa"/>
          <w:trHeight w:val="455"/>
        </w:trPr>
        <w:tc>
          <w:tcPr>
            <w:tcW w:w="3145" w:type="dxa"/>
          </w:tcPr>
          <w:p w:rsidR="00A07F34" w:rsidRDefault="00A07F34" w:rsidP="00F7637E">
            <w:pPr>
              <w:rPr>
                <w:lang w:val="en-US"/>
              </w:rPr>
            </w:pPr>
            <w:proofErr w:type="spellStart"/>
            <w:r>
              <w:rPr>
                <w:lang w:val="en-US"/>
              </w:rPr>
              <w:t>Mollusc</w:t>
            </w:r>
            <w:proofErr w:type="spellEnd"/>
          </w:p>
        </w:tc>
        <w:tc>
          <w:tcPr>
            <w:tcW w:w="5917" w:type="dxa"/>
          </w:tcPr>
          <w:p w:rsidR="00A07F34" w:rsidRDefault="00A07F34" w:rsidP="00F7637E">
            <w:pPr>
              <w:jc w:val="both"/>
              <w:rPr>
                <w:lang w:val="en-US"/>
              </w:rPr>
            </w:pPr>
            <w:proofErr w:type="spellStart"/>
            <w:r>
              <w:rPr>
                <w:lang w:val="en-US"/>
              </w:rPr>
              <w:t>Molluscs</w:t>
            </w:r>
            <w:proofErr w:type="spellEnd"/>
            <w:r>
              <w:rPr>
                <w:lang w:val="en-US"/>
              </w:rPr>
              <w:t xml:space="preserve">; Freshwater </w:t>
            </w:r>
            <w:proofErr w:type="spellStart"/>
            <w:r>
              <w:rPr>
                <w:lang w:val="en-US"/>
              </w:rPr>
              <w:t>molluscs</w:t>
            </w:r>
            <w:proofErr w:type="spellEnd"/>
            <w:r>
              <w:rPr>
                <w:lang w:val="en-US"/>
              </w:rPr>
              <w:t xml:space="preserve">; Misc. marine </w:t>
            </w:r>
            <w:proofErr w:type="spellStart"/>
            <w:r>
              <w:rPr>
                <w:lang w:val="en-US"/>
              </w:rPr>
              <w:t>molluscs</w:t>
            </w:r>
            <w:proofErr w:type="spellEnd"/>
          </w:p>
        </w:tc>
      </w:tr>
      <w:tr w:rsidR="00A07F34" w:rsidTr="00F7637E">
        <w:trPr>
          <w:gridAfter w:val="1"/>
          <w:wAfter w:w="10" w:type="dxa"/>
          <w:trHeight w:val="986"/>
        </w:trPr>
        <w:tc>
          <w:tcPr>
            <w:tcW w:w="3145" w:type="dxa"/>
          </w:tcPr>
          <w:p w:rsidR="00A07F34" w:rsidRDefault="00A07F34" w:rsidP="00F7637E">
            <w:pPr>
              <w:rPr>
                <w:lang w:val="en-US"/>
              </w:rPr>
            </w:pPr>
            <w:r>
              <w:rPr>
                <w:lang w:val="en-US"/>
              </w:rPr>
              <w:t>Crustacean</w:t>
            </w:r>
          </w:p>
        </w:tc>
        <w:tc>
          <w:tcPr>
            <w:tcW w:w="5917" w:type="dxa"/>
          </w:tcPr>
          <w:p w:rsidR="00A07F34" w:rsidRDefault="00A07F34" w:rsidP="00F7637E">
            <w:pPr>
              <w:jc w:val="both"/>
              <w:rPr>
                <w:lang w:val="en-US"/>
              </w:rPr>
            </w:pPr>
            <w:r>
              <w:rPr>
                <w:lang w:val="en-US"/>
              </w:rPr>
              <w:t>Crustaceans; Freshwater shrimps or prawns; Shrimps and prawns; Shrimps; common, White shrimp; Freshwater crayfishes</w:t>
            </w:r>
          </w:p>
        </w:tc>
      </w:tr>
      <w:tr w:rsidR="00A07F34" w:rsidTr="00F7637E">
        <w:trPr>
          <w:gridAfter w:val="1"/>
          <w:wAfter w:w="10" w:type="dxa"/>
          <w:trHeight w:val="455"/>
        </w:trPr>
        <w:tc>
          <w:tcPr>
            <w:tcW w:w="3145" w:type="dxa"/>
          </w:tcPr>
          <w:p w:rsidR="00A07F34" w:rsidRDefault="00A07F34" w:rsidP="00F7637E">
            <w:pPr>
              <w:jc w:val="both"/>
              <w:rPr>
                <w:lang w:val="en-US"/>
              </w:rPr>
            </w:pPr>
            <w:r>
              <w:rPr>
                <w:lang w:val="en-US"/>
              </w:rPr>
              <w:t>Tap Water</w:t>
            </w:r>
          </w:p>
        </w:tc>
        <w:tc>
          <w:tcPr>
            <w:tcW w:w="5917" w:type="dxa"/>
          </w:tcPr>
          <w:p w:rsidR="00A07F34" w:rsidRDefault="00A07F34" w:rsidP="00F7637E">
            <w:pPr>
              <w:jc w:val="both"/>
              <w:rPr>
                <w:lang w:val="en-US"/>
              </w:rPr>
            </w:pPr>
            <w:r>
              <w:rPr>
                <w:lang w:val="en-US"/>
              </w:rPr>
              <w:t>Tap water; Filtered tap water</w:t>
            </w:r>
          </w:p>
        </w:tc>
      </w:tr>
      <w:tr w:rsidR="00A07F34" w:rsidTr="00F7637E">
        <w:trPr>
          <w:gridAfter w:val="1"/>
          <w:wAfter w:w="10" w:type="dxa"/>
          <w:trHeight w:val="986"/>
        </w:trPr>
        <w:tc>
          <w:tcPr>
            <w:tcW w:w="3145" w:type="dxa"/>
          </w:tcPr>
          <w:p w:rsidR="00A07F34" w:rsidRDefault="00A07F34" w:rsidP="00F7637E">
            <w:pPr>
              <w:jc w:val="both"/>
              <w:rPr>
                <w:lang w:val="en-US"/>
              </w:rPr>
            </w:pPr>
            <w:r>
              <w:rPr>
                <w:lang w:val="en-US"/>
              </w:rPr>
              <w:t>Bottled Water</w:t>
            </w:r>
          </w:p>
        </w:tc>
        <w:tc>
          <w:tcPr>
            <w:tcW w:w="5917" w:type="dxa"/>
          </w:tcPr>
          <w:p w:rsidR="00A07F34" w:rsidRDefault="00A07F34" w:rsidP="00F7637E">
            <w:pPr>
              <w:jc w:val="both"/>
              <w:rPr>
                <w:lang w:val="en-US"/>
              </w:rPr>
            </w:pPr>
            <w:r>
              <w:rPr>
                <w:lang w:val="en-US"/>
              </w:rPr>
              <w:t xml:space="preserve">Bottled drinking water; Bottled water; Carbonated bottled drinking water; </w:t>
            </w:r>
            <w:proofErr w:type="spellStart"/>
            <w:r>
              <w:rPr>
                <w:lang w:val="en-US"/>
              </w:rPr>
              <w:t>Flavoured</w:t>
            </w:r>
            <w:proofErr w:type="spellEnd"/>
            <w:r>
              <w:rPr>
                <w:lang w:val="en-US"/>
              </w:rPr>
              <w:t xml:space="preserve"> bottled water; Fortified bottled water; Still bottled drinking water</w:t>
            </w:r>
          </w:p>
        </w:tc>
      </w:tr>
      <w:tr w:rsidR="00A07F34" w:rsidTr="00F7637E">
        <w:trPr>
          <w:gridAfter w:val="1"/>
          <w:wAfter w:w="10" w:type="dxa"/>
          <w:trHeight w:val="725"/>
        </w:trPr>
        <w:tc>
          <w:tcPr>
            <w:tcW w:w="3145" w:type="dxa"/>
          </w:tcPr>
          <w:p w:rsidR="00A07F34" w:rsidRDefault="00A07F34" w:rsidP="00F7637E">
            <w:pPr>
              <w:jc w:val="both"/>
              <w:rPr>
                <w:lang w:val="en-US"/>
              </w:rPr>
            </w:pPr>
            <w:r>
              <w:rPr>
                <w:lang w:val="en-US"/>
              </w:rPr>
              <w:t>Salt</w:t>
            </w:r>
          </w:p>
        </w:tc>
        <w:tc>
          <w:tcPr>
            <w:tcW w:w="5917" w:type="dxa"/>
          </w:tcPr>
          <w:p w:rsidR="00A07F34" w:rsidRDefault="00A07F34" w:rsidP="00F7637E">
            <w:pPr>
              <w:jc w:val="both"/>
              <w:rPr>
                <w:lang w:val="en-US"/>
              </w:rPr>
            </w:pPr>
            <w:r>
              <w:rPr>
                <w:lang w:val="en-US"/>
              </w:rPr>
              <w:t xml:space="preserve">Salt; Salt, </w:t>
            </w:r>
            <w:proofErr w:type="spellStart"/>
            <w:r>
              <w:rPr>
                <w:lang w:val="en-US"/>
              </w:rPr>
              <w:t>flavoured</w:t>
            </w:r>
            <w:proofErr w:type="spellEnd"/>
            <w:r>
              <w:rPr>
                <w:lang w:val="en-US"/>
              </w:rPr>
              <w:t xml:space="preserve">; Salt, </w:t>
            </w:r>
            <w:proofErr w:type="spellStart"/>
            <w:r>
              <w:rPr>
                <w:lang w:val="en-US"/>
              </w:rPr>
              <w:t>iodised</w:t>
            </w:r>
            <w:proofErr w:type="spellEnd"/>
            <w:r>
              <w:rPr>
                <w:lang w:val="en-US"/>
              </w:rPr>
              <w:t xml:space="preserve">; Salt, </w:t>
            </w:r>
            <w:proofErr w:type="spellStart"/>
            <w:r>
              <w:rPr>
                <w:lang w:val="en-US"/>
              </w:rPr>
              <w:t>iodised</w:t>
            </w:r>
            <w:proofErr w:type="spellEnd"/>
            <w:r>
              <w:rPr>
                <w:lang w:val="en-US"/>
              </w:rPr>
              <w:t xml:space="preserve"> and fluoridated; Salt, low Sodium; Sea salt</w:t>
            </w:r>
          </w:p>
        </w:tc>
      </w:tr>
      <w:tr w:rsidR="00A07F34" w:rsidTr="00F7637E">
        <w:trPr>
          <w:gridAfter w:val="1"/>
          <w:wAfter w:w="10" w:type="dxa"/>
          <w:trHeight w:val="1247"/>
        </w:trPr>
        <w:tc>
          <w:tcPr>
            <w:tcW w:w="3145" w:type="dxa"/>
          </w:tcPr>
          <w:p w:rsidR="00A07F34" w:rsidRDefault="00A07F34" w:rsidP="00F7637E">
            <w:pPr>
              <w:jc w:val="both"/>
              <w:rPr>
                <w:lang w:val="en-US"/>
              </w:rPr>
            </w:pPr>
            <w:r>
              <w:rPr>
                <w:lang w:val="en-US"/>
              </w:rPr>
              <w:t>Beer</w:t>
            </w:r>
          </w:p>
        </w:tc>
        <w:tc>
          <w:tcPr>
            <w:tcW w:w="5917" w:type="dxa"/>
          </w:tcPr>
          <w:p w:rsidR="00A07F34" w:rsidRDefault="00A07F34" w:rsidP="00F7637E">
            <w:pPr>
              <w:jc w:val="both"/>
              <w:rPr>
                <w:lang w:val="en-US"/>
              </w:rPr>
            </w:pPr>
            <w:r>
              <w:rPr>
                <w:lang w:val="en-US"/>
              </w:rPr>
              <w:t>Beer; Beer and beer-like beverage; Ale beer; Lager beer; Beer, strong; Beer, regular; Beer, light; Beer, alcohol-free; Pale ale beer; Dark ale beer; Stout beer; Wheat beer; Beer-like beverages; Low malt beers</w:t>
            </w:r>
          </w:p>
        </w:tc>
      </w:tr>
      <w:tr w:rsidR="00A07F34" w:rsidTr="00F7637E">
        <w:trPr>
          <w:gridAfter w:val="1"/>
          <w:wAfter w:w="10" w:type="dxa"/>
          <w:trHeight w:val="374"/>
        </w:trPr>
        <w:tc>
          <w:tcPr>
            <w:tcW w:w="3145" w:type="dxa"/>
          </w:tcPr>
          <w:p w:rsidR="00A07F34" w:rsidRDefault="00A07F34" w:rsidP="00F7637E">
            <w:pPr>
              <w:jc w:val="both"/>
              <w:rPr>
                <w:lang w:val="en-US"/>
              </w:rPr>
            </w:pPr>
            <w:r>
              <w:rPr>
                <w:lang w:val="en-US"/>
              </w:rPr>
              <w:t>Milk</w:t>
            </w:r>
          </w:p>
        </w:tc>
        <w:tc>
          <w:tcPr>
            <w:tcW w:w="5917" w:type="dxa"/>
          </w:tcPr>
          <w:p w:rsidR="00A07F34" w:rsidRDefault="00A07F34" w:rsidP="00F7637E">
            <w:pPr>
              <w:jc w:val="both"/>
              <w:rPr>
                <w:lang w:val="en-US"/>
              </w:rPr>
            </w:pPr>
            <w:r>
              <w:rPr>
                <w:lang w:val="en-US"/>
              </w:rPr>
              <w:t>Milk; cow milk; cow milk, natural high fat; cow milk, semi skimmed (half fat); cow milk, skimmed (low fat); cow milk, whole</w:t>
            </w:r>
          </w:p>
        </w:tc>
      </w:tr>
      <w:tr w:rsidR="00A07F34" w:rsidTr="00F7637E">
        <w:trPr>
          <w:gridAfter w:val="1"/>
          <w:wAfter w:w="10" w:type="dxa"/>
        </w:trPr>
        <w:tc>
          <w:tcPr>
            <w:tcW w:w="3145" w:type="dxa"/>
          </w:tcPr>
          <w:p w:rsidR="00A07F34" w:rsidRDefault="00A07F34" w:rsidP="00F7637E">
            <w:pPr>
              <w:jc w:val="both"/>
              <w:rPr>
                <w:lang w:val="en-US"/>
              </w:rPr>
            </w:pPr>
          </w:p>
        </w:tc>
        <w:tc>
          <w:tcPr>
            <w:tcW w:w="5917" w:type="dxa"/>
          </w:tcPr>
          <w:p w:rsidR="00A07F34" w:rsidRDefault="00A07F34" w:rsidP="00F7637E">
            <w:pPr>
              <w:jc w:val="both"/>
              <w:rPr>
                <w:lang w:val="en-US"/>
              </w:rPr>
            </w:pPr>
          </w:p>
        </w:tc>
      </w:tr>
    </w:tbl>
    <w:p w:rsidR="00A07F34" w:rsidRDefault="00A07F34" w:rsidP="00A07F34"/>
    <w:p w:rsidR="00A07F34" w:rsidRDefault="00A07F34" w:rsidP="00A07F34"/>
    <w:p w:rsidR="00A07F34" w:rsidRDefault="00A07F34" w:rsidP="00A07F34">
      <w:r>
        <w:br w:type="page"/>
      </w:r>
    </w:p>
    <w:p w:rsidR="00A07F34" w:rsidRPr="00195E6C" w:rsidRDefault="00A07F34" w:rsidP="00A07F34">
      <w:pPr>
        <w:pStyle w:val="Caption"/>
        <w:keepNext/>
        <w:rPr>
          <w:i w:val="0"/>
          <w:color w:val="auto"/>
          <w:sz w:val="24"/>
          <w:szCs w:val="24"/>
        </w:rPr>
      </w:pPr>
      <w:bookmarkStart w:id="1" w:name="_Ref47442249"/>
      <w:r w:rsidRPr="00195E6C">
        <w:rPr>
          <w:b/>
          <w:i w:val="0"/>
          <w:color w:val="auto"/>
          <w:sz w:val="24"/>
          <w:szCs w:val="24"/>
        </w:rPr>
        <w:lastRenderedPageBreak/>
        <w:t xml:space="preserve">Table </w:t>
      </w:r>
      <w:bookmarkEnd w:id="1"/>
      <w:r>
        <w:rPr>
          <w:b/>
          <w:i w:val="0"/>
          <w:color w:val="auto"/>
          <w:sz w:val="24"/>
          <w:szCs w:val="24"/>
        </w:rPr>
        <w:t>3</w:t>
      </w:r>
      <w:r w:rsidRPr="00195E6C">
        <w:rPr>
          <w:b/>
          <w:i w:val="0"/>
          <w:color w:val="auto"/>
          <w:sz w:val="24"/>
          <w:szCs w:val="24"/>
        </w:rPr>
        <w:t>.</w:t>
      </w:r>
      <w:r w:rsidRPr="00195E6C">
        <w:rPr>
          <w:i w:val="0"/>
          <w:color w:val="auto"/>
          <w:sz w:val="24"/>
          <w:szCs w:val="24"/>
        </w:rPr>
        <w:t xml:space="preserve"> Minimum and maximum inhalation rates defined for this study</w:t>
      </w:r>
      <w:r>
        <w:rPr>
          <w:i w:val="0"/>
          <w:color w:val="auto"/>
          <w:sz w:val="24"/>
          <w:szCs w:val="24"/>
        </w:rPr>
        <w:t xml:space="preserve"> based on Allan and Richardson </w:t>
      </w:r>
      <w:r>
        <w:rPr>
          <w:i w:val="0"/>
          <w:color w:val="auto"/>
          <w:sz w:val="24"/>
          <w:szCs w:val="24"/>
        </w:rPr>
        <w:fldChar w:fldCharType="begin" w:fldLock="1"/>
      </w:r>
      <w:r w:rsidR="00160ADE">
        <w:rPr>
          <w:i w:val="0"/>
          <w:color w:val="auto"/>
          <w:sz w:val="24"/>
          <w:szCs w:val="24"/>
        </w:rPr>
        <w:instrText>ADDIN CSL_CITATION {"citationItems":[{"id":"ITEM-1","itemData":{"DOI":"10.1080/10807039891284389","author":[{"dropping-particle":"","family":"Allan","given":"Margaret","non-dropping-particle":"","parse-names":false,"suffix":""},{"dropping-particle":"","family":"Richardson","given":"G Mark","non-dropping-particle":"","parse-names":false,"suffix":""}],"id":"ITEM-1","issued":{"date-parts":[["2010"]]},"title":"Human and Ecological Risk Assessment : An International Probability Density Functions Describing 24-Hour Inhalation Rates For Use in Human Health Risk Assessments Probability Density Functions Describing 24-Hour Inhalation Rates For Use in Human Health Ri","type":"article-journal","volume":"7039"},"uris":["http://www.mendeley.com/documents/?uuid=1e194ee2-6b2e-4f86-bdd4-82cd53143183"]}],"mendeley":{"formattedCitation":"(&lt;i&gt;3&lt;/i&gt;)","plainTextFormattedCitation":"(3)","previouslyFormattedCitation":"(&lt;i&gt;3&lt;/i&gt;)"},"properties":{"noteIndex":0},"schema":"https://github.com/citation-style-language/schema/raw/master/csl-citation.json"}</w:instrText>
      </w:r>
      <w:r>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3</w:t>
      </w:r>
      <w:r w:rsidR="00160ADE" w:rsidRPr="00160ADE">
        <w:rPr>
          <w:i w:val="0"/>
          <w:noProof/>
          <w:color w:val="auto"/>
          <w:sz w:val="24"/>
          <w:szCs w:val="24"/>
        </w:rPr>
        <w:t>)</w:t>
      </w:r>
      <w:r>
        <w:rPr>
          <w:i w:val="0"/>
          <w:color w:val="auto"/>
          <w:sz w:val="24"/>
          <w:szCs w:val="24"/>
        </w:rPr>
        <w:fldChar w:fldCharType="end"/>
      </w:r>
      <w:r>
        <w:rPr>
          <w:i w:val="0"/>
          <w:color w:val="auto"/>
          <w:sz w:val="24"/>
          <w:szCs w:val="24"/>
        </w:rPr>
        <w:t xml:space="preserve"> and Stifelman </w:t>
      </w:r>
      <w:r>
        <w:rPr>
          <w:i w:val="0"/>
          <w:color w:val="auto"/>
          <w:sz w:val="24"/>
          <w:szCs w:val="24"/>
        </w:rPr>
        <w:fldChar w:fldCharType="begin" w:fldLock="1"/>
      </w:r>
      <w:r w:rsidR="00160ADE">
        <w:rPr>
          <w:i w:val="0"/>
          <w:color w:val="auto"/>
          <w:sz w:val="24"/>
          <w:szCs w:val="24"/>
        </w:rPr>
        <w:instrText>ADDIN CSL_CITATION {"citationItems":[{"id":"ITEM-1","itemData":{"DOI":"10.1016/j.scitotenv.2006.11.041","ISSN":"00489697","abstract":"Doubly-labeled water (DLW) data is recognized as an improvement over alternative methods to quantify human energy expenditure. Previously, energy expenditure has been estimated indirectly using heart-rate monitoring, calorimetry, or accelerometer measurements. Inhalation rate estimates can benefit from improved energy expenditure estimates using equations developed by Layton. DLW methods are advantageous for several reasons: the database is robust, they are direct measures, subjects are free-living, and the observation period is longer than what is possible from staged activity measures. DLW energy data is an improvement over previous inhalation estimates based on dietary recall survey data. Mean long-term inhalation rates of 16 m3/day and 13 m3/day, for physically active adult men and women, respectively, were derived based on DLW estimates of energy expended. The range of human energy expenditure is narrow with the maximum energy expenditure not likely greater than twice the minimum.","author":[{"dropping-particle":"","family":"Stifelman","given":"Marc","non-dropping-particle":"","parse-names":false,"suffix":""}],"container-title":"Science of the Total Environment","id":"ITEM-1","issue":"2-3","issued":{"date-parts":[["2007"]]},"page":"585-590","title":"Using doubly-labeled water measurements of human energy expenditure to estimate inhalation rates","type":"article-journal","volume":"373"},"uris":["http://www.mendeley.com/documents/?uuid=6d95dda6-3e74-42cb-90e6-973c5a1e57c7"]}],"mendeley":{"formattedCitation":"(&lt;i&gt;4&lt;/i&gt;)","plainTextFormattedCitation":"(4)","previouslyFormattedCitation":"(&lt;i&gt;4&lt;/i&gt;)"},"properties":{"noteIndex":0},"schema":"https://github.com/citation-style-language/schema/raw/master/csl-citation.json"}</w:instrText>
      </w:r>
      <w:r>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4</w:t>
      </w:r>
      <w:r w:rsidR="00160ADE" w:rsidRPr="00160ADE">
        <w:rPr>
          <w:i w:val="0"/>
          <w:noProof/>
          <w:color w:val="auto"/>
          <w:sz w:val="24"/>
          <w:szCs w:val="24"/>
        </w:rPr>
        <w:t>)</w:t>
      </w:r>
      <w:r>
        <w:rPr>
          <w:i w:val="0"/>
          <w:color w:val="auto"/>
          <w:sz w:val="24"/>
          <w:szCs w:val="24"/>
        </w:rPr>
        <w:fldChar w:fldCharType="end"/>
      </w:r>
      <w:r>
        <w:rPr>
          <w:i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07F34" w:rsidTr="00F7637E">
        <w:tc>
          <w:tcPr>
            <w:tcW w:w="3020" w:type="dxa"/>
            <w:tcBorders>
              <w:top w:val="single" w:sz="4" w:space="0" w:color="auto"/>
              <w:bottom w:val="single" w:sz="4" w:space="0" w:color="auto"/>
            </w:tcBorders>
          </w:tcPr>
          <w:p w:rsidR="00A07F34" w:rsidRPr="006A5049" w:rsidRDefault="00A07F34" w:rsidP="00F7637E">
            <w:pPr>
              <w:jc w:val="both"/>
              <w:rPr>
                <w:rFonts w:cs="Times New Roman"/>
                <w:b/>
                <w:lang w:val="en-US"/>
              </w:rPr>
            </w:pPr>
            <w:r w:rsidRPr="006A5049">
              <w:rPr>
                <w:rFonts w:cs="Times New Roman"/>
                <w:b/>
                <w:lang w:val="en-US"/>
              </w:rPr>
              <w:t>Age category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Min inhalation rate (m</w:t>
            </w:r>
            <w:r w:rsidRPr="006A5049">
              <w:rPr>
                <w:rFonts w:cs="Times New Roman"/>
                <w:b/>
                <w:vertAlign w:val="superscript"/>
                <w:lang w:val="en-US"/>
              </w:rPr>
              <w:t>3</w:t>
            </w:r>
            <w:r w:rsidRPr="006A5049">
              <w:rPr>
                <w:rFonts w:cs="Times New Roman"/>
                <w:b/>
                <w:lang w:val="en-US"/>
              </w:rPr>
              <w:t>/day)</w:t>
            </w:r>
          </w:p>
        </w:tc>
        <w:tc>
          <w:tcPr>
            <w:tcW w:w="3021" w:type="dxa"/>
            <w:tcBorders>
              <w:top w:val="single" w:sz="4" w:space="0" w:color="auto"/>
              <w:bottom w:val="single" w:sz="4" w:space="0" w:color="auto"/>
            </w:tcBorders>
            <w:vAlign w:val="center"/>
          </w:tcPr>
          <w:p w:rsidR="00A07F34" w:rsidRPr="006A5049" w:rsidRDefault="00A07F34" w:rsidP="00F7637E">
            <w:pPr>
              <w:jc w:val="center"/>
              <w:rPr>
                <w:rFonts w:cs="Times New Roman"/>
                <w:b/>
                <w:lang w:val="en-US"/>
              </w:rPr>
            </w:pPr>
            <w:r w:rsidRPr="006A5049">
              <w:rPr>
                <w:rFonts w:cs="Times New Roman"/>
                <w:b/>
                <w:lang w:val="en-US"/>
              </w:rPr>
              <w:t>Max inhalation rate (m</w:t>
            </w:r>
            <w:r w:rsidRPr="006A5049">
              <w:rPr>
                <w:rFonts w:cs="Times New Roman"/>
                <w:b/>
                <w:vertAlign w:val="superscript"/>
                <w:lang w:val="en-US"/>
              </w:rPr>
              <w:t>3</w:t>
            </w:r>
            <w:r w:rsidRPr="006A5049">
              <w:rPr>
                <w:rFonts w:cs="Times New Roman"/>
                <w:b/>
                <w:lang w:val="en-US"/>
              </w:rPr>
              <w:t>/day)</w:t>
            </w:r>
          </w:p>
        </w:tc>
      </w:tr>
      <w:tr w:rsidR="00A07F34" w:rsidTr="00F7637E">
        <w:tc>
          <w:tcPr>
            <w:tcW w:w="3020" w:type="dxa"/>
            <w:tcBorders>
              <w:top w:val="single" w:sz="4" w:space="0" w:color="auto"/>
            </w:tcBorders>
          </w:tcPr>
          <w:p w:rsidR="00A07F34" w:rsidRDefault="00A07F34" w:rsidP="00F7637E">
            <w:pPr>
              <w:jc w:val="both"/>
              <w:rPr>
                <w:rFonts w:cs="Times New Roman"/>
                <w:lang w:val="en-US"/>
              </w:rPr>
            </w:pPr>
            <w:r>
              <w:rPr>
                <w:rFonts w:cs="Times New Roman"/>
                <w:lang w:val="en-US"/>
              </w:rPr>
              <w:t>Toddlers (7 months–4 years)</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4.9</w:t>
            </w:r>
          </w:p>
        </w:tc>
        <w:tc>
          <w:tcPr>
            <w:tcW w:w="3021" w:type="dxa"/>
            <w:tcBorders>
              <w:top w:val="single" w:sz="4" w:space="0" w:color="auto"/>
            </w:tcBorders>
            <w:vAlign w:val="center"/>
          </w:tcPr>
          <w:p w:rsidR="00A07F34" w:rsidRDefault="00A07F34" w:rsidP="00F7637E">
            <w:pPr>
              <w:jc w:val="center"/>
              <w:rPr>
                <w:rFonts w:cs="Times New Roman"/>
                <w:lang w:val="en-US"/>
              </w:rPr>
            </w:pPr>
            <w:r>
              <w:rPr>
                <w:rFonts w:cs="Times New Roman"/>
                <w:lang w:val="en-US"/>
              </w:rPr>
              <w:t>16.1</w:t>
            </w:r>
          </w:p>
        </w:tc>
      </w:tr>
      <w:tr w:rsidR="00A07F34" w:rsidTr="00F7637E">
        <w:tc>
          <w:tcPr>
            <w:tcW w:w="3020" w:type="dxa"/>
          </w:tcPr>
          <w:p w:rsidR="00A07F34" w:rsidRDefault="00A07F34" w:rsidP="00F7637E">
            <w:pPr>
              <w:jc w:val="both"/>
              <w:rPr>
                <w:rFonts w:cs="Times New Roman"/>
                <w:lang w:val="en-US"/>
              </w:rPr>
            </w:pPr>
            <w:r>
              <w:rPr>
                <w:rFonts w:cs="Times New Roman"/>
                <w:lang w:val="en-US"/>
              </w:rPr>
              <w:t>Children (5 – 11 years)</w:t>
            </w:r>
          </w:p>
        </w:tc>
        <w:tc>
          <w:tcPr>
            <w:tcW w:w="3021" w:type="dxa"/>
            <w:vAlign w:val="center"/>
          </w:tcPr>
          <w:p w:rsidR="00A07F34" w:rsidRDefault="00A07F34" w:rsidP="00F7637E">
            <w:pPr>
              <w:jc w:val="center"/>
              <w:rPr>
                <w:rFonts w:cs="Times New Roman"/>
                <w:lang w:val="en-US"/>
              </w:rPr>
            </w:pPr>
            <w:r>
              <w:rPr>
                <w:rFonts w:cs="Times New Roman"/>
                <w:lang w:val="en-US"/>
              </w:rPr>
              <w:t>8.8</w:t>
            </w:r>
          </w:p>
        </w:tc>
        <w:tc>
          <w:tcPr>
            <w:tcW w:w="3021" w:type="dxa"/>
            <w:vAlign w:val="center"/>
          </w:tcPr>
          <w:p w:rsidR="00A07F34" w:rsidRDefault="00A07F34" w:rsidP="00F7637E">
            <w:pPr>
              <w:jc w:val="center"/>
              <w:rPr>
                <w:rFonts w:cs="Times New Roman"/>
                <w:lang w:val="en-US"/>
              </w:rPr>
            </w:pPr>
            <w:r>
              <w:rPr>
                <w:rFonts w:cs="Times New Roman"/>
                <w:lang w:val="en-US"/>
              </w:rPr>
              <w:t>23.3</w:t>
            </w:r>
          </w:p>
        </w:tc>
      </w:tr>
      <w:tr w:rsidR="00A07F34" w:rsidTr="00F7637E">
        <w:tc>
          <w:tcPr>
            <w:tcW w:w="3020" w:type="dxa"/>
          </w:tcPr>
          <w:p w:rsidR="00A07F34" w:rsidRDefault="00A07F34" w:rsidP="00F7637E">
            <w:pPr>
              <w:jc w:val="both"/>
              <w:rPr>
                <w:rFonts w:cs="Times New Roman"/>
                <w:lang w:val="en-US"/>
              </w:rPr>
            </w:pPr>
            <w:r>
              <w:rPr>
                <w:rFonts w:cs="Times New Roman"/>
                <w:lang w:val="en-US"/>
              </w:rPr>
              <w:t>Teenagers (12 – 19 years)</w:t>
            </w:r>
          </w:p>
        </w:tc>
        <w:tc>
          <w:tcPr>
            <w:tcW w:w="3021" w:type="dxa"/>
            <w:vAlign w:val="center"/>
          </w:tcPr>
          <w:p w:rsidR="00A07F34" w:rsidRDefault="00A07F34" w:rsidP="00F7637E">
            <w:pPr>
              <w:jc w:val="center"/>
              <w:rPr>
                <w:rFonts w:cs="Times New Roman"/>
                <w:lang w:val="en-US"/>
              </w:rPr>
            </w:pPr>
            <w:r>
              <w:rPr>
                <w:rFonts w:cs="Times New Roman"/>
                <w:lang w:val="en-US"/>
              </w:rPr>
              <w:t>9.5</w:t>
            </w:r>
          </w:p>
        </w:tc>
        <w:tc>
          <w:tcPr>
            <w:tcW w:w="3021" w:type="dxa"/>
            <w:vAlign w:val="center"/>
          </w:tcPr>
          <w:p w:rsidR="00A07F34" w:rsidRDefault="00A07F34" w:rsidP="00F7637E">
            <w:pPr>
              <w:jc w:val="center"/>
              <w:rPr>
                <w:rFonts w:cs="Times New Roman"/>
                <w:lang w:val="en-US"/>
              </w:rPr>
            </w:pPr>
            <w:r>
              <w:rPr>
                <w:rFonts w:cs="Times New Roman"/>
                <w:lang w:val="en-US"/>
              </w:rPr>
              <w:t>27.9</w:t>
            </w:r>
          </w:p>
        </w:tc>
      </w:tr>
      <w:tr w:rsidR="00A07F34" w:rsidTr="00F7637E">
        <w:tc>
          <w:tcPr>
            <w:tcW w:w="3020" w:type="dxa"/>
          </w:tcPr>
          <w:p w:rsidR="00A07F34" w:rsidRDefault="00A07F34" w:rsidP="00F7637E">
            <w:pPr>
              <w:jc w:val="both"/>
              <w:rPr>
                <w:rFonts w:cs="Times New Roman"/>
                <w:lang w:val="en-US"/>
              </w:rPr>
            </w:pPr>
            <w:r>
              <w:rPr>
                <w:rFonts w:cs="Times New Roman"/>
                <w:lang w:val="en-US"/>
              </w:rPr>
              <w:t>Adults (20 – 59 years)</w:t>
            </w:r>
          </w:p>
        </w:tc>
        <w:tc>
          <w:tcPr>
            <w:tcW w:w="3021" w:type="dxa"/>
            <w:vAlign w:val="center"/>
          </w:tcPr>
          <w:p w:rsidR="00A07F34" w:rsidRDefault="00A07F34" w:rsidP="00F7637E">
            <w:pPr>
              <w:jc w:val="center"/>
              <w:rPr>
                <w:rFonts w:cs="Times New Roman"/>
                <w:lang w:val="en-US"/>
              </w:rPr>
            </w:pPr>
            <w:r>
              <w:rPr>
                <w:rFonts w:cs="Times New Roman"/>
                <w:lang w:val="en-US"/>
              </w:rPr>
              <w:t>9.7</w:t>
            </w:r>
          </w:p>
        </w:tc>
        <w:tc>
          <w:tcPr>
            <w:tcW w:w="3021" w:type="dxa"/>
            <w:vAlign w:val="center"/>
          </w:tcPr>
          <w:p w:rsidR="00A07F34" w:rsidRDefault="00A07F34" w:rsidP="00F7637E">
            <w:pPr>
              <w:jc w:val="center"/>
              <w:rPr>
                <w:rFonts w:cs="Times New Roman"/>
                <w:lang w:val="en-US"/>
              </w:rPr>
            </w:pPr>
            <w:r>
              <w:rPr>
                <w:rFonts w:cs="Times New Roman"/>
                <w:lang w:val="en-US"/>
              </w:rPr>
              <w:t>26.7</w:t>
            </w:r>
          </w:p>
        </w:tc>
      </w:tr>
      <w:tr w:rsidR="00A07F34" w:rsidTr="00F7637E">
        <w:tc>
          <w:tcPr>
            <w:tcW w:w="3020" w:type="dxa"/>
            <w:tcBorders>
              <w:bottom w:val="single" w:sz="4" w:space="0" w:color="auto"/>
            </w:tcBorders>
          </w:tcPr>
          <w:p w:rsidR="00A07F34" w:rsidRDefault="00A07F34" w:rsidP="00F7637E">
            <w:pPr>
              <w:jc w:val="both"/>
              <w:rPr>
                <w:rFonts w:cs="Times New Roman"/>
                <w:lang w:val="en-US"/>
              </w:rPr>
            </w:pPr>
            <w:r>
              <w:rPr>
                <w:rFonts w:cs="Times New Roman"/>
                <w:lang w:val="en-US"/>
              </w:rPr>
              <w:t>Seniors (&gt;60 years)</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8.6</w:t>
            </w:r>
          </w:p>
        </w:tc>
        <w:tc>
          <w:tcPr>
            <w:tcW w:w="3021" w:type="dxa"/>
            <w:tcBorders>
              <w:bottom w:val="single" w:sz="4" w:space="0" w:color="auto"/>
            </w:tcBorders>
            <w:vAlign w:val="center"/>
          </w:tcPr>
          <w:p w:rsidR="00A07F34" w:rsidRDefault="00A07F34" w:rsidP="00F7637E">
            <w:pPr>
              <w:jc w:val="center"/>
              <w:rPr>
                <w:rFonts w:cs="Times New Roman"/>
                <w:lang w:val="en-US"/>
              </w:rPr>
            </w:pPr>
            <w:r>
              <w:rPr>
                <w:rFonts w:cs="Times New Roman"/>
                <w:lang w:val="en-US"/>
              </w:rPr>
              <w:t>24.1</w:t>
            </w:r>
          </w:p>
        </w:tc>
      </w:tr>
    </w:tbl>
    <w:p w:rsidR="00A07F34" w:rsidRPr="00520ED3" w:rsidRDefault="00A07F34" w:rsidP="00A07F34"/>
    <w:p w:rsidR="00A07F34" w:rsidRPr="00E74BC1" w:rsidRDefault="00A07F34" w:rsidP="00A07F34">
      <w:pPr>
        <w:pStyle w:val="Caption"/>
        <w:keepNext/>
        <w:rPr>
          <w:i w:val="0"/>
          <w:color w:val="auto"/>
          <w:sz w:val="24"/>
          <w:szCs w:val="24"/>
        </w:rPr>
      </w:pPr>
      <w:r w:rsidRPr="00520ED3">
        <w:rPr>
          <w:b/>
          <w:i w:val="0"/>
          <w:color w:val="auto"/>
          <w:sz w:val="24"/>
          <w:szCs w:val="24"/>
        </w:rPr>
        <w:t xml:space="preserve">Table </w:t>
      </w:r>
      <w:r>
        <w:rPr>
          <w:b/>
          <w:i w:val="0"/>
          <w:color w:val="auto"/>
          <w:sz w:val="24"/>
          <w:szCs w:val="24"/>
        </w:rPr>
        <w:t>4</w:t>
      </w:r>
      <w:r w:rsidRPr="00520ED3">
        <w:rPr>
          <w:b/>
          <w:i w:val="0"/>
          <w:color w:val="auto"/>
          <w:sz w:val="24"/>
          <w:szCs w:val="24"/>
        </w:rPr>
        <w:t>.</w:t>
      </w:r>
      <w:r w:rsidRPr="00520ED3">
        <w:rPr>
          <w:i w:val="0"/>
          <w:color w:val="auto"/>
          <w:sz w:val="24"/>
          <w:szCs w:val="24"/>
        </w:rPr>
        <w:t xml:space="preserve"> </w:t>
      </w:r>
      <w:r w:rsidRPr="00E74BC1">
        <w:rPr>
          <w:i w:val="0"/>
          <w:color w:val="auto"/>
          <w:sz w:val="24"/>
          <w:szCs w:val="24"/>
        </w:rPr>
        <w:t xml:space="preserve">Biliary excretion rates </w:t>
      </w:r>
      <w:r w:rsidR="00160ADE">
        <w:rPr>
          <w:i w:val="0"/>
          <w:color w:val="auto"/>
          <w:sz w:val="24"/>
          <w:szCs w:val="24"/>
        </w:rPr>
        <w:t>(</w:t>
      </w:r>
      <w:proofErr w:type="spellStart"/>
      <w:r w:rsidR="00160ADE">
        <w:rPr>
          <w:i w:val="0"/>
          <w:color w:val="auto"/>
          <w:sz w:val="24"/>
          <w:szCs w:val="24"/>
        </w:rPr>
        <w:t>k</w:t>
      </w:r>
      <w:r w:rsidR="00160ADE">
        <w:rPr>
          <w:i w:val="0"/>
          <w:color w:val="auto"/>
          <w:sz w:val="24"/>
          <w:szCs w:val="24"/>
          <w:vertAlign w:val="subscript"/>
        </w:rPr>
        <w:t>tis</w:t>
      </w:r>
      <w:proofErr w:type="spellEnd"/>
      <w:r w:rsidR="00160ADE">
        <w:rPr>
          <w:i w:val="0"/>
          <w:color w:val="auto"/>
          <w:sz w:val="24"/>
          <w:szCs w:val="24"/>
        </w:rPr>
        <w:t xml:space="preserve">) </w:t>
      </w:r>
      <w:r w:rsidRPr="00E74BC1">
        <w:rPr>
          <w:i w:val="0"/>
          <w:color w:val="auto"/>
          <w:sz w:val="24"/>
          <w:szCs w:val="24"/>
        </w:rPr>
        <w:t xml:space="preserve">for human. The rate constants for rat and mouse from </w:t>
      </w:r>
      <w:proofErr w:type="spellStart"/>
      <w:r w:rsidRPr="00E74BC1">
        <w:rPr>
          <w:i w:val="0"/>
          <w:color w:val="auto"/>
          <w:sz w:val="24"/>
          <w:szCs w:val="24"/>
        </w:rPr>
        <w:t>Ogawara</w:t>
      </w:r>
      <w:proofErr w:type="spellEnd"/>
      <w:r w:rsidRPr="00E74BC1">
        <w:rPr>
          <w:i w:val="0"/>
          <w:color w:val="auto"/>
          <w:sz w:val="24"/>
          <w:szCs w:val="24"/>
        </w:rPr>
        <w:t xml:space="preserve"> et al. </w:t>
      </w:r>
      <w:r w:rsidR="00160ADE">
        <w:rPr>
          <w:i w:val="0"/>
          <w:color w:val="auto"/>
          <w:sz w:val="24"/>
          <w:szCs w:val="24"/>
        </w:rPr>
        <w:fldChar w:fldCharType="begin" w:fldLock="1"/>
      </w:r>
      <w:r w:rsidR="00160ADE">
        <w:rPr>
          <w:i w:val="0"/>
          <w:color w:val="auto"/>
          <w:sz w:val="24"/>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5</w:t>
      </w:r>
      <w:r w:rsidR="00160ADE" w:rsidRPr="00160ADE">
        <w:rPr>
          <w:i w:val="0"/>
          <w:noProof/>
          <w:color w:val="auto"/>
          <w:sz w:val="24"/>
          <w:szCs w:val="24"/>
        </w:rPr>
        <w:t>)</w:t>
      </w:r>
      <w:r w:rsidR="00160ADE">
        <w:rPr>
          <w:i w:val="0"/>
          <w:color w:val="auto"/>
          <w:sz w:val="24"/>
          <w:szCs w:val="24"/>
        </w:rPr>
        <w:fldChar w:fldCharType="end"/>
      </w:r>
      <w:r w:rsidR="00160ADE">
        <w:rPr>
          <w:i w:val="0"/>
          <w:color w:val="auto"/>
          <w:sz w:val="24"/>
          <w:szCs w:val="24"/>
        </w:rPr>
        <w:t xml:space="preserve"> </w:t>
      </w:r>
      <w:r w:rsidRPr="00E74BC1">
        <w:rPr>
          <w:i w:val="0"/>
          <w:color w:val="auto"/>
          <w:sz w:val="24"/>
          <w:szCs w:val="24"/>
        </w:rPr>
        <w:t xml:space="preserve">and Li et al. </w:t>
      </w:r>
      <w:r w:rsidR="00160ADE">
        <w:rPr>
          <w:i w:val="0"/>
          <w:color w:val="auto"/>
          <w:sz w:val="24"/>
          <w:szCs w:val="24"/>
        </w:rPr>
        <w:fldChar w:fldCharType="begin" w:fldLock="1"/>
      </w:r>
      <w:r w:rsidR="00160ADE">
        <w:rPr>
          <w:i w:val="0"/>
          <w:color w:val="auto"/>
          <w:sz w:val="24"/>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6</w:t>
      </w:r>
      <w:r w:rsidR="00160ADE" w:rsidRPr="00160ADE">
        <w:rPr>
          <w:i w:val="0"/>
          <w:noProof/>
          <w:color w:val="auto"/>
          <w:sz w:val="24"/>
          <w:szCs w:val="24"/>
        </w:rPr>
        <w:t>)</w:t>
      </w:r>
      <w:r w:rsidR="00160ADE">
        <w:rPr>
          <w:i w:val="0"/>
          <w:color w:val="auto"/>
          <w:sz w:val="24"/>
          <w:szCs w:val="24"/>
        </w:rPr>
        <w:fldChar w:fldCharType="end"/>
      </w:r>
      <w:r w:rsidR="00160ADE">
        <w:rPr>
          <w:i w:val="0"/>
          <w:color w:val="auto"/>
          <w:sz w:val="24"/>
          <w:szCs w:val="24"/>
        </w:rPr>
        <w:t xml:space="preserve"> </w:t>
      </w:r>
      <w:r w:rsidRPr="00E74BC1">
        <w:rPr>
          <w:i w:val="0"/>
          <w:color w:val="auto"/>
          <w:sz w:val="24"/>
          <w:szCs w:val="24"/>
        </w:rPr>
        <w:t>were rescaled for human with a correction factor of 2.5 which is based on the ratio from the</w:t>
      </w:r>
      <w:r>
        <w:rPr>
          <w:i w:val="0"/>
          <w:color w:val="auto"/>
          <w:sz w:val="24"/>
          <w:szCs w:val="24"/>
        </w:rPr>
        <w:t xml:space="preserve"> biliary excretion rates of </w:t>
      </w:r>
      <w:proofErr w:type="spellStart"/>
      <w:r w:rsidRPr="00E74BC1">
        <w:rPr>
          <w:i w:val="0"/>
          <w:color w:val="auto"/>
          <w:sz w:val="24"/>
          <w:szCs w:val="24"/>
        </w:rPr>
        <w:t>rat:human</w:t>
      </w:r>
      <w:proofErr w:type="spellEnd"/>
      <w:r w:rsidRPr="00E74BC1">
        <w:rPr>
          <w:i w:val="0"/>
          <w:color w:val="auto"/>
          <w:sz w:val="24"/>
          <w:szCs w:val="24"/>
        </w:rPr>
        <w:t xml:space="preserve"> from Bachler et al.</w:t>
      </w:r>
      <w:r w:rsidR="00160ADE">
        <w:rPr>
          <w:i w:val="0"/>
          <w:color w:val="auto"/>
          <w:sz w:val="24"/>
          <w:szCs w:val="24"/>
        </w:rPr>
        <w:t xml:space="preserve"> </w:t>
      </w:r>
      <w:r w:rsidR="00160ADE">
        <w:rPr>
          <w:i w:val="0"/>
          <w:color w:val="auto"/>
          <w:sz w:val="24"/>
          <w:szCs w:val="24"/>
        </w:rPr>
        <w:fldChar w:fldCharType="begin" w:fldLock="1"/>
      </w:r>
      <w:r w:rsidR="00160ADE">
        <w:rPr>
          <w:i w:val="0"/>
          <w:color w:val="auto"/>
          <w:sz w:val="24"/>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00160ADE">
        <w:rPr>
          <w:i w:val="0"/>
          <w:color w:val="auto"/>
          <w:sz w:val="24"/>
          <w:szCs w:val="24"/>
        </w:rPr>
        <w:fldChar w:fldCharType="separate"/>
      </w:r>
      <w:r w:rsidR="00160ADE" w:rsidRPr="00160ADE">
        <w:rPr>
          <w:i w:val="0"/>
          <w:noProof/>
          <w:color w:val="auto"/>
          <w:sz w:val="24"/>
          <w:szCs w:val="24"/>
        </w:rPr>
        <w:t>(</w:t>
      </w:r>
      <w:r w:rsidR="00160ADE" w:rsidRPr="00160ADE">
        <w:rPr>
          <w:noProof/>
          <w:color w:val="auto"/>
          <w:sz w:val="24"/>
          <w:szCs w:val="24"/>
        </w:rPr>
        <w:t>7</w:t>
      </w:r>
      <w:r w:rsidR="00160ADE" w:rsidRPr="00160ADE">
        <w:rPr>
          <w:i w:val="0"/>
          <w:noProof/>
          <w:color w:val="auto"/>
          <w:sz w:val="24"/>
          <w:szCs w:val="24"/>
        </w:rPr>
        <w:t>)</w:t>
      </w:r>
      <w:r w:rsidR="00160ADE">
        <w:rPr>
          <w:i w:val="0"/>
          <w:color w:val="auto"/>
          <w:sz w:val="24"/>
          <w:szCs w:val="24"/>
        </w:rPr>
        <w:fldChar w:fldCharType="end"/>
      </w:r>
      <w:r>
        <w:rPr>
          <w:i w:val="0"/>
          <w:color w:val="auto"/>
          <w:sz w:val="24"/>
          <w:szCs w:val="24"/>
        </w:rPr>
        <w:t>.</w:t>
      </w:r>
      <w:r w:rsidRPr="00E74BC1">
        <w:rPr>
          <w:i w:val="0"/>
          <w:color w:val="auto"/>
          <w:sz w:val="24"/>
          <w:szCs w:val="24"/>
        </w:rPr>
        <w:t xml:space="preserve">    </w:t>
      </w:r>
    </w:p>
    <w:tbl>
      <w:tblPr>
        <w:tblStyle w:val="TableGrid"/>
        <w:tblW w:w="908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0"/>
        <w:gridCol w:w="970"/>
        <w:gridCol w:w="1349"/>
        <w:gridCol w:w="1272"/>
        <w:gridCol w:w="1469"/>
        <w:gridCol w:w="2245"/>
      </w:tblGrid>
      <w:tr w:rsidR="00A07F34" w:rsidRPr="006A5049" w:rsidTr="00F7637E">
        <w:tc>
          <w:tcPr>
            <w:tcW w:w="178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Material</w:t>
            </w:r>
          </w:p>
        </w:tc>
        <w:tc>
          <w:tcPr>
            <w:tcW w:w="970"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Size (nm)</w:t>
            </w:r>
          </w:p>
        </w:tc>
        <w:tc>
          <w:tcPr>
            <w:tcW w:w="134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Route of exposure</w:t>
            </w:r>
          </w:p>
        </w:tc>
        <w:tc>
          <w:tcPr>
            <w:tcW w:w="1272"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Organism</w:t>
            </w:r>
          </w:p>
        </w:tc>
        <w:tc>
          <w:tcPr>
            <w:tcW w:w="1469"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proofErr w:type="spellStart"/>
            <w:r w:rsidRPr="006A5049">
              <w:rPr>
                <w:rFonts w:cs="Times New Roman"/>
                <w:b/>
                <w:bCs/>
                <w:color w:val="000000"/>
                <w:szCs w:val="24"/>
              </w:rPr>
              <w:t>k</w:t>
            </w:r>
            <w:r w:rsidR="00160ADE">
              <w:rPr>
                <w:rFonts w:cs="Times New Roman"/>
                <w:b/>
                <w:bCs/>
                <w:color w:val="000000"/>
                <w:szCs w:val="24"/>
                <w:vertAlign w:val="subscript"/>
              </w:rPr>
              <w:t>tis</w:t>
            </w:r>
            <w:proofErr w:type="spellEnd"/>
            <w:r w:rsidRPr="006A5049">
              <w:rPr>
                <w:rFonts w:cs="Times New Roman"/>
                <w:b/>
                <w:bCs/>
                <w:color w:val="000000"/>
                <w:szCs w:val="24"/>
                <w:vertAlign w:val="subscript"/>
              </w:rPr>
              <w:t xml:space="preserve"> </w:t>
            </w:r>
            <w:r w:rsidRPr="006A5049">
              <w:rPr>
                <w:rFonts w:cs="Times New Roman"/>
                <w:b/>
                <w:bCs/>
                <w:color w:val="000000"/>
                <w:szCs w:val="24"/>
              </w:rPr>
              <w:t>(min</w:t>
            </w:r>
            <w:r w:rsidRPr="006A5049">
              <w:rPr>
                <w:rFonts w:cs="Times New Roman"/>
                <w:b/>
                <w:bCs/>
                <w:color w:val="000000"/>
                <w:szCs w:val="24"/>
                <w:vertAlign w:val="superscript"/>
              </w:rPr>
              <w:t>-1</w:t>
            </w:r>
            <w:r w:rsidRPr="006A5049">
              <w:rPr>
                <w:rFonts w:cs="Times New Roman"/>
                <w:b/>
                <w:bCs/>
                <w:color w:val="000000"/>
                <w:szCs w:val="24"/>
              </w:rPr>
              <w:t>)</w:t>
            </w:r>
          </w:p>
        </w:tc>
        <w:tc>
          <w:tcPr>
            <w:tcW w:w="2245" w:type="dxa"/>
            <w:tcBorders>
              <w:top w:val="single" w:sz="4" w:space="0" w:color="auto"/>
              <w:bottom w:val="single" w:sz="4" w:space="0" w:color="auto"/>
            </w:tcBorders>
            <w:vAlign w:val="center"/>
          </w:tcPr>
          <w:p w:rsidR="00A07F34" w:rsidRPr="006A5049" w:rsidRDefault="00A07F34" w:rsidP="00F7637E">
            <w:pPr>
              <w:jc w:val="center"/>
              <w:rPr>
                <w:rFonts w:cs="Times New Roman"/>
                <w:b/>
                <w:bCs/>
                <w:color w:val="000000"/>
                <w:szCs w:val="24"/>
              </w:rPr>
            </w:pPr>
            <w:r w:rsidRPr="006A5049">
              <w:rPr>
                <w:rFonts w:cs="Times New Roman"/>
                <w:b/>
                <w:bCs/>
                <w:color w:val="000000"/>
                <w:szCs w:val="24"/>
              </w:rPr>
              <w:t>Reference</w:t>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w:t>
            </w: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5.76E-03</w:t>
            </w:r>
          </w:p>
        </w:tc>
        <w:tc>
          <w:tcPr>
            <w:tcW w:w="2245" w:type="dxa"/>
            <w:tcBorders>
              <w:top w:val="single" w:sz="4" w:space="0" w:color="auto"/>
            </w:tcBorders>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sidR="00160ADE">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5</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Polystyrene</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500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Rat</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5.56E-03</w:t>
            </w:r>
          </w:p>
        </w:tc>
        <w:tc>
          <w:tcPr>
            <w:tcW w:w="2245" w:type="dxa"/>
            <w:vAlign w:val="center"/>
          </w:tcPr>
          <w:p w:rsidR="00A07F34" w:rsidRPr="006A5049" w:rsidRDefault="00A07F34" w:rsidP="00F7637E">
            <w:pPr>
              <w:jc w:val="center"/>
              <w:rPr>
                <w:rFonts w:cs="Times New Roman"/>
                <w:szCs w:val="24"/>
              </w:rPr>
            </w:pPr>
            <w:proofErr w:type="spellStart"/>
            <w:r w:rsidRPr="006A5049">
              <w:rPr>
                <w:rFonts w:cs="Times New Roman"/>
                <w:szCs w:val="24"/>
              </w:rPr>
              <w:t>Ogawara</w:t>
            </w:r>
            <w:proofErr w:type="spellEnd"/>
            <w:r w:rsidRPr="006A5049">
              <w:rPr>
                <w:rFonts w:cs="Times New Roman"/>
                <w:szCs w:val="24"/>
              </w:rPr>
              <w:t xml:space="preserve"> et al. </w:t>
            </w:r>
            <w:r w:rsidRPr="006A5049">
              <w:rPr>
                <w:rFonts w:cs="Times New Roman"/>
                <w:szCs w:val="24"/>
              </w:rPr>
              <w:fldChar w:fldCharType="begin" w:fldLock="1"/>
            </w:r>
            <w:r w:rsidR="00160ADE">
              <w:rPr>
                <w:rFonts w:cs="Times New Roman"/>
                <w:szCs w:val="24"/>
              </w:rPr>
              <w:instrText>ADDIN CSL_CITATION {"citationItems":[{"id":"ITEM-1","itemData":{"DOI":"10.1016/S0168-3659(99)00121-2","ISSN":"01683659","abstract":"To study the mechanisms of the hepatic disposition of polystyrene microspheres (MS), effects of serum on their hepatic disposition characteristics were investigated for MSs with particle sizes of 50 nm (MS-50) and 500 nm (MS-500) by isolated liver perfusion experiments. It was revealed that serum in the perfusate inhibited and promoted the hepatic disposition of MS-50 and MS-500 at 37°C, respectively. However, pre-heating at 56°C or pre-treatment with anti-C3 antibody of serum reduced the promotive effect of serum on the hepatic uptake of MS-500, suggesting that the complement system should be involved as opsonins for the hepatic uptake of MS-500. Hepatic disposition of both MSs at 4°C was reduced by the addition of serum into the perfusate, which could be ascribed to the reduction of the surface hydrophobicity of MSs due to the adsorption of serum proteins onto the surface of MSs and to resultant decrease in non-specific disposition to the liver. From these results, serum was found to function both as the opsonin to enhance the hepatic uptake of MSs and as the inhibitor by reducing non-specific interaction between MSs and the plasma membrane. Whether serum promotes or inhibits the hepatic disposition of MSs would be dependent on the particle sizes of MSs. Copyright (C) 1999 Elsevier Science B.V.","author":[{"dropping-particle":"","family":"Ogawara","given":"Ken ichi","non-dropping-particle":"","parse-names":false,"suffix":""},{"dropping-particle":"","family":"Yoshida","given":"Minoru","non-dropping-particle":"","parse-names":false,"suffix":""},{"dropping-particle":"","family":"Kubo","given":"Jun ichi","non-dropping-particle":"","parse-names":false,"suffix":""},{"dropping-particle":"","family":"Nishikawa","given":"Makiya","non-dropping-particle":"","parse-names":false,"suffix":""},{"dropping-particle":"","family":"Takakura","given":"Yoshinobu","non-dropping-particle":"","parse-names":false,"suffix":""},{"dropping-particle":"","family":"Hashida","given":"Mitsuru","non-dropping-particle":"","parse-names":false,"suffix":""},{"dropping-particle":"","family":"Higaki","given":"Kazutaka","non-dropping-particle":"","parse-names":false,"suffix":""},{"dropping-particle":"","family":"Kimura","given":"Toshikiro","non-dropping-particle":"","parse-names":false,"suffix":""}],"container-title":"Journal of Controlled Release","id":"ITEM-1","issue":"3","issued":{"date-parts":[["1999"]]},"page":"241-250","title":"Mechanisms of hepatic disposition of polystyrene microspheres in rats: Effects of serum depend on the sizes of microspheres","type":"article-journal","volume":"61"},"uris":["http://www.mendeley.com/documents/?uuid=871efcbb-3486-47f3-8207-063a2870c12a"]}],"mendeley":{"formattedCitation":"(&lt;i&gt;5&lt;/i&gt;)","plainTextFormattedCitation":"(5)","previouslyFormattedCitation":"(&lt;i&gt;5&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5</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Silver NP</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15-150</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Dermal, oral, inhalation</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Human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3.54E-03</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sidR="00160ADE">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7</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Silver NP</w:t>
            </w:r>
          </w:p>
        </w:tc>
        <w:tc>
          <w:tcPr>
            <w:tcW w:w="970"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15-150</w:t>
            </w:r>
          </w:p>
        </w:tc>
        <w:tc>
          <w:tcPr>
            <w:tcW w:w="134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Dermal, oral, inhalation</w:t>
            </w:r>
          </w:p>
        </w:tc>
        <w:tc>
          <w:tcPr>
            <w:tcW w:w="1272"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Rat</w:t>
            </w:r>
          </w:p>
        </w:tc>
        <w:tc>
          <w:tcPr>
            <w:tcW w:w="1469" w:type="dxa"/>
            <w:vAlign w:val="center"/>
          </w:tcPr>
          <w:p w:rsidR="00A07F34" w:rsidRPr="00E74BC1" w:rsidRDefault="00A07F34" w:rsidP="00F7637E">
            <w:pPr>
              <w:jc w:val="center"/>
              <w:rPr>
                <w:rFonts w:cs="Times New Roman"/>
                <w:color w:val="000000"/>
                <w:szCs w:val="24"/>
              </w:rPr>
            </w:pPr>
            <w:r w:rsidRPr="00E74BC1">
              <w:rPr>
                <w:rFonts w:cs="Times New Roman"/>
                <w:color w:val="000000"/>
                <w:szCs w:val="24"/>
              </w:rPr>
              <w:t>9.00E-03</w:t>
            </w:r>
          </w:p>
          <w:p w:rsidR="00A07F34" w:rsidRPr="006A5049" w:rsidRDefault="00A07F34" w:rsidP="00F7637E">
            <w:pPr>
              <w:jc w:val="center"/>
              <w:rPr>
                <w:rFonts w:cs="Times New Roman"/>
                <w:color w:val="000000"/>
                <w:szCs w:val="24"/>
              </w:rPr>
            </w:pP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Bachler et al. </w:t>
            </w:r>
            <w:r w:rsidRPr="006A5049">
              <w:rPr>
                <w:rFonts w:cs="Times New Roman"/>
                <w:szCs w:val="24"/>
              </w:rPr>
              <w:fldChar w:fldCharType="begin" w:fldLock="1"/>
            </w:r>
            <w:r w:rsidR="00160ADE">
              <w:rPr>
                <w:rFonts w:cs="Times New Roman"/>
                <w:szCs w:val="24"/>
              </w:rPr>
              <w:instrText>ADDIN CSL_CITATION {"citationItems":[{"id":"ITEM-1","itemData":{"DOI":"10.2147/IJN.S46624","ISSN":"11769114","abstract":"Silver is a strong antibiotic that is increasingly incorporated into consumer products as a bulk, salt, or nanosilver, thus potentially causing side-effects related to human exposure. However, the fate and behavior of (nano)silver in the human body is presently not well understood. In order to aggregate the existing experimental information, a physiologically based pharmacokinetic model (PBPK) was developed in this study for ionic silver and nanosilver. The structure of the model was established on the basis of toxicokinetic data from intravenous studies. The number of calibrated parameters was minimized in order to enhance the predictive capability of the model. We validated the model structure for both silver forms by reproducing exposure conditions (dermal, oral, and inhalation) of in vivo experiments and comparing simulated and experimentally assessed organ concentrations. Therefore, the percutaneous, intestinal, or pulmonary absorption fraction was estimated based on the blood silver concentration of the respective experimental data set. In all of the cases examined, the model could successfully predict the biodistribution of ionic silver and 15-150 nm silver nanoparticles, which were not coated with substances designed to prolong the circulatory time (eg, polyethylene glycol). Furthermore, the results of our model indicate that: (1) within the application domain of our model, the particle size and coating had a minor influence on the biodistribution; (2) in vivo, it is more likely that silver nanoparticles are directly stored as insoluble salt particles than dissolve into Ag+; and (3) compartments of the mononuclear phagocytic system play a minor role in exposure levels that are relevant for human consumers. We also give an example of how the model can be used in exposure and risk assessments based on five different exposure scenarios, namely dietary intake, use of three separate consumer products, and occupational exposure. © 2013 Bachler et al.","author":[{"dropping-particle":"","family":"Bachler","given":"Gerald","non-dropping-particle":"","parse-names":false,"suffix":""},{"dropping-particle":"","family":"Goetz","given":"Natalie","non-dropping-particle":"von","parse-names":false,"suffix":""},{"dropping-particle":"","family":"Hungerbühler","given":"Konrad","non-dropping-particle":"","parse-names":false,"suffix":""}],"container-title":"International Journal of Nanomedicine","id":"ITEM-1","issue":"1","issued":{"date-parts":[["2013"]]},"page":"3365-3382","title":"A physiologically based pharmacokinetic model for ionic silver and silver nanoparticles","type":"article-journal","volume":"8"},"uris":["http://www.mendeley.com/documents/?uuid=12aa922e-f49c-426a-9f57-90dce92a764a"]}],"mendeley":{"formattedCitation":"(&lt;i&gt;7&lt;/i&gt;)","plainTextFormattedCitation":"(7)","previouslyFormattedCitation":"(&lt;i&gt;7&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7</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133.5</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4.67E-05</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114.8</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4.67E-04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97.4</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1.00E-04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79</w:t>
            </w:r>
          </w:p>
        </w:tc>
        <w:tc>
          <w:tcPr>
            <w:tcW w:w="134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3.87E-04</w:t>
            </w:r>
          </w:p>
        </w:tc>
        <w:tc>
          <w:tcPr>
            <w:tcW w:w="2245" w:type="dxa"/>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67</w:t>
            </w:r>
          </w:p>
        </w:tc>
        <w:tc>
          <w:tcPr>
            <w:tcW w:w="134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bottom w:val="nil"/>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4.27E-04</w:t>
            </w:r>
          </w:p>
        </w:tc>
        <w:tc>
          <w:tcPr>
            <w:tcW w:w="2245" w:type="dxa"/>
            <w:tcBorders>
              <w:bottom w:val="nil"/>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Poly(lactic-co-glycolic) acid</w:t>
            </w:r>
          </w:p>
        </w:tc>
        <w:tc>
          <w:tcPr>
            <w:tcW w:w="970"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57.5</w:t>
            </w:r>
          </w:p>
        </w:tc>
        <w:tc>
          <w:tcPr>
            <w:tcW w:w="134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Intravenous</w:t>
            </w:r>
          </w:p>
        </w:tc>
        <w:tc>
          <w:tcPr>
            <w:tcW w:w="1272"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Mouse</w:t>
            </w:r>
          </w:p>
        </w:tc>
        <w:tc>
          <w:tcPr>
            <w:tcW w:w="1469" w:type="dxa"/>
            <w:tcBorders>
              <w:top w:val="nil"/>
              <w:bottom w:val="single" w:sz="4" w:space="0" w:color="auto"/>
            </w:tcBorders>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2.73E-04</w:t>
            </w:r>
          </w:p>
        </w:tc>
        <w:tc>
          <w:tcPr>
            <w:tcW w:w="2245" w:type="dxa"/>
            <w:tcBorders>
              <w:top w:val="nil"/>
              <w:bottom w:val="single" w:sz="4" w:space="0" w:color="auto"/>
            </w:tcBorders>
            <w:vAlign w:val="center"/>
          </w:tcPr>
          <w:p w:rsidR="00A07F34" w:rsidRPr="006A5049" w:rsidRDefault="00A07F34" w:rsidP="00F7637E">
            <w:pPr>
              <w:jc w:val="center"/>
              <w:rPr>
                <w:rFonts w:cs="Times New Roman"/>
                <w:szCs w:val="24"/>
              </w:rPr>
            </w:pPr>
            <w:r w:rsidRPr="006A5049">
              <w:rPr>
                <w:rFonts w:cs="Times New Roman"/>
                <w:szCs w:val="24"/>
              </w:rPr>
              <w:t xml:space="preserve">Li et al. </w:t>
            </w:r>
            <w:r w:rsidRPr="006A5049">
              <w:rPr>
                <w:rFonts w:cs="Times New Roman"/>
                <w:szCs w:val="24"/>
              </w:rPr>
              <w:fldChar w:fldCharType="begin" w:fldLock="1"/>
            </w:r>
            <w:r w:rsidR="00160ADE">
              <w:rPr>
                <w:rFonts w:cs="Times New Roman"/>
                <w:szCs w:val="24"/>
              </w:rPr>
              <w:instrText>ADDIN CSL_CITATION {"citationItems":[{"id":"ITEM-1","itemData":{"DOI":"10.2147/IJN.S23758","ISSN":"11769114","abstract":"Biodistribution of nanoparticles is dependent on their physicochemical properties (such as size, surface charge, and surface hydrophilicity). Clear and systematic understanding of nanoparticle properties' effects on their in vivo performance is of fundamental significance in nanoparticle design, development and optimization for medical applications, and toxicity evaluation. In the present study, a physiologically based pharmacokinetic model was utilized to interpret the effects of nanoparticle properties on previously published biodistribution data. Biodistribution data for five poly(lactic-co-glycolic) acid (PLGA) nanoparticle formulations prepared with varied content of monomethoxypoly (ethyleneglycol) (mPEG) (PLGA, PLGAmPEG256, PLGA-mPEG153, PLGA-mPEG51, PLGA-mPEG34) were collected in mice after intravenous injection. A physiologically based pharmacokinetic model was developed and evaluated to simulate the mass-time profiles of nanoparticle distribution in tissues. In anticipation that the biodistribution of new nanoparticle formulations could be predicted from the physiologically based pharmacokinetic model, multivariate regression analysis was performed to build the relationship between nanoparticle properties (size, zeta potential, and number of PEG molecules per unit surface area) and biodistribution parameters. Based on these relationships, characterized physicochemical properties of PLGA-mPEG495 nanoparticles (a sixth formulation) were used to calculate (predict) biodistribution profiles. For all five initial formulations, the developed model adequately simulates the experimental data indicating that the model is suitable for description of PLGA-mPEG nanoparticle biodistribution. Further, the predicted biodistribution profiles of PLGA-mPEG495 were close to experimental data, reflecting properly developed property-biodistribution relationships. © 2012 Li et al, publisher and licensee Dove Medical Press Ltd.","author":[{"dropping-particle":"","family":"Li","given":"Mingguang","non-dropping-particle":"","parse-names":false,"suffix":""},{"dropping-particle":"","family":"Panagi","given":"Zoi","non-dropping-particle":"","parse-names":false,"suffix":""},{"dropping-particle":"","family":"Avgoustakis","given":"Konstantinos","non-dropping-particle":"","parse-names":false,"suffix":""},{"dropping-particle":"","family":"Reineke","given":"Joshua","non-dropping-particle":"","parse-names":false,"suffix":""}],"container-title":"International Journal of Nanomedicine","id":"ITEM-1","issued":{"date-parts":[["2012"]]},"page":"1345-1356","title":"Physiologically based pharmacokinetic modeling of PLGA nanoparticles with varied mPEG content","type":"article-journal","volume":"7"},"uris":["http://www.mendeley.com/documents/?uuid=e95e2cd4-2906-4572-aa97-77db067b893f"]}],"mendeley":{"formattedCitation":"(&lt;i&gt;6&lt;/i&gt;)","plainTextFormattedCitation":"(6)","previouslyFormattedCitation":"(&lt;i&gt;6&lt;/i&gt;)"},"properties":{"noteIndex":0},"schema":"https://github.com/citation-style-language/schema/raw/master/csl-citation.json"}</w:instrText>
            </w:r>
            <w:r w:rsidRPr="006A5049">
              <w:rPr>
                <w:rFonts w:cs="Times New Roman"/>
                <w:szCs w:val="24"/>
              </w:rPr>
              <w:fldChar w:fldCharType="separate"/>
            </w:r>
            <w:r w:rsidR="00160ADE" w:rsidRPr="00160ADE">
              <w:rPr>
                <w:rFonts w:cs="Times New Roman"/>
                <w:noProof/>
                <w:szCs w:val="24"/>
              </w:rPr>
              <w:t>(</w:t>
            </w:r>
            <w:r w:rsidR="00160ADE" w:rsidRPr="00160ADE">
              <w:rPr>
                <w:rFonts w:cs="Times New Roman"/>
                <w:i/>
                <w:noProof/>
                <w:szCs w:val="24"/>
              </w:rPr>
              <w:t>6</w:t>
            </w:r>
            <w:r w:rsidR="00160ADE" w:rsidRPr="00160ADE">
              <w:rPr>
                <w:rFonts w:cs="Times New Roman"/>
                <w:noProof/>
                <w:szCs w:val="24"/>
              </w:rPr>
              <w:t>)</w:t>
            </w:r>
            <w:r w:rsidRPr="006A5049">
              <w:rPr>
                <w:rFonts w:cs="Times New Roman"/>
                <w:szCs w:val="24"/>
              </w:rPr>
              <w:fldChar w:fldCharType="end"/>
            </w:r>
          </w:p>
        </w:tc>
      </w:tr>
      <w:tr w:rsidR="00A07F34" w:rsidRPr="006A5049" w:rsidTr="00F7637E">
        <w:tc>
          <w:tcPr>
            <w:tcW w:w="178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970"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34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272"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1469" w:type="dxa"/>
            <w:tcBorders>
              <w:top w:val="single" w:sz="4" w:space="0" w:color="auto"/>
            </w:tcBorders>
            <w:vAlign w:val="center"/>
          </w:tcPr>
          <w:p w:rsidR="00A07F34" w:rsidRPr="006A5049" w:rsidRDefault="00A07F34" w:rsidP="00F7637E">
            <w:pPr>
              <w:jc w:val="center"/>
              <w:rPr>
                <w:rFonts w:cs="Times New Roman"/>
                <w:color w:val="000000"/>
                <w:szCs w:val="24"/>
              </w:rPr>
            </w:pPr>
          </w:p>
        </w:tc>
        <w:tc>
          <w:tcPr>
            <w:tcW w:w="2245" w:type="dxa"/>
            <w:tcBorders>
              <w:top w:val="single" w:sz="4" w:space="0" w:color="auto"/>
            </w:tcBorders>
            <w:vAlign w:val="center"/>
          </w:tcPr>
          <w:p w:rsidR="00A07F34" w:rsidRPr="006A5049" w:rsidRDefault="00A07F34" w:rsidP="00F7637E">
            <w:pPr>
              <w:jc w:val="center"/>
              <w:rPr>
                <w:rFonts w:cs="Times New Roman"/>
                <w:szCs w:val="24"/>
              </w:rPr>
            </w:pPr>
          </w:p>
        </w:tc>
      </w:tr>
      <w:tr w:rsidR="00A07F34" w:rsidRPr="006A5049" w:rsidTr="00D8697B">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No excretion</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056B4D">
        <w:tc>
          <w:tcPr>
            <w:tcW w:w="1780" w:type="dxa"/>
            <w:vAlign w:val="center"/>
          </w:tcPr>
          <w:p w:rsidR="00A07F34" w:rsidRPr="006A5049" w:rsidRDefault="00A07F34" w:rsidP="00A07F34">
            <w:pPr>
              <w:jc w:val="center"/>
              <w:rPr>
                <w:rFonts w:cs="Times New Roman"/>
                <w:color w:val="000000"/>
                <w:szCs w:val="24"/>
              </w:rPr>
            </w:pPr>
          </w:p>
        </w:tc>
        <w:tc>
          <w:tcPr>
            <w:tcW w:w="970" w:type="dxa"/>
            <w:vAlign w:val="center"/>
          </w:tcPr>
          <w:p w:rsidR="00A07F34" w:rsidRPr="006A5049" w:rsidRDefault="00A07F34" w:rsidP="00A07F34">
            <w:pPr>
              <w:jc w:val="center"/>
              <w:rPr>
                <w:rFonts w:cs="Times New Roman"/>
                <w:color w:val="000000"/>
                <w:szCs w:val="24"/>
              </w:rPr>
            </w:pPr>
          </w:p>
        </w:tc>
        <w:tc>
          <w:tcPr>
            <w:tcW w:w="1349" w:type="dxa"/>
            <w:vAlign w:val="center"/>
          </w:tcPr>
          <w:p w:rsidR="00A07F34" w:rsidRPr="006A5049" w:rsidRDefault="00A07F34" w:rsidP="00A07F34">
            <w:pPr>
              <w:jc w:val="center"/>
              <w:rPr>
                <w:rFonts w:cs="Times New Roman"/>
                <w:color w:val="000000"/>
                <w:szCs w:val="24"/>
              </w:rPr>
            </w:pPr>
          </w:p>
        </w:tc>
        <w:tc>
          <w:tcPr>
            <w:tcW w:w="1272"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Minimum</w:t>
            </w:r>
          </w:p>
        </w:tc>
        <w:tc>
          <w:tcPr>
            <w:tcW w:w="1469" w:type="dxa"/>
            <w:vAlign w:val="center"/>
          </w:tcPr>
          <w:p w:rsidR="00A07F34" w:rsidRPr="006A5049" w:rsidRDefault="00A07F34" w:rsidP="00A07F34">
            <w:pPr>
              <w:jc w:val="center"/>
              <w:rPr>
                <w:rFonts w:cs="Times New Roman"/>
                <w:color w:val="000000"/>
                <w:szCs w:val="24"/>
              </w:rPr>
            </w:pPr>
            <w:r w:rsidRPr="006A5049">
              <w:rPr>
                <w:rFonts w:cs="Times New Roman"/>
                <w:color w:val="000000"/>
                <w:szCs w:val="24"/>
              </w:rPr>
              <w:t>0.0672</w:t>
            </w:r>
          </w:p>
        </w:tc>
        <w:tc>
          <w:tcPr>
            <w:tcW w:w="2245" w:type="dxa"/>
          </w:tcPr>
          <w:p w:rsidR="00A07F34" w:rsidRPr="006A5049" w:rsidRDefault="00A07F34" w:rsidP="00A07F34">
            <w:pPr>
              <w:rPr>
                <w:rFonts w:cs="Times New Roman"/>
                <w:szCs w:val="24"/>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Median</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0.614</w:t>
            </w:r>
          </w:p>
        </w:tc>
        <w:tc>
          <w:tcPr>
            <w:tcW w:w="2245" w:type="dxa"/>
            <w:vAlign w:val="center"/>
          </w:tcPr>
          <w:p w:rsidR="00A07F34" w:rsidRPr="006A5049" w:rsidRDefault="00A07F34" w:rsidP="00F7637E">
            <w:pPr>
              <w:rPr>
                <w:rFonts w:cs="Times New Roman"/>
                <w:szCs w:val="24"/>
                <w:vertAlign w:val="superscript"/>
              </w:rPr>
            </w:pPr>
            <w:r w:rsidRPr="006A5049">
              <w:rPr>
                <w:rFonts w:cs="Times New Roman"/>
                <w:szCs w:val="24"/>
              </w:rPr>
              <w:t>day</w:t>
            </w:r>
            <w:r w:rsidRPr="006A5049">
              <w:rPr>
                <w:rFonts w:cs="Times New Roman"/>
                <w:szCs w:val="24"/>
                <w:vertAlign w:val="superscript"/>
              </w:rPr>
              <w:t>-1</w:t>
            </w:r>
          </w:p>
        </w:tc>
      </w:tr>
      <w:tr w:rsidR="00A07F34" w:rsidRPr="006A5049" w:rsidTr="00F7637E">
        <w:tc>
          <w:tcPr>
            <w:tcW w:w="1780" w:type="dxa"/>
            <w:vAlign w:val="center"/>
          </w:tcPr>
          <w:p w:rsidR="00A07F34" w:rsidRPr="006A5049" w:rsidRDefault="00A07F34" w:rsidP="00F7637E">
            <w:pPr>
              <w:jc w:val="center"/>
              <w:rPr>
                <w:rFonts w:cs="Times New Roman"/>
                <w:color w:val="000000"/>
                <w:szCs w:val="24"/>
              </w:rPr>
            </w:pPr>
          </w:p>
        </w:tc>
        <w:tc>
          <w:tcPr>
            <w:tcW w:w="970" w:type="dxa"/>
            <w:vAlign w:val="center"/>
          </w:tcPr>
          <w:p w:rsidR="00A07F34" w:rsidRPr="006A5049" w:rsidRDefault="00A07F34" w:rsidP="00F7637E">
            <w:pPr>
              <w:jc w:val="center"/>
              <w:rPr>
                <w:rFonts w:cs="Times New Roman"/>
                <w:color w:val="000000"/>
                <w:szCs w:val="24"/>
              </w:rPr>
            </w:pPr>
          </w:p>
        </w:tc>
        <w:tc>
          <w:tcPr>
            <w:tcW w:w="1349" w:type="dxa"/>
            <w:vAlign w:val="center"/>
          </w:tcPr>
          <w:p w:rsidR="00A07F34" w:rsidRPr="006A5049" w:rsidRDefault="00A07F34" w:rsidP="00F7637E">
            <w:pPr>
              <w:jc w:val="center"/>
              <w:rPr>
                <w:rFonts w:cs="Times New Roman"/>
                <w:color w:val="000000"/>
                <w:szCs w:val="24"/>
              </w:rPr>
            </w:pPr>
          </w:p>
        </w:tc>
        <w:tc>
          <w:tcPr>
            <w:tcW w:w="1272"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Maximum</w:t>
            </w:r>
          </w:p>
        </w:tc>
        <w:tc>
          <w:tcPr>
            <w:tcW w:w="1469" w:type="dxa"/>
            <w:vAlign w:val="center"/>
          </w:tcPr>
          <w:p w:rsidR="00A07F34" w:rsidRPr="006A5049" w:rsidRDefault="00A07F34" w:rsidP="00F7637E">
            <w:pPr>
              <w:jc w:val="center"/>
              <w:rPr>
                <w:rFonts w:cs="Times New Roman"/>
                <w:color w:val="000000"/>
                <w:szCs w:val="24"/>
              </w:rPr>
            </w:pPr>
            <w:r w:rsidRPr="006A5049">
              <w:rPr>
                <w:rFonts w:cs="Times New Roman"/>
                <w:color w:val="000000"/>
                <w:szCs w:val="24"/>
              </w:rPr>
              <w:t>8.30</w:t>
            </w:r>
          </w:p>
        </w:tc>
        <w:tc>
          <w:tcPr>
            <w:tcW w:w="2245" w:type="dxa"/>
          </w:tcPr>
          <w:p w:rsidR="00A07F34" w:rsidRPr="006A5049" w:rsidRDefault="00A07F34" w:rsidP="00F7637E">
            <w:pPr>
              <w:rPr>
                <w:rFonts w:cs="Times New Roman"/>
                <w:szCs w:val="24"/>
              </w:rPr>
            </w:pPr>
            <w:r w:rsidRPr="006A5049">
              <w:rPr>
                <w:rFonts w:cs="Times New Roman"/>
                <w:szCs w:val="24"/>
              </w:rPr>
              <w:t>day</w:t>
            </w:r>
            <w:r w:rsidRPr="006A5049">
              <w:rPr>
                <w:rFonts w:cs="Times New Roman"/>
                <w:szCs w:val="24"/>
                <w:vertAlign w:val="superscript"/>
              </w:rPr>
              <w:t>-1</w:t>
            </w:r>
          </w:p>
        </w:tc>
      </w:tr>
    </w:tbl>
    <w:p w:rsidR="00A07F34" w:rsidRDefault="00A07F34"/>
    <w:p w:rsidR="00A07F34" w:rsidRDefault="00A07F34" w:rsidP="00A07F34">
      <w:r>
        <w:br w:type="page"/>
      </w:r>
    </w:p>
    <w:p w:rsidR="00A07F34" w:rsidRPr="005908A3" w:rsidRDefault="00A07F34" w:rsidP="00A07F34">
      <w:pPr>
        <w:spacing w:after="200" w:line="240" w:lineRule="auto"/>
        <w:jc w:val="both"/>
      </w:pPr>
      <w:r>
        <w:rPr>
          <w:b/>
        </w:rPr>
        <w:lastRenderedPageBreak/>
        <w:t xml:space="preserve">Table 5. </w:t>
      </w:r>
      <w:r>
        <w:t xml:space="preserve">Probability density functions for chemical concentrations on plastic of each source category. Goodness-of-fit analysis was not carried out for these datasets due to low sample size. Distributions with the best fit were evaluated visually.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1962"/>
        <w:gridCol w:w="1792"/>
        <w:gridCol w:w="1556"/>
        <w:gridCol w:w="1781"/>
      </w:tblGrid>
      <w:tr w:rsidR="00A07F34" w:rsidRPr="00355FC8" w:rsidTr="00F7637E">
        <w:tc>
          <w:tcPr>
            <w:tcW w:w="2064" w:type="dxa"/>
            <w:tcBorders>
              <w:top w:val="single" w:sz="4" w:space="0" w:color="auto"/>
              <w:bottom w:val="single" w:sz="4" w:space="0" w:color="auto"/>
            </w:tcBorders>
          </w:tcPr>
          <w:p w:rsidR="00A07F34" w:rsidRPr="00355FC8" w:rsidRDefault="00A07F34" w:rsidP="00F7637E">
            <w:pPr>
              <w:rPr>
                <w:b/>
              </w:rPr>
            </w:pPr>
            <w:r w:rsidRPr="00355FC8">
              <w:rPr>
                <w:b/>
              </w:rPr>
              <w:t>Chemical</w:t>
            </w:r>
          </w:p>
        </w:tc>
        <w:tc>
          <w:tcPr>
            <w:tcW w:w="2040" w:type="dxa"/>
            <w:tcBorders>
              <w:top w:val="single" w:sz="4" w:space="0" w:color="auto"/>
              <w:bottom w:val="single" w:sz="4" w:space="0" w:color="auto"/>
            </w:tcBorders>
          </w:tcPr>
          <w:p w:rsidR="00A07F34" w:rsidRPr="00355FC8" w:rsidRDefault="00A07F34" w:rsidP="00F7637E">
            <w:pPr>
              <w:rPr>
                <w:b/>
              </w:rPr>
            </w:pPr>
            <w:r>
              <w:rPr>
                <w:b/>
              </w:rPr>
              <w:t>Source</w:t>
            </w:r>
            <w:r w:rsidRPr="00355FC8">
              <w:rPr>
                <w:b/>
              </w:rPr>
              <w:t xml:space="preserve"> category</w:t>
            </w:r>
          </w:p>
        </w:tc>
        <w:tc>
          <w:tcPr>
            <w:tcW w:w="1825" w:type="dxa"/>
            <w:tcBorders>
              <w:top w:val="single" w:sz="4" w:space="0" w:color="auto"/>
              <w:bottom w:val="single" w:sz="4" w:space="0" w:color="auto"/>
            </w:tcBorders>
          </w:tcPr>
          <w:p w:rsidR="00A07F34" w:rsidRPr="00355FC8" w:rsidRDefault="00A07F34" w:rsidP="00F7637E">
            <w:pPr>
              <w:rPr>
                <w:b/>
              </w:rPr>
            </w:pPr>
            <w:r w:rsidRPr="00355FC8">
              <w:rPr>
                <w:b/>
              </w:rPr>
              <w:t xml:space="preserve">Distribution </w:t>
            </w:r>
          </w:p>
        </w:tc>
        <w:tc>
          <w:tcPr>
            <w:tcW w:w="1631" w:type="dxa"/>
            <w:tcBorders>
              <w:top w:val="single" w:sz="4" w:space="0" w:color="auto"/>
              <w:bottom w:val="single" w:sz="4" w:space="0" w:color="auto"/>
            </w:tcBorders>
          </w:tcPr>
          <w:p w:rsidR="00A07F34" w:rsidRPr="00355FC8" w:rsidRDefault="00A07F34" w:rsidP="00F7637E">
            <w:pPr>
              <w:rPr>
                <w:b/>
              </w:rPr>
            </w:pPr>
            <w:r w:rsidRPr="00355FC8">
              <w:rPr>
                <w:b/>
              </w:rPr>
              <w:t>Units</w:t>
            </w:r>
          </w:p>
        </w:tc>
        <w:tc>
          <w:tcPr>
            <w:tcW w:w="1800" w:type="dxa"/>
            <w:tcBorders>
              <w:top w:val="single" w:sz="4" w:space="0" w:color="auto"/>
              <w:bottom w:val="single" w:sz="4" w:space="0" w:color="auto"/>
            </w:tcBorders>
          </w:tcPr>
          <w:p w:rsidR="00A07F34" w:rsidRPr="00355FC8" w:rsidRDefault="00A07F34" w:rsidP="00F7637E">
            <w:pPr>
              <w:rPr>
                <w:b/>
              </w:rPr>
            </w:pPr>
            <w:r w:rsidRPr="00355FC8">
              <w:rPr>
                <w:b/>
              </w:rPr>
              <w:t>Parameters</w:t>
            </w:r>
          </w:p>
        </w:tc>
      </w:tr>
      <w:tr w:rsidR="00A07F34" w:rsidTr="00F7637E">
        <w:tc>
          <w:tcPr>
            <w:tcW w:w="2064" w:type="dxa"/>
            <w:tcBorders>
              <w:top w:val="single" w:sz="4" w:space="0" w:color="auto"/>
            </w:tcBorders>
          </w:tcPr>
          <w:p w:rsidR="00A07F34" w:rsidRDefault="00A07F34" w:rsidP="00F7637E">
            <w:r>
              <w:t>PCB126</w:t>
            </w:r>
          </w:p>
        </w:tc>
        <w:tc>
          <w:tcPr>
            <w:tcW w:w="2040" w:type="dxa"/>
            <w:tcBorders>
              <w:top w:val="single" w:sz="4" w:space="0" w:color="auto"/>
            </w:tcBorders>
            <w:shd w:val="clear" w:color="auto" w:fill="F2F2F2" w:themeFill="background1" w:themeFillShade="F2"/>
          </w:tcPr>
          <w:p w:rsidR="00A07F34" w:rsidRDefault="00A07F34" w:rsidP="00F7637E">
            <w:r>
              <w:t>Pelagic</w:t>
            </w:r>
          </w:p>
        </w:tc>
        <w:tc>
          <w:tcPr>
            <w:tcW w:w="1825" w:type="dxa"/>
            <w:tcBorders>
              <w:top w:val="single" w:sz="4" w:space="0" w:color="auto"/>
            </w:tcBorders>
            <w:shd w:val="clear" w:color="auto" w:fill="F2F2F2" w:themeFill="background1" w:themeFillShade="F2"/>
          </w:tcPr>
          <w:p w:rsidR="00A07F34" w:rsidRPr="00A73181" w:rsidRDefault="00A07F34" w:rsidP="00F7637E">
            <w:pPr>
              <w:rPr>
                <w:vertAlign w:val="superscript"/>
              </w:rPr>
            </w:pPr>
            <w:r>
              <w:t>Exponential</w:t>
            </w:r>
            <w:r w:rsidRPr="00355FC8">
              <w:rPr>
                <w:rFonts w:cs="Times New Roman"/>
                <w:vertAlign w:val="superscript"/>
              </w:rPr>
              <w:t>†</w:t>
            </w:r>
          </w:p>
        </w:tc>
        <w:tc>
          <w:tcPr>
            <w:tcW w:w="1631" w:type="dxa"/>
            <w:tcBorders>
              <w:top w:val="single" w:sz="4" w:space="0" w:color="auto"/>
            </w:tcBorders>
            <w:shd w:val="clear" w:color="auto" w:fill="F2F2F2" w:themeFill="background1" w:themeFillShade="F2"/>
          </w:tcPr>
          <w:p w:rsidR="00A07F34" w:rsidRDefault="00A07F34" w:rsidP="00F7637E">
            <w:r>
              <w:t>ng/g lipid</w:t>
            </w:r>
          </w:p>
        </w:tc>
        <w:tc>
          <w:tcPr>
            <w:tcW w:w="1800" w:type="dxa"/>
            <w:tcBorders>
              <w:top w:val="single" w:sz="4" w:space="0" w:color="auto"/>
            </w:tcBorders>
            <w:shd w:val="clear" w:color="auto" w:fill="F2F2F2" w:themeFill="background1" w:themeFillShade="F2"/>
          </w:tcPr>
          <w:p w:rsidR="00A07F34" w:rsidRDefault="00A07F34" w:rsidP="00F7637E">
            <w:r>
              <w:rPr>
                <w:rFonts w:cs="Times New Roman"/>
              </w:rPr>
              <w:t>λ</w:t>
            </w:r>
            <w:r>
              <w:t>=0.225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r w:rsidRPr="00355FC8">
              <w:rPr>
                <w:rFonts w:cs="Times New Roman"/>
                <w:vertAlign w:val="superscript"/>
              </w:rPr>
              <w:t>†</w:t>
            </w:r>
          </w:p>
        </w:tc>
        <w:tc>
          <w:tcPr>
            <w:tcW w:w="1631" w:type="dxa"/>
          </w:tcPr>
          <w:p w:rsidR="00A07F34" w:rsidRDefault="00A07F34" w:rsidP="00F7637E">
            <w:r>
              <w:t>ng/g lipid</w:t>
            </w:r>
          </w:p>
        </w:tc>
        <w:tc>
          <w:tcPr>
            <w:tcW w:w="1800" w:type="dxa"/>
          </w:tcPr>
          <w:p w:rsidR="00A07F34" w:rsidRDefault="00A07F34" w:rsidP="00F7637E">
            <w:r>
              <w:rPr>
                <w:rFonts w:cs="Times New Roman"/>
              </w:rPr>
              <w:t>λ</w:t>
            </w:r>
            <w:r>
              <w:t>=17.48</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Packaging</w:t>
            </w:r>
          </w:p>
        </w:tc>
        <w:tc>
          <w:tcPr>
            <w:tcW w:w="1825" w:type="dxa"/>
            <w:shd w:val="clear" w:color="auto" w:fill="F2F2F2" w:themeFill="background1" w:themeFillShade="F2"/>
          </w:tcPr>
          <w:p w:rsidR="00A07F34" w:rsidRDefault="00A07F34" w:rsidP="00F7637E">
            <w:r>
              <w:t>Triangle</w:t>
            </w:r>
          </w:p>
        </w:tc>
        <w:tc>
          <w:tcPr>
            <w:tcW w:w="1631" w:type="dxa"/>
            <w:shd w:val="clear" w:color="auto" w:fill="F2F2F2" w:themeFill="background1" w:themeFillShade="F2"/>
          </w:tcPr>
          <w:p w:rsidR="00A07F34" w:rsidRDefault="00A07F34" w:rsidP="00F7637E">
            <w:r>
              <w:rPr>
                <w:rFonts w:cs="Times New Roman"/>
              </w:rPr>
              <w:t>µ</w:t>
            </w:r>
            <w:r>
              <w:t>g/kg</w:t>
            </w:r>
          </w:p>
        </w:tc>
        <w:tc>
          <w:tcPr>
            <w:tcW w:w="1800" w:type="dxa"/>
            <w:shd w:val="clear" w:color="auto" w:fill="F2F2F2" w:themeFill="background1" w:themeFillShade="F2"/>
          </w:tcPr>
          <w:p w:rsidR="00A07F34" w:rsidRDefault="00A07F34" w:rsidP="00F7637E">
            <w:r>
              <w:t>min=0</w:t>
            </w:r>
          </w:p>
          <w:p w:rsidR="00A07F34" w:rsidRDefault="00A07F34" w:rsidP="00F7637E">
            <w:r>
              <w:t>max=7.9</w:t>
            </w:r>
          </w:p>
        </w:tc>
      </w:tr>
      <w:tr w:rsidR="00A07F34" w:rsidTr="00F7637E">
        <w:tc>
          <w:tcPr>
            <w:tcW w:w="2064" w:type="dxa"/>
            <w:tcBorders>
              <w:bottom w:val="single" w:sz="4" w:space="0" w:color="D9D9D9" w:themeColor="background1" w:themeShade="D9"/>
            </w:tcBorders>
          </w:tcPr>
          <w:p w:rsidR="00A07F34" w:rsidRDefault="00A07F34" w:rsidP="00F7637E"/>
        </w:tc>
        <w:tc>
          <w:tcPr>
            <w:tcW w:w="2040" w:type="dxa"/>
            <w:tcBorders>
              <w:bottom w:val="single" w:sz="4" w:space="0" w:color="D9D9D9" w:themeColor="background1" w:themeShade="D9"/>
            </w:tcBorders>
          </w:tcPr>
          <w:p w:rsidR="00A07F34" w:rsidRDefault="00A07F34" w:rsidP="00F7637E">
            <w:r>
              <w:t>Air</w:t>
            </w:r>
          </w:p>
        </w:tc>
        <w:tc>
          <w:tcPr>
            <w:tcW w:w="1825" w:type="dxa"/>
            <w:tcBorders>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bottom w:val="single" w:sz="4" w:space="0" w:color="D9D9D9" w:themeColor="background1" w:themeShade="D9"/>
            </w:tcBorders>
          </w:tcPr>
          <w:p w:rsidR="00A07F34" w:rsidRPr="00A73181" w:rsidRDefault="00A07F34" w:rsidP="00F7637E">
            <w:pPr>
              <w:rPr>
                <w:vertAlign w:val="superscript"/>
              </w:rPr>
            </w:pPr>
            <w:proofErr w:type="spellStart"/>
            <w:r>
              <w:t>pg</w:t>
            </w:r>
            <w:proofErr w:type="spellEnd"/>
            <w:r>
              <w:t>/m</w:t>
            </w:r>
            <w:r>
              <w:rPr>
                <w:vertAlign w:val="superscript"/>
              </w:rPr>
              <w:t>3</w:t>
            </w:r>
          </w:p>
        </w:tc>
        <w:tc>
          <w:tcPr>
            <w:tcW w:w="1800" w:type="dxa"/>
            <w:tcBorders>
              <w:bottom w:val="single" w:sz="4" w:space="0" w:color="D9D9D9" w:themeColor="background1" w:themeShade="D9"/>
            </w:tcBorders>
          </w:tcPr>
          <w:p w:rsidR="00A07F34" w:rsidRDefault="00A07F34" w:rsidP="00F7637E">
            <w:pPr>
              <w:rPr>
                <w:lang w:val="en-US"/>
              </w:rPr>
            </w:pPr>
            <w:r w:rsidRPr="007D6449">
              <w:rPr>
                <w:lang w:val="en-US"/>
              </w:rPr>
              <w:t>β</w:t>
            </w:r>
            <w:r>
              <w:rPr>
                <w:lang w:val="en-US"/>
              </w:rPr>
              <w:t>=1.12</w:t>
            </w:r>
          </w:p>
          <w:p w:rsidR="00A07F34" w:rsidRPr="00A73181" w:rsidRDefault="00A07F34" w:rsidP="00F7637E">
            <w:r w:rsidRPr="007D6449">
              <w:rPr>
                <w:lang w:val="en-US"/>
              </w:rPr>
              <w:t>α</w:t>
            </w:r>
            <w:r>
              <w:rPr>
                <w:lang w:val="en-US"/>
              </w:rPr>
              <w:t>=0.155</w:t>
            </w:r>
          </w:p>
        </w:tc>
      </w:tr>
      <w:tr w:rsidR="00A07F34" w:rsidTr="00F7637E">
        <w:tc>
          <w:tcPr>
            <w:tcW w:w="2064" w:type="dxa"/>
            <w:tcBorders>
              <w:top w:val="single" w:sz="4" w:space="0" w:color="D9D9D9" w:themeColor="background1" w:themeShade="D9"/>
              <w:bottom w:val="nil"/>
            </w:tcBorders>
          </w:tcPr>
          <w:p w:rsidR="00A07F34" w:rsidRDefault="00A07F34" w:rsidP="00F7637E">
            <w:r>
              <w:t>Lead</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Pr="00A73181" w:rsidRDefault="00A07F34" w:rsidP="00F7637E">
            <w:r>
              <w:t xml:space="preserve">mg/kg </w:t>
            </w:r>
            <w:proofErr w:type="spellStart"/>
            <w:r>
              <w:t>ww</w:t>
            </w:r>
            <w:proofErr w:type="spellEnd"/>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=-2.17</w:t>
            </w:r>
          </w:p>
          <w:p w:rsidR="00A07F34" w:rsidRDefault="00A07F34" w:rsidP="00F7637E">
            <w:proofErr w:type="spellStart"/>
            <w:r>
              <w:t>sdlog</w:t>
            </w:r>
            <w:proofErr w:type="spellEnd"/>
            <w:r>
              <w:t>=2.12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Lognormal</w:t>
            </w:r>
          </w:p>
        </w:tc>
        <w:tc>
          <w:tcPr>
            <w:tcW w:w="1631" w:type="dxa"/>
            <w:tcBorders>
              <w:top w:val="nil"/>
              <w:bottom w:val="nil"/>
            </w:tcBorders>
          </w:tcPr>
          <w:p w:rsidR="00A07F34" w:rsidRDefault="00A07F34" w:rsidP="00F7637E">
            <w:r>
              <w:t xml:space="preserve">mg/kg </w:t>
            </w:r>
            <w:proofErr w:type="spellStart"/>
            <w:r>
              <w:t>ww</w:t>
            </w:r>
            <w:proofErr w:type="spellEnd"/>
          </w:p>
        </w:tc>
        <w:tc>
          <w:tcPr>
            <w:tcW w:w="1800" w:type="dxa"/>
            <w:tcBorders>
              <w:top w:val="nil"/>
              <w:bottom w:val="nil"/>
            </w:tcBorders>
          </w:tcPr>
          <w:p w:rsidR="00A07F34" w:rsidRDefault="00A07F34" w:rsidP="00F7637E">
            <w:proofErr w:type="spellStart"/>
            <w:r>
              <w:t>meanlog</w:t>
            </w:r>
            <w:proofErr w:type="spellEnd"/>
            <w:r>
              <w:t>=-1.78</w:t>
            </w:r>
          </w:p>
          <w:p w:rsidR="00A07F34" w:rsidRDefault="00A07F34" w:rsidP="00F7637E">
            <w:proofErr w:type="spellStart"/>
            <w:r>
              <w:t>sdlog</w:t>
            </w:r>
            <w:proofErr w:type="spellEnd"/>
            <w:r>
              <w:t>=1.32</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Lognormal</w:t>
            </w:r>
          </w:p>
        </w:tc>
        <w:tc>
          <w:tcPr>
            <w:tcW w:w="1631" w:type="dxa"/>
            <w:tcBorders>
              <w:top w:val="nil"/>
              <w:bottom w:val="nil"/>
            </w:tcBorders>
            <w:shd w:val="clear" w:color="auto" w:fill="F2F2F2" w:themeFill="background1" w:themeFillShade="F2"/>
          </w:tcPr>
          <w:p w:rsidR="00A07F34" w:rsidRDefault="00A07F34" w:rsidP="00F7637E">
            <w:r>
              <w:t>mg/kg</w:t>
            </w:r>
          </w:p>
        </w:tc>
        <w:tc>
          <w:tcPr>
            <w:tcW w:w="1800" w:type="dxa"/>
            <w:tcBorders>
              <w:top w:val="nil"/>
              <w:bottom w:val="nil"/>
            </w:tcBorders>
            <w:shd w:val="clear" w:color="auto" w:fill="F2F2F2" w:themeFill="background1" w:themeFillShade="F2"/>
          </w:tcPr>
          <w:p w:rsidR="00A07F34" w:rsidRDefault="00A07F34" w:rsidP="00F7637E">
            <w:proofErr w:type="spellStart"/>
            <w:r>
              <w:t>meanlog</w:t>
            </w:r>
            <w:proofErr w:type="spellEnd"/>
            <w:r>
              <w:t>=4.00</w:t>
            </w:r>
          </w:p>
          <w:p w:rsidR="00A07F34" w:rsidRDefault="00A07F34" w:rsidP="00F7637E">
            <w:proofErr w:type="spellStart"/>
            <w:r>
              <w:t>sdlog</w:t>
            </w:r>
            <w:proofErr w:type="spellEnd"/>
            <w:r>
              <w:t>=4.00</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Lognormal</w:t>
            </w:r>
          </w:p>
        </w:tc>
        <w:tc>
          <w:tcPr>
            <w:tcW w:w="1631" w:type="dxa"/>
            <w:tcBorders>
              <w:top w:val="nil"/>
              <w:bottom w:val="single" w:sz="4" w:space="0" w:color="D9D9D9" w:themeColor="background1" w:themeShade="D9"/>
            </w:tcBorders>
          </w:tcPr>
          <w:p w:rsidR="00A07F34" w:rsidRDefault="00A07F34" w:rsidP="00F7637E">
            <w:r>
              <w:t>ng/m</w:t>
            </w:r>
            <w:r>
              <w:rPr>
                <w:vertAlign w:val="superscript"/>
              </w:rPr>
              <w:t>3</w:t>
            </w:r>
          </w:p>
        </w:tc>
        <w:tc>
          <w:tcPr>
            <w:tcW w:w="1800" w:type="dxa"/>
            <w:tcBorders>
              <w:top w:val="nil"/>
              <w:bottom w:val="single" w:sz="4" w:space="0" w:color="D9D9D9" w:themeColor="background1" w:themeShade="D9"/>
            </w:tcBorders>
          </w:tcPr>
          <w:p w:rsidR="00A07F34" w:rsidRDefault="00A07F34" w:rsidP="00F7637E">
            <w:proofErr w:type="spellStart"/>
            <w:r>
              <w:t>meanlog</w:t>
            </w:r>
            <w:proofErr w:type="spellEnd"/>
            <w:r>
              <w:t>=4.22</w:t>
            </w:r>
          </w:p>
          <w:p w:rsidR="00A07F34" w:rsidRDefault="00A07F34" w:rsidP="00F7637E">
            <w:proofErr w:type="spellStart"/>
            <w:r>
              <w:t>sdlog</w:t>
            </w:r>
            <w:proofErr w:type="spellEnd"/>
            <w:r>
              <w:t>=1.88</w:t>
            </w:r>
          </w:p>
        </w:tc>
      </w:tr>
      <w:tr w:rsidR="00A07F34" w:rsidTr="00F7637E">
        <w:tc>
          <w:tcPr>
            <w:tcW w:w="2064" w:type="dxa"/>
            <w:tcBorders>
              <w:top w:val="single" w:sz="4" w:space="0" w:color="D9D9D9" w:themeColor="background1" w:themeShade="D9"/>
              <w:bottom w:val="nil"/>
            </w:tcBorders>
          </w:tcPr>
          <w:p w:rsidR="00A07F34" w:rsidRDefault="00A07F34" w:rsidP="00F7637E">
            <w:r>
              <w:t>DEHP</w:t>
            </w:r>
          </w:p>
        </w:tc>
        <w:tc>
          <w:tcPr>
            <w:tcW w:w="2040" w:type="dxa"/>
            <w:tcBorders>
              <w:top w:val="single" w:sz="4" w:space="0" w:color="D9D9D9" w:themeColor="background1" w:themeShade="D9"/>
              <w:bottom w:val="nil"/>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bottom w:val="nil"/>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bottom w:val="nil"/>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bottom w:val="nil"/>
            </w:tcBorders>
            <w:shd w:val="clear" w:color="auto" w:fill="F2F2F2" w:themeFill="background1" w:themeFillShade="F2"/>
          </w:tcPr>
          <w:p w:rsidR="00A07F34" w:rsidRDefault="00A07F34" w:rsidP="00F7637E">
            <w:proofErr w:type="spellStart"/>
            <w:r>
              <w:t>meanlog</w:t>
            </w:r>
            <w:proofErr w:type="spellEnd"/>
            <w:r>
              <w:t>=8.83</w:t>
            </w:r>
          </w:p>
          <w:p w:rsidR="00A07F34" w:rsidRDefault="00A07F34" w:rsidP="00F7637E">
            <w:proofErr w:type="spellStart"/>
            <w:r>
              <w:t>sdlog</w:t>
            </w:r>
            <w:proofErr w:type="spellEnd"/>
            <w:r>
              <w:t>=1.60</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tcPr>
          <w:p w:rsidR="00A07F34" w:rsidRDefault="00A07F34" w:rsidP="00F7637E">
            <w:r>
              <w:t>Littoral</w:t>
            </w:r>
          </w:p>
        </w:tc>
        <w:tc>
          <w:tcPr>
            <w:tcW w:w="1825" w:type="dxa"/>
            <w:tcBorders>
              <w:top w:val="nil"/>
              <w:bottom w:val="nil"/>
            </w:tcBorders>
          </w:tcPr>
          <w:p w:rsidR="00A07F34" w:rsidRDefault="00A07F34" w:rsidP="00F7637E">
            <w:r>
              <w:t>Triangle</w:t>
            </w:r>
          </w:p>
        </w:tc>
        <w:tc>
          <w:tcPr>
            <w:tcW w:w="1631" w:type="dxa"/>
            <w:tcBorders>
              <w:top w:val="nil"/>
              <w:bottom w:val="nil"/>
            </w:tcBorders>
          </w:tcPr>
          <w:p w:rsidR="00A07F34" w:rsidRDefault="00A07F34" w:rsidP="00F7637E">
            <w:r>
              <w:t>ng/g lipid</w:t>
            </w:r>
          </w:p>
        </w:tc>
        <w:tc>
          <w:tcPr>
            <w:tcW w:w="1800" w:type="dxa"/>
            <w:tcBorders>
              <w:top w:val="nil"/>
              <w:bottom w:val="nil"/>
            </w:tcBorders>
          </w:tcPr>
          <w:p w:rsidR="00A07F34" w:rsidRDefault="00A07F34" w:rsidP="00F7637E">
            <w:r>
              <w:t>min=0</w:t>
            </w:r>
          </w:p>
          <w:p w:rsidR="00A07F34" w:rsidRDefault="00A07F34" w:rsidP="00F7637E">
            <w:r>
              <w:t>max=5284</w:t>
            </w:r>
          </w:p>
        </w:tc>
      </w:tr>
      <w:tr w:rsidR="00A07F34" w:rsidTr="00F7637E">
        <w:tc>
          <w:tcPr>
            <w:tcW w:w="2064" w:type="dxa"/>
            <w:tcBorders>
              <w:top w:val="nil"/>
              <w:bottom w:val="nil"/>
            </w:tcBorders>
          </w:tcPr>
          <w:p w:rsidR="00A07F34" w:rsidRDefault="00A07F34" w:rsidP="00F7637E"/>
        </w:tc>
        <w:tc>
          <w:tcPr>
            <w:tcW w:w="2040" w:type="dxa"/>
            <w:tcBorders>
              <w:top w:val="nil"/>
              <w:bottom w:val="nil"/>
            </w:tcBorders>
            <w:shd w:val="clear" w:color="auto" w:fill="F2F2F2" w:themeFill="background1" w:themeFillShade="F2"/>
          </w:tcPr>
          <w:p w:rsidR="00A07F34" w:rsidRDefault="00A07F34" w:rsidP="00F7637E">
            <w:r>
              <w:t>Packaging</w:t>
            </w:r>
          </w:p>
        </w:tc>
        <w:tc>
          <w:tcPr>
            <w:tcW w:w="1825" w:type="dxa"/>
            <w:tcBorders>
              <w:top w:val="nil"/>
              <w:bottom w:val="nil"/>
            </w:tcBorders>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tcBorders>
              <w:top w:val="nil"/>
              <w:bottom w:val="nil"/>
            </w:tcBorders>
            <w:shd w:val="clear" w:color="auto" w:fill="F2F2F2" w:themeFill="background1" w:themeFillShade="F2"/>
          </w:tcPr>
          <w:p w:rsidR="00A07F34" w:rsidRDefault="00A07F34" w:rsidP="00F7637E">
            <w:r>
              <w:rPr>
                <w:rFonts w:cs="Times New Roman"/>
              </w:rPr>
              <w:t>µ</w:t>
            </w:r>
            <w:r>
              <w:t>g/kg</w:t>
            </w:r>
          </w:p>
        </w:tc>
        <w:tc>
          <w:tcPr>
            <w:tcW w:w="1800" w:type="dxa"/>
            <w:tcBorders>
              <w:top w:val="nil"/>
              <w:bottom w:val="nil"/>
            </w:tcBorders>
            <w:shd w:val="clear" w:color="auto" w:fill="F2F2F2" w:themeFill="background1" w:themeFillShade="F2"/>
          </w:tcPr>
          <w:p w:rsidR="00A07F34" w:rsidRDefault="00A07F34" w:rsidP="00F7637E">
            <w:pPr>
              <w:rPr>
                <w:lang w:val="en-US"/>
              </w:rPr>
            </w:pPr>
            <w:r w:rsidRPr="007D6449">
              <w:rPr>
                <w:lang w:val="en-US"/>
              </w:rPr>
              <w:t>β</w:t>
            </w:r>
            <w:r>
              <w:rPr>
                <w:lang w:val="en-US"/>
              </w:rPr>
              <w:t>=0.59</w:t>
            </w:r>
          </w:p>
          <w:p w:rsidR="00A07F34" w:rsidRDefault="00A07F34" w:rsidP="00F7637E">
            <w:r w:rsidRPr="007D6449">
              <w:rPr>
                <w:lang w:val="en-US"/>
              </w:rPr>
              <w:t>α</w:t>
            </w:r>
            <w:r>
              <w:rPr>
                <w:lang w:val="en-US"/>
              </w:rPr>
              <w:t>=89261.05</w:t>
            </w:r>
          </w:p>
        </w:tc>
      </w:tr>
      <w:tr w:rsidR="00A07F34" w:rsidTr="00F7637E">
        <w:tc>
          <w:tcPr>
            <w:tcW w:w="2064" w:type="dxa"/>
            <w:tcBorders>
              <w:top w:val="nil"/>
              <w:bottom w:val="single" w:sz="4" w:space="0" w:color="D9D9D9" w:themeColor="background1" w:themeShade="D9"/>
            </w:tcBorders>
          </w:tcPr>
          <w:p w:rsidR="00A07F34" w:rsidRDefault="00A07F34" w:rsidP="00F7637E"/>
        </w:tc>
        <w:tc>
          <w:tcPr>
            <w:tcW w:w="2040" w:type="dxa"/>
            <w:tcBorders>
              <w:top w:val="nil"/>
              <w:bottom w:val="single" w:sz="4" w:space="0" w:color="D9D9D9" w:themeColor="background1" w:themeShade="D9"/>
            </w:tcBorders>
          </w:tcPr>
          <w:p w:rsidR="00A07F34" w:rsidRDefault="00A07F34" w:rsidP="00F7637E">
            <w:r>
              <w:t>Air</w:t>
            </w:r>
          </w:p>
        </w:tc>
        <w:tc>
          <w:tcPr>
            <w:tcW w:w="1825" w:type="dxa"/>
            <w:tcBorders>
              <w:top w:val="nil"/>
              <w:bottom w:val="single" w:sz="4" w:space="0" w:color="D9D9D9" w:themeColor="background1" w:themeShade="D9"/>
            </w:tcBorders>
          </w:tcPr>
          <w:p w:rsidR="00A07F34" w:rsidRDefault="00A07F34" w:rsidP="00F7637E">
            <w:r>
              <w:t>Log-logistic</w:t>
            </w:r>
            <w:r w:rsidRPr="000A1B95">
              <w:rPr>
                <w:vertAlign w:val="superscript"/>
                <w:lang w:val="en-US"/>
              </w:rPr>
              <w:t>‡</w:t>
            </w:r>
          </w:p>
        </w:tc>
        <w:tc>
          <w:tcPr>
            <w:tcW w:w="1631" w:type="dxa"/>
            <w:tcBorders>
              <w:top w:val="nil"/>
              <w:bottom w:val="single" w:sz="4" w:space="0" w:color="D9D9D9" w:themeColor="background1" w:themeShade="D9"/>
            </w:tcBorders>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tcBorders>
              <w:top w:val="nil"/>
              <w:bottom w:val="single" w:sz="4" w:space="0" w:color="D9D9D9" w:themeColor="background1" w:themeShade="D9"/>
            </w:tcBorders>
          </w:tcPr>
          <w:p w:rsidR="00A07F34" w:rsidRDefault="00A07F34" w:rsidP="00F7637E">
            <w:pPr>
              <w:rPr>
                <w:lang w:val="en-US"/>
              </w:rPr>
            </w:pPr>
            <w:r w:rsidRPr="007D6449">
              <w:rPr>
                <w:lang w:val="en-US"/>
              </w:rPr>
              <w:t>β</w:t>
            </w:r>
            <w:r>
              <w:rPr>
                <w:lang w:val="en-US"/>
              </w:rPr>
              <w:t>=1.42</w:t>
            </w:r>
          </w:p>
          <w:p w:rsidR="00A07F34" w:rsidRDefault="00A07F34" w:rsidP="00F7637E">
            <w:r w:rsidRPr="007D6449">
              <w:rPr>
                <w:lang w:val="en-US"/>
              </w:rPr>
              <w:t>α</w:t>
            </w:r>
            <w:r>
              <w:rPr>
                <w:lang w:val="en-US"/>
              </w:rPr>
              <w:t>=35594.55</w:t>
            </w:r>
          </w:p>
        </w:tc>
      </w:tr>
      <w:tr w:rsidR="00A07F34" w:rsidTr="00F7637E">
        <w:tc>
          <w:tcPr>
            <w:tcW w:w="2064" w:type="dxa"/>
            <w:tcBorders>
              <w:top w:val="single" w:sz="4" w:space="0" w:color="D9D9D9" w:themeColor="background1" w:themeShade="D9"/>
            </w:tcBorders>
          </w:tcPr>
          <w:p w:rsidR="00A07F34" w:rsidRDefault="00A07F34" w:rsidP="00F7637E">
            <w:proofErr w:type="spellStart"/>
            <w:r>
              <w:t>BaP</w:t>
            </w:r>
            <w:proofErr w:type="spellEnd"/>
          </w:p>
        </w:tc>
        <w:tc>
          <w:tcPr>
            <w:tcW w:w="2040" w:type="dxa"/>
            <w:tcBorders>
              <w:top w:val="single" w:sz="4" w:space="0" w:color="D9D9D9" w:themeColor="background1" w:themeShade="D9"/>
            </w:tcBorders>
            <w:shd w:val="clear" w:color="auto" w:fill="F2F2F2" w:themeFill="background1" w:themeFillShade="F2"/>
          </w:tcPr>
          <w:p w:rsidR="00A07F34" w:rsidRDefault="00A07F34" w:rsidP="00F7637E">
            <w:r>
              <w:t>Pelagic</w:t>
            </w:r>
          </w:p>
        </w:tc>
        <w:tc>
          <w:tcPr>
            <w:tcW w:w="1825" w:type="dxa"/>
            <w:tcBorders>
              <w:top w:val="single" w:sz="4" w:space="0" w:color="D9D9D9" w:themeColor="background1" w:themeShade="D9"/>
            </w:tcBorders>
            <w:shd w:val="clear" w:color="auto" w:fill="F2F2F2" w:themeFill="background1" w:themeFillShade="F2"/>
          </w:tcPr>
          <w:p w:rsidR="00A07F34" w:rsidRDefault="00A07F34" w:rsidP="00F7637E">
            <w:r>
              <w:t>Lognormal</w:t>
            </w:r>
          </w:p>
        </w:tc>
        <w:tc>
          <w:tcPr>
            <w:tcW w:w="1631" w:type="dxa"/>
            <w:tcBorders>
              <w:top w:val="single" w:sz="4" w:space="0" w:color="D9D9D9" w:themeColor="background1" w:themeShade="D9"/>
            </w:tcBorders>
            <w:shd w:val="clear" w:color="auto" w:fill="F2F2F2" w:themeFill="background1" w:themeFillShade="F2"/>
          </w:tcPr>
          <w:p w:rsidR="00A07F34" w:rsidRDefault="00A07F34" w:rsidP="00F7637E">
            <w:r>
              <w:t>ng/g lipid</w:t>
            </w:r>
          </w:p>
        </w:tc>
        <w:tc>
          <w:tcPr>
            <w:tcW w:w="1800" w:type="dxa"/>
            <w:tcBorders>
              <w:top w:val="single" w:sz="4" w:space="0" w:color="D9D9D9" w:themeColor="background1" w:themeShade="D9"/>
            </w:tcBorders>
            <w:shd w:val="clear" w:color="auto" w:fill="F2F2F2" w:themeFill="background1" w:themeFillShade="F2"/>
          </w:tcPr>
          <w:p w:rsidR="00A07F34" w:rsidRDefault="00A07F34" w:rsidP="00F7637E">
            <w:pPr>
              <w:rPr>
                <w:lang w:val="en-US"/>
              </w:rPr>
            </w:pPr>
            <w:proofErr w:type="spellStart"/>
            <w:r>
              <w:rPr>
                <w:lang w:val="en-US"/>
              </w:rPr>
              <w:t>meanlog</w:t>
            </w:r>
            <w:proofErr w:type="spellEnd"/>
            <w:r>
              <w:rPr>
                <w:lang w:val="en-US"/>
              </w:rPr>
              <w:t>=6.09</w:t>
            </w:r>
          </w:p>
          <w:p w:rsidR="00A07F34" w:rsidRPr="007D6449" w:rsidRDefault="00A07F34" w:rsidP="00F7637E">
            <w:pPr>
              <w:rPr>
                <w:lang w:val="en-US"/>
              </w:rPr>
            </w:pPr>
            <w:proofErr w:type="spellStart"/>
            <w:r>
              <w:rPr>
                <w:lang w:val="en-US"/>
              </w:rPr>
              <w:t>sdlog</w:t>
            </w:r>
            <w:proofErr w:type="spellEnd"/>
            <w:r>
              <w:rPr>
                <w:lang w:val="en-US"/>
              </w:rPr>
              <w:t>=3.55</w:t>
            </w:r>
          </w:p>
        </w:tc>
      </w:tr>
      <w:tr w:rsidR="00A07F34" w:rsidTr="00F7637E">
        <w:tc>
          <w:tcPr>
            <w:tcW w:w="2064" w:type="dxa"/>
          </w:tcPr>
          <w:p w:rsidR="00A07F34" w:rsidRDefault="00A07F34" w:rsidP="00F7637E"/>
        </w:tc>
        <w:tc>
          <w:tcPr>
            <w:tcW w:w="2040" w:type="dxa"/>
          </w:tcPr>
          <w:p w:rsidR="00A07F34" w:rsidRDefault="00A07F34" w:rsidP="00F7637E">
            <w:r>
              <w:t>Littoral</w:t>
            </w:r>
          </w:p>
        </w:tc>
        <w:tc>
          <w:tcPr>
            <w:tcW w:w="1825" w:type="dxa"/>
          </w:tcPr>
          <w:p w:rsidR="00A07F34" w:rsidRDefault="00A07F34" w:rsidP="00F7637E">
            <w:r>
              <w:t>Exponential</w:t>
            </w:r>
          </w:p>
        </w:tc>
        <w:tc>
          <w:tcPr>
            <w:tcW w:w="1631" w:type="dxa"/>
          </w:tcPr>
          <w:p w:rsidR="00A07F34" w:rsidRDefault="00A07F34" w:rsidP="00F7637E">
            <w:r>
              <w:t>ng/g lipid</w:t>
            </w:r>
            <w:r>
              <w:rPr>
                <w:vertAlign w:val="superscript"/>
                <w:lang w:val="en-US"/>
              </w:rPr>
              <w:t>†</w:t>
            </w:r>
          </w:p>
        </w:tc>
        <w:tc>
          <w:tcPr>
            <w:tcW w:w="1800" w:type="dxa"/>
          </w:tcPr>
          <w:p w:rsidR="00A07F34" w:rsidRPr="007D6449" w:rsidRDefault="00A07F34" w:rsidP="00F7637E">
            <w:pPr>
              <w:rPr>
                <w:lang w:val="en-US"/>
              </w:rPr>
            </w:pPr>
            <w:r w:rsidRPr="007D6449">
              <w:rPr>
                <w:lang w:val="en-US"/>
              </w:rPr>
              <w:t>λ</w:t>
            </w:r>
            <w:r>
              <w:rPr>
                <w:lang w:val="en-US"/>
              </w:rPr>
              <w:t>=0.023</w:t>
            </w:r>
          </w:p>
        </w:tc>
      </w:tr>
      <w:tr w:rsidR="00A07F34" w:rsidTr="00F7637E">
        <w:tc>
          <w:tcPr>
            <w:tcW w:w="2064" w:type="dxa"/>
          </w:tcPr>
          <w:p w:rsidR="00A07F34" w:rsidRDefault="00A07F34" w:rsidP="00F7637E"/>
        </w:tc>
        <w:tc>
          <w:tcPr>
            <w:tcW w:w="2040" w:type="dxa"/>
            <w:shd w:val="clear" w:color="auto" w:fill="F2F2F2" w:themeFill="background1" w:themeFillShade="F2"/>
          </w:tcPr>
          <w:p w:rsidR="00A07F34" w:rsidRDefault="00A07F34" w:rsidP="00F7637E">
            <w:r>
              <w:t>Air</w:t>
            </w:r>
          </w:p>
        </w:tc>
        <w:tc>
          <w:tcPr>
            <w:tcW w:w="1825" w:type="dxa"/>
            <w:shd w:val="clear" w:color="auto" w:fill="F2F2F2" w:themeFill="background1" w:themeFillShade="F2"/>
          </w:tcPr>
          <w:p w:rsidR="00A07F34" w:rsidRDefault="00A07F34" w:rsidP="00F7637E">
            <w:r>
              <w:t>Log-logistic</w:t>
            </w:r>
            <w:r w:rsidRPr="000A1B95">
              <w:rPr>
                <w:vertAlign w:val="superscript"/>
                <w:lang w:val="en-US"/>
              </w:rPr>
              <w:t>‡</w:t>
            </w:r>
          </w:p>
        </w:tc>
        <w:tc>
          <w:tcPr>
            <w:tcW w:w="1631" w:type="dxa"/>
            <w:shd w:val="clear" w:color="auto" w:fill="F2F2F2" w:themeFill="background1" w:themeFillShade="F2"/>
          </w:tcPr>
          <w:p w:rsidR="00A07F34" w:rsidRPr="00355FC8" w:rsidRDefault="00A07F34" w:rsidP="00F7637E">
            <w:pPr>
              <w:rPr>
                <w:vertAlign w:val="superscript"/>
              </w:rPr>
            </w:pPr>
            <w:proofErr w:type="spellStart"/>
            <w:r>
              <w:t>pg</w:t>
            </w:r>
            <w:proofErr w:type="spellEnd"/>
            <w:r>
              <w:t>/m</w:t>
            </w:r>
            <w:r>
              <w:rPr>
                <w:vertAlign w:val="superscript"/>
              </w:rPr>
              <w:t>3</w:t>
            </w:r>
          </w:p>
        </w:tc>
        <w:tc>
          <w:tcPr>
            <w:tcW w:w="1800" w:type="dxa"/>
            <w:shd w:val="clear" w:color="auto" w:fill="F2F2F2" w:themeFill="background1" w:themeFillShade="F2"/>
          </w:tcPr>
          <w:p w:rsidR="00A07F34" w:rsidRDefault="00A07F34" w:rsidP="00F7637E">
            <w:pPr>
              <w:rPr>
                <w:lang w:val="en-US"/>
              </w:rPr>
            </w:pPr>
            <w:r w:rsidRPr="007D6449">
              <w:rPr>
                <w:lang w:val="en-US"/>
              </w:rPr>
              <w:t>β</w:t>
            </w:r>
            <w:r>
              <w:rPr>
                <w:lang w:val="en-US"/>
              </w:rPr>
              <w:t>=1.55</w:t>
            </w:r>
          </w:p>
          <w:p w:rsidR="00A07F34" w:rsidRPr="007D6449" w:rsidRDefault="00A07F34" w:rsidP="00F7637E">
            <w:pPr>
              <w:rPr>
                <w:lang w:val="en-US"/>
              </w:rPr>
            </w:pPr>
            <w:r w:rsidRPr="007D6449">
              <w:rPr>
                <w:lang w:val="en-US"/>
              </w:rPr>
              <w:t>α</w:t>
            </w:r>
            <w:r>
              <w:rPr>
                <w:lang w:val="en-US"/>
              </w:rPr>
              <w:t>=146.09</w:t>
            </w:r>
          </w:p>
        </w:tc>
      </w:tr>
    </w:tbl>
    <w:p w:rsidR="00A07F34" w:rsidRDefault="00A07F34" w:rsidP="00A07F34">
      <w:pPr>
        <w:spacing w:after="0"/>
        <w:jc w:val="both"/>
        <w:rPr>
          <w:lang w:val="en-US"/>
        </w:rPr>
      </w:pPr>
      <w:r>
        <w:rPr>
          <w:vertAlign w:val="superscript"/>
          <w:lang w:val="en-US"/>
        </w:rPr>
        <w:t>†</w:t>
      </w:r>
      <w:r w:rsidRPr="007D6449">
        <w:rPr>
          <w:lang w:val="en-US"/>
        </w:rPr>
        <w:t>λ is the rate constant for an exponential distribution.</w:t>
      </w:r>
    </w:p>
    <w:p w:rsidR="00A07F34" w:rsidRDefault="00A07F34" w:rsidP="00A07F34">
      <w:pPr>
        <w:spacing w:after="0"/>
        <w:jc w:val="both"/>
        <w:rPr>
          <w:lang w:val="en-US"/>
        </w:rPr>
      </w:pPr>
      <w:r w:rsidRPr="000A1B95">
        <w:rPr>
          <w:vertAlign w:val="superscript"/>
          <w:lang w:val="en-US"/>
        </w:rPr>
        <w:t>‡</w:t>
      </w:r>
      <w:r w:rsidRPr="007D6449">
        <w:rPr>
          <w:lang w:val="en-US"/>
        </w:rPr>
        <w:t>β is the shape parameter and α is the scale parameter for a log-logistic distribution.</w:t>
      </w:r>
    </w:p>
    <w:p w:rsidR="00160ADE" w:rsidRDefault="00160ADE" w:rsidP="00A07F34">
      <w:pPr>
        <w:spacing w:after="0"/>
        <w:jc w:val="both"/>
        <w:rPr>
          <w:lang w:val="en-US"/>
        </w:rPr>
      </w:pPr>
    </w:p>
    <w:p w:rsidR="00160ADE" w:rsidRPr="00160ADE" w:rsidRDefault="00160ADE" w:rsidP="00A07F34">
      <w:pPr>
        <w:spacing w:after="0"/>
        <w:jc w:val="both"/>
        <w:rPr>
          <w:b/>
          <w:bCs/>
          <w:lang w:val="en-US"/>
        </w:rPr>
      </w:pPr>
      <w:r w:rsidRPr="00160ADE">
        <w:rPr>
          <w:b/>
          <w:bCs/>
          <w:lang w:val="en-US"/>
        </w:rPr>
        <w:t>References</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160ADE">
        <w:rPr>
          <w:rFonts w:cs="Times New Roman"/>
          <w:noProof/>
          <w:szCs w:val="24"/>
        </w:rPr>
        <w:t xml:space="preserve">1. </w:t>
      </w:r>
      <w:r w:rsidRPr="00160ADE">
        <w:rPr>
          <w:rFonts w:cs="Times New Roman"/>
          <w:noProof/>
          <w:szCs w:val="24"/>
        </w:rPr>
        <w:tab/>
        <w:t xml:space="preserve">S. Abbasi, N. Soltani, B. Keshavarzi, F. Moore, A. Turner, M. Hassanaghaei, B. Keshavarzi, S. Abbasi, F. Moore, A. Turner, N. Soltani, B. Keshavarzi, F. Moore, A. Turner, M. Hassanaghaei, B. Keshavarzi, S. Abbasi, F. Moore, A. Turner, Microplastics in different tissues of fish and prawn from the Musa Estuary, Persian Gulf. </w:t>
      </w:r>
      <w:r w:rsidRPr="00160ADE">
        <w:rPr>
          <w:rFonts w:cs="Times New Roman"/>
          <w:i/>
          <w:iCs/>
          <w:noProof/>
          <w:szCs w:val="24"/>
        </w:rPr>
        <w:t>Chemosphere</w:t>
      </w:r>
      <w:r w:rsidRPr="00160ADE">
        <w:rPr>
          <w:rFonts w:cs="Times New Roman"/>
          <w:noProof/>
          <w:szCs w:val="24"/>
        </w:rPr>
        <w:t xml:space="preserve">. </w:t>
      </w:r>
      <w:r w:rsidRPr="00160ADE">
        <w:rPr>
          <w:rFonts w:cs="Times New Roman"/>
          <w:b/>
          <w:bCs/>
          <w:noProof/>
          <w:szCs w:val="24"/>
        </w:rPr>
        <w:t>205</w:t>
      </w:r>
      <w:r w:rsidRPr="00160ADE">
        <w:rPr>
          <w:rFonts w:cs="Times New Roman"/>
          <w:noProof/>
          <w:szCs w:val="24"/>
        </w:rPr>
        <w:t>, 80–87 (2018).</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2. </w:t>
      </w:r>
      <w:r w:rsidRPr="00160ADE">
        <w:rPr>
          <w:rFonts w:cs="Times New Roman"/>
          <w:noProof/>
          <w:szCs w:val="24"/>
        </w:rPr>
        <w:tab/>
        <w:t xml:space="preserve">L. G. A. Barboza, C. Lopes, P. Oliveira, F. Bessa, V. Otero, B. Henriques, J. Raimundo, M. Caetano, C. Vale, L. Guilhermino, Microplastics in wild fish from North East Atlantic Ocean and its potential for causing neurotoxic effects, lipid oxidative damage, and human health risks associated with ingestion exposure. </w:t>
      </w:r>
      <w:r w:rsidRPr="00160ADE">
        <w:rPr>
          <w:rFonts w:cs="Times New Roman"/>
          <w:i/>
          <w:iCs/>
          <w:noProof/>
          <w:szCs w:val="24"/>
        </w:rPr>
        <w:t>Sci. Total Environ.</w:t>
      </w:r>
      <w:r w:rsidRPr="00160ADE">
        <w:rPr>
          <w:rFonts w:cs="Times New Roman"/>
          <w:noProof/>
          <w:szCs w:val="24"/>
        </w:rPr>
        <w:t xml:space="preserve"> </w:t>
      </w:r>
      <w:r w:rsidRPr="00160ADE">
        <w:rPr>
          <w:rFonts w:cs="Times New Roman"/>
          <w:b/>
          <w:bCs/>
          <w:noProof/>
          <w:szCs w:val="24"/>
        </w:rPr>
        <w:t>717</w:t>
      </w:r>
      <w:r w:rsidRPr="00160ADE">
        <w:rPr>
          <w:rFonts w:cs="Times New Roman"/>
          <w:noProof/>
          <w:szCs w:val="24"/>
        </w:rPr>
        <w:t xml:space="preserve"> (2020), doi:10.1016/j.scitotenv.2019.134625.</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3. </w:t>
      </w:r>
      <w:r w:rsidRPr="00160ADE">
        <w:rPr>
          <w:rFonts w:cs="Times New Roman"/>
          <w:noProof/>
          <w:szCs w:val="24"/>
        </w:rPr>
        <w:tab/>
        <w:t xml:space="preserve">M. Allan, G. M. Richardson, Human and Ecological Risk Assessment : An International Probability Density Functions Describing 24-Hour Inhalation Rates For </w:t>
      </w:r>
      <w:r w:rsidRPr="00160ADE">
        <w:rPr>
          <w:rFonts w:cs="Times New Roman"/>
          <w:noProof/>
          <w:szCs w:val="24"/>
        </w:rPr>
        <w:lastRenderedPageBreak/>
        <w:t xml:space="preserve">Use in Human Health Risk Assessments Probability Density Functions Describing 24-Hour Inhalation Rates For Use in Human Health Ri. </w:t>
      </w:r>
      <w:r w:rsidRPr="00160ADE">
        <w:rPr>
          <w:rFonts w:cs="Times New Roman"/>
          <w:b/>
          <w:bCs/>
          <w:noProof/>
          <w:szCs w:val="24"/>
        </w:rPr>
        <w:t>7039</w:t>
      </w:r>
      <w:r w:rsidRPr="00160ADE">
        <w:rPr>
          <w:rFonts w:cs="Times New Roman"/>
          <w:noProof/>
          <w:szCs w:val="24"/>
        </w:rPr>
        <w:t xml:space="preserve"> (2010), doi:10.1080/10807039891284389.</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4. </w:t>
      </w:r>
      <w:r w:rsidRPr="00160ADE">
        <w:rPr>
          <w:rFonts w:cs="Times New Roman"/>
          <w:noProof/>
          <w:szCs w:val="24"/>
        </w:rPr>
        <w:tab/>
        <w:t xml:space="preserve">M. Stifelman, Using doubly-labeled water measurements of human energy expenditure to estimate inhalation rates. </w:t>
      </w:r>
      <w:r w:rsidRPr="00160ADE">
        <w:rPr>
          <w:rFonts w:cs="Times New Roman"/>
          <w:i/>
          <w:iCs/>
          <w:noProof/>
          <w:szCs w:val="24"/>
        </w:rPr>
        <w:t>Sci. Total Environ.</w:t>
      </w:r>
      <w:r w:rsidRPr="00160ADE">
        <w:rPr>
          <w:rFonts w:cs="Times New Roman"/>
          <w:noProof/>
          <w:szCs w:val="24"/>
        </w:rPr>
        <w:t xml:space="preserve"> </w:t>
      </w:r>
      <w:r w:rsidRPr="00160ADE">
        <w:rPr>
          <w:rFonts w:cs="Times New Roman"/>
          <w:b/>
          <w:bCs/>
          <w:noProof/>
          <w:szCs w:val="24"/>
        </w:rPr>
        <w:t>373</w:t>
      </w:r>
      <w:r w:rsidRPr="00160ADE">
        <w:rPr>
          <w:rFonts w:cs="Times New Roman"/>
          <w:noProof/>
          <w:szCs w:val="24"/>
        </w:rPr>
        <w:t>, 585–590 (2007).</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5. </w:t>
      </w:r>
      <w:r w:rsidRPr="00160ADE">
        <w:rPr>
          <w:rFonts w:cs="Times New Roman"/>
          <w:noProof/>
          <w:szCs w:val="24"/>
        </w:rPr>
        <w:tab/>
        <w:t xml:space="preserve">K. ichi Ogawara, M. Yoshida, J. ichi Kubo, M. Nishikawa, Y. Takakura, M. Hashida, K. Higaki, T. Kimura, Mechanisms of hepatic disposition of polystyrene microspheres in rats: Effects of serum depend on the sizes of microspheres. </w:t>
      </w:r>
      <w:r w:rsidRPr="00160ADE">
        <w:rPr>
          <w:rFonts w:cs="Times New Roman"/>
          <w:i/>
          <w:iCs/>
          <w:noProof/>
          <w:szCs w:val="24"/>
        </w:rPr>
        <w:t>J. Control. Release</w:t>
      </w:r>
      <w:r w:rsidRPr="00160ADE">
        <w:rPr>
          <w:rFonts w:cs="Times New Roman"/>
          <w:noProof/>
          <w:szCs w:val="24"/>
        </w:rPr>
        <w:t xml:space="preserve">. </w:t>
      </w:r>
      <w:r w:rsidRPr="00160ADE">
        <w:rPr>
          <w:rFonts w:cs="Times New Roman"/>
          <w:b/>
          <w:bCs/>
          <w:noProof/>
          <w:szCs w:val="24"/>
        </w:rPr>
        <w:t>61</w:t>
      </w:r>
      <w:r w:rsidRPr="00160ADE">
        <w:rPr>
          <w:rFonts w:cs="Times New Roman"/>
          <w:noProof/>
          <w:szCs w:val="24"/>
        </w:rPr>
        <w:t>, 241–250 (1999).</w:t>
      </w:r>
    </w:p>
    <w:p w:rsidR="00160ADE" w:rsidRPr="00160ADE" w:rsidRDefault="00160ADE" w:rsidP="00160ADE">
      <w:pPr>
        <w:widowControl w:val="0"/>
        <w:autoSpaceDE w:val="0"/>
        <w:autoSpaceDN w:val="0"/>
        <w:adjustRightInd w:val="0"/>
        <w:spacing w:line="240" w:lineRule="auto"/>
        <w:ind w:left="640" w:hanging="640"/>
        <w:rPr>
          <w:rFonts w:cs="Times New Roman"/>
          <w:noProof/>
          <w:szCs w:val="24"/>
        </w:rPr>
      </w:pPr>
      <w:r w:rsidRPr="00160ADE">
        <w:rPr>
          <w:rFonts w:cs="Times New Roman"/>
          <w:noProof/>
          <w:szCs w:val="24"/>
        </w:rPr>
        <w:t xml:space="preserve">6. </w:t>
      </w:r>
      <w:r w:rsidRPr="00160ADE">
        <w:rPr>
          <w:rFonts w:cs="Times New Roman"/>
          <w:noProof/>
          <w:szCs w:val="24"/>
        </w:rPr>
        <w:tab/>
        <w:t xml:space="preserve">M. Li, Z. Panagi, K. Avgoustakis, J. Reineke, Physiologically based pharmacokinetic modeling of PLGA nanoparticles with varied mPEG content. </w:t>
      </w:r>
      <w:r w:rsidRPr="00160ADE">
        <w:rPr>
          <w:rFonts w:cs="Times New Roman"/>
          <w:i/>
          <w:iCs/>
          <w:noProof/>
          <w:szCs w:val="24"/>
        </w:rPr>
        <w:t>Int. J. Nanomedicine</w:t>
      </w:r>
      <w:r w:rsidRPr="00160ADE">
        <w:rPr>
          <w:rFonts w:cs="Times New Roman"/>
          <w:noProof/>
          <w:szCs w:val="24"/>
        </w:rPr>
        <w:t xml:space="preserve">. </w:t>
      </w:r>
      <w:r w:rsidRPr="00160ADE">
        <w:rPr>
          <w:rFonts w:cs="Times New Roman"/>
          <w:b/>
          <w:bCs/>
          <w:noProof/>
          <w:szCs w:val="24"/>
        </w:rPr>
        <w:t>7</w:t>
      </w:r>
      <w:r w:rsidRPr="00160ADE">
        <w:rPr>
          <w:rFonts w:cs="Times New Roman"/>
          <w:noProof/>
          <w:szCs w:val="24"/>
        </w:rPr>
        <w:t>, 1345–1356 (2012).</w:t>
      </w:r>
    </w:p>
    <w:p w:rsidR="00160ADE" w:rsidRPr="00160ADE" w:rsidRDefault="00160ADE" w:rsidP="00160ADE">
      <w:pPr>
        <w:widowControl w:val="0"/>
        <w:autoSpaceDE w:val="0"/>
        <w:autoSpaceDN w:val="0"/>
        <w:adjustRightInd w:val="0"/>
        <w:spacing w:line="240" w:lineRule="auto"/>
        <w:ind w:left="640" w:hanging="640"/>
        <w:rPr>
          <w:rFonts w:cs="Times New Roman"/>
          <w:noProof/>
        </w:rPr>
      </w:pPr>
      <w:r w:rsidRPr="00160ADE">
        <w:rPr>
          <w:rFonts w:cs="Times New Roman"/>
          <w:noProof/>
          <w:szCs w:val="24"/>
        </w:rPr>
        <w:t xml:space="preserve">7. </w:t>
      </w:r>
      <w:r w:rsidRPr="00160ADE">
        <w:rPr>
          <w:rFonts w:cs="Times New Roman"/>
          <w:noProof/>
          <w:szCs w:val="24"/>
        </w:rPr>
        <w:tab/>
        <w:t xml:space="preserve">G. Bachler, N. von Goetz, K. Hungerbühler, A physiologically based pharmacokinetic model for ionic silver and silver nanoparticles. </w:t>
      </w:r>
      <w:r w:rsidRPr="00160ADE">
        <w:rPr>
          <w:rFonts w:cs="Times New Roman"/>
          <w:i/>
          <w:iCs/>
          <w:noProof/>
          <w:szCs w:val="24"/>
        </w:rPr>
        <w:t>Int. J. Nanomedicine</w:t>
      </w:r>
      <w:r w:rsidRPr="00160ADE">
        <w:rPr>
          <w:rFonts w:cs="Times New Roman"/>
          <w:noProof/>
          <w:szCs w:val="24"/>
        </w:rPr>
        <w:t xml:space="preserve">. </w:t>
      </w:r>
      <w:r w:rsidRPr="00160ADE">
        <w:rPr>
          <w:rFonts w:cs="Times New Roman"/>
          <w:b/>
          <w:bCs/>
          <w:noProof/>
          <w:szCs w:val="24"/>
        </w:rPr>
        <w:t>8</w:t>
      </w:r>
      <w:r w:rsidRPr="00160ADE">
        <w:rPr>
          <w:rFonts w:cs="Times New Roman"/>
          <w:noProof/>
          <w:szCs w:val="24"/>
        </w:rPr>
        <w:t>, 3365–3382 (2013).</w:t>
      </w:r>
    </w:p>
    <w:p w:rsidR="00BF236A" w:rsidRDefault="00160ADE">
      <w:r>
        <w:fldChar w:fldCharType="end"/>
      </w:r>
    </w:p>
    <w:sectPr w:rsidR="00BF236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1" w:cryptProviderType="rsaAES" w:cryptAlgorithmClass="hash" w:cryptAlgorithmType="typeAny" w:cryptAlgorithmSid="14" w:cryptSpinCount="100000" w:hash="VPqbgrmtw/w2Ukfezo9gbc4mPFR//94UmnkVUKY+ebws3vfufoaqy6HZSvh9WYocPfBy/3dRimQ7zwLMC26dkg==" w:salt="4DQKI45gq2e0R7DhCgEJ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4"/>
    <w:rsid w:val="00160ADE"/>
    <w:rsid w:val="001D4C7C"/>
    <w:rsid w:val="002C7CCB"/>
    <w:rsid w:val="00A07F34"/>
    <w:rsid w:val="00B04062"/>
    <w:rsid w:val="00BF236A"/>
    <w:rsid w:val="00E94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53E7"/>
  <w15:chartTrackingRefBased/>
  <w15:docId w15:val="{C480DE9E-1656-4B37-85FB-FA6FBBB5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F3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7F3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07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5EB0-42B8-4138-80FB-C06E70CC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901721BF.dotm</Template>
  <TotalTime>5</TotalTime>
  <Pages>5</Pages>
  <Words>8789</Words>
  <Characters>50098</Characters>
  <Application>Microsoft Office Word</Application>
  <DocSecurity>8</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58770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Nor, Hazimah</dc:creator>
  <cp:keywords/>
  <dc:description/>
  <cp:lastModifiedBy>Mohamed Nor, Hazimah</cp:lastModifiedBy>
  <cp:revision>3</cp:revision>
  <dcterms:created xsi:type="dcterms:W3CDTF">2020-09-22T10:12:00Z</dcterms:created>
  <dcterms:modified xsi:type="dcterms:W3CDTF">2020-09-24T21:41:00Z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http://www.zotero.org/styles/environmental-science-and-technology</vt:lpwstr>
  </property>
  <property fmtid="{D5CDD505-2E9C-101B-9397-08002B2CF9AE}" pid="9" name="Mendeley Recent Style Name 3_1">
    <vt:lpwstr>Environmental Science &amp; Technology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http://www.zotero.org/styles/science-advances</vt:lpwstr>
  </property>
  <property fmtid="{D5CDD505-2E9C-101B-9397-08002B2CF9AE}" pid="17" name="Mendeley Recent Style Name 7_1">
    <vt:lpwstr>Science Advances</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http://www.zotero.org/styles/university-of-york-apa</vt:lpwstr>
  </property>
  <property fmtid="{D5CDD505-2E9C-101B-9397-08002B2CF9AE}" pid="21" name="Mendeley Recent Style Name 9_1">
    <vt:lpwstr>University of York - APA 6th edition</vt:lpwstr>
  </property>
  <property fmtid="{D5CDD505-2E9C-101B-9397-08002B2CF9AE}" pid="22" name="Mendeley Document_1">
    <vt:lpwstr>True</vt:lpwstr>
  </property>
  <property fmtid="{D5CDD505-2E9C-101B-9397-08002B2CF9AE}" pid="23" name="Mendeley Unique User Id_1">
    <vt:lpwstr>75a54375-0c11-3e97-a4b9-d0994017e5c9</vt:lpwstr>
  </property>
  <property fmtid="{D5CDD505-2E9C-101B-9397-08002B2CF9AE}" pid="24" name="Mendeley Citation Style_1">
    <vt:lpwstr>http://www.zotero.org/styles/science-advances</vt:lpwstr>
  </property>
</Properties>
</file>