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TÀI LIỆU ÔN PHỎNG VẤN DATA ARCHITECT - DỰ ÁN MIGRATE CORPORATE BANKING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Phiên bản: 19/05/2026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MỤC TIÊU TÀI LIỆU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Chuẩn bị phỏng vấn vị trí Data Architect theo mindset Framework, Methodology và Risk Control.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Ôn SQL, database concepts, ERD, data migration architecture, reconciliation, cutover và rollback.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Cung cấp ví dụ thực hành rõ ràng để trả lời câu hỏi tình huống trong phỏng vấn.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1. HIỂU ĐÚNG VAI TRÒ DATA ARCHITECT TRONG MIGRATION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Data Architect không phải người chỉ viết script ETL, mà là người chịu trách nhiệm thiết kế phương pháp, kiến trúc, tiêu chuẩn kiểm soát và điều phối go-live an toàn.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Deliverables cốt lõi: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Data Architecture Blueprint: kiến trúc as-is, to-be, luồng dữ liệu và ranh giới hệ thống.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Data Model và Mapping Specification: ánh xạ source-to-target, business rules, data type rules.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Metadata-driven migration framework.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Reconciliation framework 3 lớp và cơ chế xử lý sai lệch.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Cutover runbook theo phút và rollback decision matrix.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Governance artifacts: data quality, lineage, security masking, audit trail.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2. GIẢI NGHĨA YÊU CẦU JD VÀ CÁCH TRẢ LỜI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- 10+ năm enterprise architecture: thể hiện năng lực chiến lược, tiêu chuẩn và governance.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Oracle, Exadata, PostgreSQL: nói được tuning, partitioning, CDC, performance ở quy mô lớn.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Metadata-driven accelerator: cho thấy khả năng scale từ 100 lên 1000 bảng mà không tăng effort tuyến tính.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Reconciliation framework: đưa ra bằng chứng kiểm soát dữ liệu độc lập với trạng thái ETL.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3. ERD MẪU CORE BANKING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CUSTOMER 1-N ACCOUNT 1-N TXN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ACCOUNT 1-N ACCOUNT_BALANCE_DAILY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CUSTOMER 1-N KYC_PROFILE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PRODUCT 1-N ACCOUNT, BRANCH 1-N ACCOUNT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4. SQL THỰC HÀNH NHANH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SELECT COUNT(*) FROM src.txn WHERE value_date = :biz_date;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SELECT COUNT(*) FROM tgt.txn WHERE value_date = :biz_date;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SELECT SUM(amount) FROM src.txn WHERE value_date = :biz_date;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SELECT SUM(amount) FROM tgt.txn WHERE value_date = :biz_date;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5. CUTOVER RUNBOOK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Freeze giao dịch ghi mới trên legacy.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CDC catch-up vòng cuối.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Final reconciliation.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Go/No-Go meeting.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Switch traffic sang hệ mới.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- Smoke test nghiệp vụ quan trọng.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6. CÂU TRẢ LỜI MẪU</w:t>
      </w:r>
    </w:p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Migration thành công không phải ETL success, mà là data parity, business sign-off và SLA ổn định sau go-live.</w:t>
      </w:r>
    </w:p>
    <w:p/>
    <w:p>
      <w:r>
        <w:rPr>
          <w:rFonts w:ascii="Times New Roman" w:hAnsi="Times New Roman" w:eastAsia="Times New Roman" w:cs="Times New Roman"/>
          <w:lang w:val="vi-VN" w:eastAsia="vi-VN" w:bidi="vi-VN"/>
          <w:sz w:val="24"/>
          <w:szCs w:val="24"/>
        </w:rPr>
        <w:t xml:space="preserve">Ghi chú: file này đã được sinh lại với nội dung UTF-8 chuẩn để hiển thị tiếng Việt đúng trong Word.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vi-VN" w:eastAsia="vi-VN" w:bidi="vi-VN"/>
        <w:sz w:val="24"/>
        <w:szCs w:val="24"/>
      </w:rPr>
    </w:rPrDefault>
    <w:pPrDefault>
      <w:pPr/>
    </w:pPrDefault>
  </w:docDefaults>
  <w:style w:type="paragraph" w:default="1" w:styleId="Normal">
    <w:name w:val="Normal"/>
    <w:qFormat/>
    <w:rPr>
      <w:rFonts w:ascii="Times New Roman" w:hAnsi="Times New Roman" w:eastAsia="Times New Roman" w:cs="Times New Roman"/>
      <w:lang w:val="vi-VN" w:eastAsia="vi-VN" w:bidi="vi-V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