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40" w:rsidRPr="00045F7A" w:rsidRDefault="00497040" w:rsidP="007637CA">
      <w:pPr>
        <w:jc w:val="center"/>
        <w:rPr>
          <w:szCs w:val="22"/>
        </w:rPr>
      </w:pPr>
    </w:p>
    <w:p w:rsidR="007637CA" w:rsidRPr="006F0C3A" w:rsidRDefault="007637CA" w:rsidP="007637CA">
      <w:pPr>
        <w:jc w:val="center"/>
        <w:rPr>
          <w:szCs w:val="22"/>
        </w:rPr>
      </w:pPr>
      <w:r w:rsidRPr="006F0C3A">
        <w:rPr>
          <w:szCs w:val="22"/>
        </w:rPr>
        <w:t>Documentation for HV</w:t>
      </w:r>
      <w:r w:rsidR="00C43265">
        <w:rPr>
          <w:szCs w:val="22"/>
        </w:rPr>
        <w:t xml:space="preserve">TN 505 T cell and Binding Antibody Data for Janes et al. (2017, JID) and Fong, Shen et al. (2018, </w:t>
      </w:r>
      <w:r w:rsidR="000A12DA">
        <w:rPr>
          <w:szCs w:val="22"/>
        </w:rPr>
        <w:t>JID</w:t>
      </w:r>
      <w:r w:rsidR="00C43265">
        <w:rPr>
          <w:szCs w:val="22"/>
        </w:rPr>
        <w:t>)</w:t>
      </w:r>
    </w:p>
    <w:p w:rsidR="007637CA" w:rsidRPr="006F0C3A" w:rsidRDefault="006F0C3A" w:rsidP="007637CA">
      <w:pPr>
        <w:jc w:val="center"/>
        <w:rPr>
          <w:szCs w:val="22"/>
        </w:rPr>
      </w:pPr>
      <w:r>
        <w:rPr>
          <w:szCs w:val="22"/>
        </w:rPr>
        <w:t>April 6</w:t>
      </w:r>
      <w:r w:rsidR="007637CA" w:rsidRPr="006F0C3A">
        <w:rPr>
          <w:szCs w:val="22"/>
        </w:rPr>
        <w:t>, 2018</w:t>
      </w:r>
    </w:p>
    <w:p w:rsidR="007637CA" w:rsidRPr="006F0C3A" w:rsidRDefault="007637CA"/>
    <w:p w:rsidR="00FC2ABC" w:rsidRPr="006F0C3A" w:rsidRDefault="00C43265">
      <w:r>
        <w:t>Immune response b</w:t>
      </w:r>
      <w:r w:rsidR="00FC2ABC" w:rsidRPr="006F0C3A">
        <w:t xml:space="preserve">iomarkers are </w:t>
      </w:r>
      <w:r w:rsidR="00D97FEE" w:rsidRPr="006F0C3A">
        <w:t>measured at the Week 26</w:t>
      </w:r>
      <w:r w:rsidR="00FC2ABC" w:rsidRPr="006F0C3A">
        <w:t xml:space="preserve"> visit in vaccine group subjects, for studying their association with HIV infection through to the Month 24 study visit</w:t>
      </w:r>
      <w:r w:rsidR="00045F7A" w:rsidRPr="006F0C3A">
        <w:t xml:space="preserve"> and prior to the date the study was </w:t>
      </w:r>
      <w:proofErr w:type="spellStart"/>
      <w:r w:rsidR="00045F7A" w:rsidRPr="006F0C3A">
        <w:t>unblinded</w:t>
      </w:r>
      <w:proofErr w:type="spellEnd"/>
      <w:r w:rsidR="00045F7A" w:rsidRPr="006F0C3A">
        <w:t xml:space="preserve"> on April 22, 2013</w:t>
      </w:r>
      <w:r w:rsidR="00FC2ABC" w:rsidRPr="006F0C3A">
        <w:t>.</w:t>
      </w:r>
    </w:p>
    <w:p w:rsidR="00965E8C" w:rsidRPr="006F0C3A" w:rsidRDefault="00965E8C"/>
    <w:p w:rsidR="003406F3" w:rsidRPr="006F0C3A" w:rsidRDefault="003406F3" w:rsidP="007637CA">
      <w:pPr>
        <w:pStyle w:val="ListParagraph"/>
        <w:numPr>
          <w:ilvl w:val="0"/>
          <w:numId w:val="9"/>
        </w:numPr>
      </w:pPr>
      <w:r w:rsidRPr="006F0C3A">
        <w:t>The file primary505_for</w:t>
      </w:r>
      <w:r w:rsidR="00BB4240" w:rsidRPr="006F0C3A">
        <w:t>_</w:t>
      </w:r>
      <w:r w:rsidRPr="006F0C3A">
        <w:t>sharing.csv contains the main data for the 2,504 subjects enrolled in the HVTN 505 trial (reported upon in Hammer et al., 2013, NEJM)</w:t>
      </w:r>
    </w:p>
    <w:p w:rsidR="003406F3" w:rsidRPr="006F0C3A" w:rsidRDefault="003406F3" w:rsidP="003406F3">
      <w:pPr>
        <w:pStyle w:val="ListParagraph"/>
      </w:pPr>
    </w:p>
    <w:p w:rsidR="003406F3" w:rsidRPr="006F0C3A" w:rsidRDefault="003406F3" w:rsidP="003406F3">
      <w:pPr>
        <w:pStyle w:val="ListParagraph"/>
      </w:pPr>
      <w:r w:rsidRPr="006F0C3A">
        <w:t xml:space="preserve">Key variables </w:t>
      </w:r>
      <w:r w:rsidR="00D97FEE" w:rsidRPr="006F0C3A">
        <w:t xml:space="preserve">in this data file </w:t>
      </w:r>
      <w:r w:rsidR="00C43265">
        <w:t>for a</w:t>
      </w:r>
      <w:r w:rsidRPr="006F0C3A">
        <w:t xml:space="preserve"> survival analysis are as follows:</w:t>
      </w:r>
    </w:p>
    <w:p w:rsidR="003406F3" w:rsidRPr="006F0C3A" w:rsidRDefault="003406F3" w:rsidP="003406F3">
      <w:pPr>
        <w:pStyle w:val="ListParagraph"/>
      </w:pPr>
    </w:p>
    <w:p w:rsidR="003406F3" w:rsidRDefault="003406F3" w:rsidP="003406F3">
      <w:pPr>
        <w:pStyle w:val="ListParagraph"/>
        <w:numPr>
          <w:ilvl w:val="0"/>
          <w:numId w:val="10"/>
        </w:numPr>
      </w:pPr>
      <w:r w:rsidRPr="006F0C3A">
        <w:rPr>
          <w:b/>
        </w:rPr>
        <w:t>HIVwk28preunbl</w:t>
      </w:r>
      <w:r w:rsidRPr="006F0C3A">
        <w:t xml:space="preserve"> is the indicator of whether the failure event occurs before right-censoring </w:t>
      </w:r>
      <w:r w:rsidR="00045F7A" w:rsidRPr="006F0C3A">
        <w:t xml:space="preserve">and before the </w:t>
      </w:r>
      <w:proofErr w:type="spellStart"/>
      <w:r w:rsidR="00045F7A" w:rsidRPr="006F0C3A">
        <w:t>unblinding</w:t>
      </w:r>
      <w:proofErr w:type="spellEnd"/>
      <w:r w:rsidR="00045F7A" w:rsidRPr="006F0C3A">
        <w:t xml:space="preserve"> date April 22, 2013 </w:t>
      </w:r>
      <w:r w:rsidRPr="006F0C3A">
        <w:t>(the Delta)</w:t>
      </w:r>
    </w:p>
    <w:p w:rsidR="00C43265" w:rsidRPr="006F0C3A" w:rsidRDefault="00C43265" w:rsidP="00C43265">
      <w:pPr>
        <w:pStyle w:val="ListParagraph"/>
        <w:numPr>
          <w:ilvl w:val="0"/>
          <w:numId w:val="10"/>
        </w:numPr>
      </w:pPr>
      <w:r>
        <w:t xml:space="preserve">The time from enrollment to HIV infection diagnosis is </w:t>
      </w:r>
      <w:r w:rsidRPr="006F0C3A">
        <w:rPr>
          <w:b/>
        </w:rPr>
        <w:t>HIVwk28preunblfu</w:t>
      </w:r>
      <w:r w:rsidRPr="00C43265">
        <w:t xml:space="preserve">, for participants with </w:t>
      </w:r>
      <w:r w:rsidRPr="006F0C3A">
        <w:rPr>
          <w:b/>
        </w:rPr>
        <w:t>HIVwk28preunbl</w:t>
      </w:r>
      <w:r w:rsidRPr="00C43265">
        <w:t>=1.</w:t>
      </w:r>
      <w:r>
        <w:t xml:space="preserve"> </w:t>
      </w:r>
      <w:r w:rsidRPr="006F0C3A">
        <w:t xml:space="preserve">For right-censored subjects (with </w:t>
      </w:r>
      <w:r w:rsidRPr="006F0C3A">
        <w:rPr>
          <w:b/>
        </w:rPr>
        <w:t>HIVwk28preunbl</w:t>
      </w:r>
      <w:r w:rsidRPr="006F0C3A">
        <w:t xml:space="preserve">==0), the right-censoring time is </w:t>
      </w:r>
      <w:r w:rsidRPr="006F0C3A">
        <w:rPr>
          <w:b/>
        </w:rPr>
        <w:t>HIVwk28preunblfu</w:t>
      </w:r>
      <w:r w:rsidRPr="006F0C3A">
        <w:t>, which is the date of last study visit or April 22, 2013, whichever occurs first</w:t>
      </w:r>
      <w:r>
        <w:t xml:space="preserve">.  Thus this variable </w:t>
      </w:r>
      <w:r w:rsidRPr="006F0C3A">
        <w:rPr>
          <w:b/>
        </w:rPr>
        <w:t>HIVwk28preunblfu</w:t>
      </w:r>
      <w:r>
        <w:t xml:space="preserve"> is the standard X = </w:t>
      </w:r>
      <w:proofErr w:type="gramStart"/>
      <w:r>
        <w:t>min(</w:t>
      </w:r>
      <w:proofErr w:type="gramEnd"/>
      <w:r>
        <w:t>T,C) in survival analysis.</w:t>
      </w:r>
    </w:p>
    <w:p w:rsidR="003406F3" w:rsidRPr="006F0C3A" w:rsidRDefault="00C43265" w:rsidP="003406F3">
      <w:pPr>
        <w:pStyle w:val="ListParagraph"/>
        <w:numPr>
          <w:ilvl w:val="0"/>
          <w:numId w:val="10"/>
        </w:numPr>
      </w:pPr>
      <w:r w:rsidRPr="00C43265">
        <w:rPr>
          <w:b/>
        </w:rPr>
        <w:t>[If interval-censored methods are used]</w:t>
      </w:r>
      <w:r>
        <w:t xml:space="preserve"> </w:t>
      </w:r>
      <w:r w:rsidR="003406F3" w:rsidRPr="006F0C3A">
        <w:t xml:space="preserve">For subjects with failure events (with </w:t>
      </w:r>
      <w:r w:rsidR="003406F3" w:rsidRPr="006F0C3A">
        <w:rPr>
          <w:b/>
        </w:rPr>
        <w:t>HIVwk28preunbl</w:t>
      </w:r>
      <w:r w:rsidR="003406F3" w:rsidRPr="006F0C3A">
        <w:t>==</w:t>
      </w:r>
      <w:r w:rsidR="00E11861" w:rsidRPr="006F0C3A">
        <w:t>1</w:t>
      </w:r>
      <w:r w:rsidR="003406F3" w:rsidRPr="006F0C3A">
        <w:t xml:space="preserve">), the L and the U straddling their true infection time are defined by the date variables </w:t>
      </w:r>
      <w:proofErr w:type="spellStart"/>
      <w:r w:rsidR="003406F3" w:rsidRPr="006F0C3A">
        <w:rPr>
          <w:b/>
        </w:rPr>
        <w:t>lastnegdt</w:t>
      </w:r>
      <w:proofErr w:type="spellEnd"/>
      <w:r w:rsidR="003406F3" w:rsidRPr="006F0C3A">
        <w:t xml:space="preserve"> and </w:t>
      </w:r>
      <w:proofErr w:type="spellStart"/>
      <w:r w:rsidR="003406F3" w:rsidRPr="006F0C3A">
        <w:rPr>
          <w:b/>
        </w:rPr>
        <w:t>dxdt</w:t>
      </w:r>
      <w:proofErr w:type="spellEnd"/>
      <w:r w:rsidR="001A13C0" w:rsidRPr="006F0C3A">
        <w:rPr>
          <w:b/>
        </w:rPr>
        <w:t xml:space="preserve"> </w:t>
      </w:r>
      <w:r w:rsidR="001A13C0" w:rsidRPr="006F0C3A">
        <w:t>(last HIV negative testing date and diagnosis of HIV infection date)</w:t>
      </w:r>
      <w:r w:rsidR="003406F3" w:rsidRPr="006F0C3A">
        <w:t xml:space="preserve">, which should be compared to the time origin (which is the enrollment date, variable </w:t>
      </w:r>
      <w:proofErr w:type="spellStart"/>
      <w:r w:rsidR="003406F3" w:rsidRPr="006F0C3A">
        <w:rPr>
          <w:b/>
        </w:rPr>
        <w:t>enrdt</w:t>
      </w:r>
      <w:proofErr w:type="spellEnd"/>
      <w:r w:rsidR="003406F3" w:rsidRPr="006F0C3A">
        <w:t>) to compute L and U as number</w:t>
      </w:r>
      <w:r w:rsidR="00D97FEE" w:rsidRPr="006F0C3A">
        <w:t>s</w:t>
      </w:r>
      <w:r w:rsidR="003406F3" w:rsidRPr="006F0C3A">
        <w:t xml:space="preserve"> of days since enrollment.</w:t>
      </w:r>
    </w:p>
    <w:p w:rsidR="003406F3" w:rsidRPr="006F0C3A" w:rsidRDefault="003406F3" w:rsidP="00C43265">
      <w:pPr>
        <w:pStyle w:val="ListParagraph"/>
        <w:numPr>
          <w:ilvl w:val="0"/>
          <w:numId w:val="10"/>
        </w:numPr>
      </w:pPr>
      <w:proofErr w:type="spellStart"/>
      <w:proofErr w:type="gramStart"/>
      <w:r w:rsidRPr="006F0C3A">
        <w:rPr>
          <w:b/>
        </w:rPr>
        <w:t>bhvrisk</w:t>
      </w:r>
      <w:proofErr w:type="spellEnd"/>
      <w:proofErr w:type="gramEnd"/>
      <w:r w:rsidRPr="006F0C3A">
        <w:t xml:space="preserve"> is the baseline behavioral risk score defined in Hammer et al. (2013, NEJM) that is the best available predictor of the amount of exposure</w:t>
      </w:r>
      <w:r w:rsidR="00C43265">
        <w:t xml:space="preserve"> to HIV infection.  It was </w:t>
      </w:r>
      <w:r w:rsidRPr="006F0C3A">
        <w:t>controlled for in all mod</w:t>
      </w:r>
      <w:r w:rsidR="00C43265">
        <w:t xml:space="preserve">els studied </w:t>
      </w:r>
      <w:r w:rsidR="00045F7A" w:rsidRPr="006F0C3A">
        <w:t>in Janes et al. (2017, JID</w:t>
      </w:r>
      <w:r w:rsidRPr="006F0C3A">
        <w:t>)</w:t>
      </w:r>
      <w:r w:rsidR="00045F7A" w:rsidRPr="006F0C3A">
        <w:t xml:space="preserve"> and Fong</w:t>
      </w:r>
      <w:r w:rsidR="006F0C3A">
        <w:t>, Shen</w:t>
      </w:r>
      <w:r w:rsidR="00C43265">
        <w:t xml:space="preserve"> et al. (2018, </w:t>
      </w:r>
      <w:r w:rsidR="004E1FEA">
        <w:t>JID</w:t>
      </w:r>
      <w:r w:rsidR="00C43265">
        <w:t>)</w:t>
      </w:r>
      <w:r w:rsidRPr="006F0C3A">
        <w:t>.</w:t>
      </w:r>
    </w:p>
    <w:p w:rsidR="003406F3" w:rsidRPr="006F0C3A" w:rsidRDefault="003406F3" w:rsidP="003406F3">
      <w:pPr>
        <w:pStyle w:val="ListParagraph"/>
      </w:pPr>
    </w:p>
    <w:p w:rsidR="003406F3" w:rsidRPr="006F0C3A" w:rsidRDefault="00C43265" w:rsidP="003406F3">
      <w:pPr>
        <w:ind w:left="720"/>
      </w:pPr>
      <w:r>
        <w:t>Participants</w:t>
      </w:r>
      <w:r w:rsidR="003406F3" w:rsidRPr="006F0C3A">
        <w:t xml:space="preserve"> to include in the data analysis (under a complete-case inverse probability weighting approach</w:t>
      </w:r>
      <w:r w:rsidR="00045F7A" w:rsidRPr="006F0C3A">
        <w:t>)</w:t>
      </w:r>
      <w:r>
        <w:t xml:space="preserve"> are participants</w:t>
      </w:r>
      <w:r w:rsidR="003406F3" w:rsidRPr="006F0C3A">
        <w:t xml:space="preserve"> that satisfy all of the following criteria based on variables in primary505_</w:t>
      </w:r>
      <w:r w:rsidR="00BB4240" w:rsidRPr="006F0C3A">
        <w:t>for_sharing</w:t>
      </w:r>
      <w:r w:rsidR="003406F3" w:rsidRPr="006F0C3A">
        <w:t>.csv:</w:t>
      </w:r>
    </w:p>
    <w:p w:rsidR="003406F3" w:rsidRPr="006F0C3A" w:rsidRDefault="003406F3" w:rsidP="003406F3">
      <w:pPr>
        <w:pStyle w:val="ListParagraph"/>
        <w:numPr>
          <w:ilvl w:val="0"/>
          <w:numId w:val="11"/>
        </w:numPr>
      </w:pPr>
      <w:proofErr w:type="spellStart"/>
      <w:r w:rsidRPr="006F0C3A">
        <w:rPr>
          <w:b/>
        </w:rPr>
        <w:t>trt</w:t>
      </w:r>
      <w:proofErr w:type="spellEnd"/>
      <w:r w:rsidRPr="006F0C3A">
        <w:t>==1</w:t>
      </w:r>
      <w:r w:rsidRPr="006F0C3A">
        <w:tab/>
      </w:r>
      <w:r w:rsidRPr="006F0C3A">
        <w:tab/>
      </w:r>
      <w:r w:rsidRPr="006F0C3A">
        <w:tab/>
        <w:t>(subset on vaccine group subjects)</w:t>
      </w:r>
    </w:p>
    <w:p w:rsidR="003406F3" w:rsidRPr="006F0C3A" w:rsidRDefault="003406F3" w:rsidP="003406F3">
      <w:pPr>
        <w:pStyle w:val="ListParagraph"/>
        <w:numPr>
          <w:ilvl w:val="0"/>
          <w:numId w:val="11"/>
        </w:numPr>
      </w:pPr>
      <w:r w:rsidRPr="006F0C3A">
        <w:rPr>
          <w:b/>
        </w:rPr>
        <w:t>week28</w:t>
      </w:r>
      <w:r w:rsidRPr="006F0C3A">
        <w:t>==1</w:t>
      </w:r>
      <w:r w:rsidRPr="006F0C3A">
        <w:tab/>
      </w:r>
      <w:r w:rsidRPr="006F0C3A">
        <w:tab/>
        <w:t>(in the primary cohort that did not get diagnosed with HIV</w:t>
      </w:r>
    </w:p>
    <w:p w:rsidR="003406F3" w:rsidRPr="006F0C3A" w:rsidRDefault="003406F3" w:rsidP="003406F3">
      <w:pPr>
        <w:pStyle w:val="ListParagraph"/>
        <w:ind w:left="3600"/>
      </w:pPr>
      <w:proofErr w:type="gramStart"/>
      <w:r w:rsidRPr="006F0C3A">
        <w:t>infection</w:t>
      </w:r>
      <w:proofErr w:type="gramEnd"/>
      <w:r w:rsidRPr="006F0C3A">
        <w:t xml:space="preserve"> prior to the week 28 visit.  Not being infected before</w:t>
      </w:r>
    </w:p>
    <w:p w:rsidR="003406F3" w:rsidRPr="006F0C3A" w:rsidRDefault="003406F3" w:rsidP="003406F3">
      <w:pPr>
        <w:pStyle w:val="ListParagraph"/>
        <w:ind w:left="3600"/>
      </w:pPr>
      <w:proofErr w:type="gramStart"/>
      <w:r w:rsidRPr="006F0C3A">
        <w:t>week</w:t>
      </w:r>
      <w:proofErr w:type="gramEnd"/>
      <w:r w:rsidRPr="006F0C3A">
        <w:t xml:space="preserve"> 28 is necessary to be included in the case-control cohort</w:t>
      </w:r>
    </w:p>
    <w:p w:rsidR="003406F3" w:rsidRPr="006F0C3A" w:rsidRDefault="00291946" w:rsidP="003406F3">
      <w:pPr>
        <w:pStyle w:val="ListParagraph"/>
        <w:ind w:left="2880" w:firstLine="720"/>
      </w:pPr>
      <w:proofErr w:type="gramStart"/>
      <w:r w:rsidRPr="006F0C3A">
        <w:t>for</w:t>
      </w:r>
      <w:proofErr w:type="gramEnd"/>
      <w:r w:rsidRPr="006F0C3A">
        <w:t xml:space="preserve"> measuring Week 26</w:t>
      </w:r>
      <w:r w:rsidR="003406F3" w:rsidRPr="006F0C3A">
        <w:t xml:space="preserve"> biomarkers.)</w:t>
      </w:r>
    </w:p>
    <w:p w:rsidR="00A96F80" w:rsidRPr="006F0C3A" w:rsidRDefault="00434750" w:rsidP="003406F3">
      <w:pPr>
        <w:pStyle w:val="ListParagraph"/>
        <w:numPr>
          <w:ilvl w:val="0"/>
          <w:numId w:val="11"/>
        </w:numPr>
      </w:pPr>
      <w:proofErr w:type="spellStart"/>
      <w:r w:rsidRPr="006F0C3A">
        <w:rPr>
          <w:b/>
        </w:rPr>
        <w:t>cc_cohort</w:t>
      </w:r>
      <w:proofErr w:type="spellEnd"/>
      <w:r w:rsidR="003406F3" w:rsidRPr="006F0C3A">
        <w:t>==1</w:t>
      </w:r>
      <w:r w:rsidR="003406F3" w:rsidRPr="006F0C3A">
        <w:tab/>
      </w:r>
      <w:r w:rsidR="003406F3" w:rsidRPr="006F0C3A">
        <w:tab/>
        <w:t>(</w:t>
      </w:r>
      <w:r w:rsidR="00D97FEE" w:rsidRPr="006F0C3A">
        <w:t>Se</w:t>
      </w:r>
      <w:r w:rsidR="00291946" w:rsidRPr="006F0C3A">
        <w:t>lected for inclusion</w:t>
      </w:r>
      <w:r w:rsidR="00A96F80" w:rsidRPr="006F0C3A">
        <w:t xml:space="preserve"> i</w:t>
      </w:r>
      <w:r w:rsidR="003406F3" w:rsidRPr="006F0C3A">
        <w:t xml:space="preserve">n the case-control cohort and thus </w:t>
      </w:r>
    </w:p>
    <w:p w:rsidR="00A96F80" w:rsidRPr="006F0C3A" w:rsidRDefault="00A96F80" w:rsidP="00D97FEE">
      <w:pPr>
        <w:pStyle w:val="ListParagraph"/>
        <w:ind w:left="2880" w:firstLine="720"/>
      </w:pPr>
      <w:proofErr w:type="gramStart"/>
      <w:r w:rsidRPr="006F0C3A">
        <w:t>potentially</w:t>
      </w:r>
      <w:proofErr w:type="gramEnd"/>
      <w:r w:rsidRPr="006F0C3A">
        <w:t xml:space="preserve"> </w:t>
      </w:r>
      <w:r w:rsidR="003406F3" w:rsidRPr="006F0C3A">
        <w:t xml:space="preserve">has </w:t>
      </w:r>
      <w:r w:rsidR="00291946" w:rsidRPr="006F0C3A">
        <w:t>Week 26</w:t>
      </w:r>
      <w:r w:rsidR="003406F3" w:rsidRPr="006F0C3A">
        <w:t xml:space="preserve"> biomarkers measured</w:t>
      </w:r>
      <w:r w:rsidRPr="006F0C3A">
        <w:t xml:space="preserve"> and can be </w:t>
      </w:r>
    </w:p>
    <w:p w:rsidR="003406F3" w:rsidRPr="006F0C3A" w:rsidRDefault="00A96F80" w:rsidP="00D97FEE">
      <w:pPr>
        <w:pStyle w:val="ListParagraph"/>
        <w:ind w:left="2880" w:firstLine="720"/>
      </w:pPr>
      <w:proofErr w:type="gramStart"/>
      <w:r w:rsidRPr="006F0C3A">
        <w:t>include</w:t>
      </w:r>
      <w:r w:rsidR="00291946" w:rsidRPr="006F0C3A">
        <w:t>d</w:t>
      </w:r>
      <w:proofErr w:type="gramEnd"/>
      <w:r w:rsidRPr="006F0C3A">
        <w:t xml:space="preserve"> in the </w:t>
      </w:r>
      <w:r w:rsidR="00291946" w:rsidRPr="006F0C3A">
        <w:t xml:space="preserve">IPW complete-case </w:t>
      </w:r>
      <w:r w:rsidRPr="006F0C3A">
        <w:t>analysis</w:t>
      </w:r>
      <w:r w:rsidR="003406F3" w:rsidRPr="006F0C3A">
        <w:t>.)</w:t>
      </w:r>
    </w:p>
    <w:p w:rsidR="005F3142" w:rsidRPr="006F0C3A" w:rsidRDefault="005F3142" w:rsidP="005F3142"/>
    <w:p w:rsidR="005F3142" w:rsidRPr="006F0C3A" w:rsidRDefault="005F3142" w:rsidP="001E379B">
      <w:pPr>
        <w:ind w:left="720"/>
      </w:pPr>
      <w:r w:rsidRPr="006F0C3A">
        <w:t xml:space="preserve">For an analysis plan consistent with previous </w:t>
      </w:r>
      <w:r w:rsidR="001E379B" w:rsidRPr="006F0C3A">
        <w:t xml:space="preserve">correlates of risk </w:t>
      </w:r>
      <w:r w:rsidRPr="006F0C3A">
        <w:t>analyses (Janes et al., 2017, JID; Fong</w:t>
      </w:r>
      <w:r w:rsidR="006F0C3A">
        <w:t>, Shen</w:t>
      </w:r>
      <w:r w:rsidRPr="006F0C3A">
        <w:t xml:space="preserve"> et al., 2018, </w:t>
      </w:r>
      <w:r w:rsidR="004E1FEA">
        <w:t>JID</w:t>
      </w:r>
      <w:r w:rsidRPr="006F0C3A">
        <w:t xml:space="preserve">), the analysis would restrict to vaccine recipients (with </w:t>
      </w:r>
      <w:proofErr w:type="spellStart"/>
      <w:r w:rsidRPr="006F0C3A">
        <w:rPr>
          <w:b/>
        </w:rPr>
        <w:t>trt</w:t>
      </w:r>
      <w:proofErr w:type="spellEnd"/>
      <w:r w:rsidRPr="006F0C3A">
        <w:t xml:space="preserve">==1).  </w:t>
      </w:r>
      <w:r w:rsidRPr="006F0C3A">
        <w:lastRenderedPageBreak/>
        <w:t xml:space="preserve">Moreover, all analyses would adjust for the 4 variables </w:t>
      </w:r>
      <w:r w:rsidRPr="006F0C3A">
        <w:rPr>
          <w:b/>
        </w:rPr>
        <w:t xml:space="preserve">age, race, BMI, </w:t>
      </w:r>
      <w:r w:rsidRPr="00C43265">
        <w:t>and</w:t>
      </w:r>
      <w:r w:rsidRPr="006F0C3A">
        <w:rPr>
          <w:b/>
        </w:rPr>
        <w:t xml:space="preserve"> </w:t>
      </w:r>
      <w:proofErr w:type="spellStart"/>
      <w:r w:rsidRPr="006F0C3A">
        <w:rPr>
          <w:b/>
        </w:rPr>
        <w:t>bhvrisk</w:t>
      </w:r>
      <w:proofErr w:type="spellEnd"/>
      <w:r w:rsidRPr="006F0C3A">
        <w:t>, which would help make the hazard ratio coefficients for the immune response markers to be interpretable in terms of biological susceptibility to acquisition of HIV-1 infection.</w:t>
      </w:r>
    </w:p>
    <w:p w:rsidR="005F3142" w:rsidRPr="006F0C3A" w:rsidRDefault="005F3142" w:rsidP="005F3142"/>
    <w:p w:rsidR="004C06E1" w:rsidRPr="006F0C3A" w:rsidRDefault="00965E8C" w:rsidP="00D97FEE">
      <w:pPr>
        <w:pStyle w:val="ListParagraph"/>
      </w:pPr>
      <w:r w:rsidRPr="006F0C3A">
        <w:t xml:space="preserve">The file v505_tcell_correlates_data_for_sharing.csv contains the </w:t>
      </w:r>
      <w:r w:rsidR="00E11861" w:rsidRPr="006F0C3A">
        <w:t>Week 26</w:t>
      </w:r>
      <w:r w:rsidRPr="006F0C3A">
        <w:t xml:space="preserve"> T cell response biomarkers </w:t>
      </w:r>
      <w:r w:rsidR="00C43265">
        <w:t>for the case-control cohort</w:t>
      </w:r>
      <w:r w:rsidRPr="006F0C3A">
        <w:t>.  The file v505_tcell_correlates_data_documentation.xlsx documents the variables in this file.</w:t>
      </w:r>
      <w:r w:rsidR="00FC2ABC" w:rsidRPr="006F0C3A">
        <w:t xml:space="preserve">  </w:t>
      </w:r>
      <w:r w:rsidR="00E11861" w:rsidRPr="006F0C3A">
        <w:t xml:space="preserve">This file only contains data for the case-control sample of </w:t>
      </w:r>
      <w:r w:rsidR="00B6283F" w:rsidRPr="006F0C3A">
        <w:t>189</w:t>
      </w:r>
      <w:r w:rsidR="00E11861" w:rsidRPr="006F0C3A">
        <w:t xml:space="preserve"> subjects: 150 case-control vaccine recipients (25 HIV infected cases, 125 HIV uninfected controls) and </w:t>
      </w:r>
      <w:r w:rsidR="00B6283F" w:rsidRPr="006F0C3A">
        <w:t>39</w:t>
      </w:r>
      <w:r w:rsidR="00E11861" w:rsidRPr="006F0C3A">
        <w:t xml:space="preserve"> case-control placebo recipients.  Only the 150 vaccine recipients are used in </w:t>
      </w:r>
      <w:r w:rsidR="00C43265">
        <w:t xml:space="preserve">an IPW complete-case </w:t>
      </w:r>
      <w:r w:rsidR="00E11861" w:rsidRPr="006F0C3A">
        <w:t>data analysis</w:t>
      </w:r>
      <w:r w:rsidR="00291946" w:rsidRPr="006F0C3A">
        <w:t xml:space="preserve"> (the biomarkers are not interesting in the placebo group because they generally measure HIV-specific immune responses, and placebo recipients do not have exposure to HIV or to an HIV vaccine)</w:t>
      </w:r>
      <w:r w:rsidR="00E11861" w:rsidRPr="006F0C3A">
        <w:t xml:space="preserve">.  </w:t>
      </w:r>
      <w:r w:rsidR="006D13FC" w:rsidRPr="006F0C3A">
        <w:t xml:space="preserve">The Week </w:t>
      </w:r>
      <w:r w:rsidR="00E11861" w:rsidRPr="006F0C3A">
        <w:t xml:space="preserve">26 </w:t>
      </w:r>
      <w:r w:rsidR="006D13FC" w:rsidRPr="006F0C3A">
        <w:t>biomarkers in this file can be merged with the main data set file primary505_</w:t>
      </w:r>
      <w:r w:rsidR="00BB4240" w:rsidRPr="006F0C3A">
        <w:t>for_sharing</w:t>
      </w:r>
      <w:r w:rsidR="006D13FC" w:rsidRPr="006F0C3A">
        <w:t xml:space="preserve">.csv based on the </w:t>
      </w:r>
      <w:proofErr w:type="spellStart"/>
      <w:r w:rsidR="006D13FC" w:rsidRPr="006F0C3A">
        <w:rPr>
          <w:b/>
        </w:rPr>
        <w:t>pubid</w:t>
      </w:r>
      <w:proofErr w:type="spellEnd"/>
      <w:r w:rsidR="006D13FC" w:rsidRPr="006F0C3A">
        <w:t xml:space="preserve"> variable.  </w:t>
      </w:r>
    </w:p>
    <w:p w:rsidR="001A13C0" w:rsidRPr="006F0C3A" w:rsidRDefault="006D13FC" w:rsidP="001A13C0">
      <w:pPr>
        <w:ind w:left="720"/>
      </w:pPr>
      <w:r w:rsidRPr="006F0C3A">
        <w:t>A needed variable in</w:t>
      </w:r>
      <w:r w:rsidR="00497040" w:rsidRPr="006F0C3A">
        <w:t xml:space="preserve"> v505_tcell_correlates_data_for_sharing.csv is </w:t>
      </w:r>
      <w:proofErr w:type="spellStart"/>
      <w:r w:rsidR="00497040" w:rsidRPr="006F0C3A">
        <w:rPr>
          <w:b/>
        </w:rPr>
        <w:t>wt</w:t>
      </w:r>
      <w:proofErr w:type="spellEnd"/>
      <w:r w:rsidR="00497040" w:rsidRPr="006F0C3A">
        <w:t xml:space="preserve">, which is the estimated inverse probability weight for each given subject in the case-control sample included in the </w:t>
      </w:r>
      <w:r w:rsidR="00291946" w:rsidRPr="006F0C3A">
        <w:t xml:space="preserve">IPW complete-case </w:t>
      </w:r>
      <w:r w:rsidR="00497040" w:rsidRPr="006F0C3A">
        <w:t>analysis.</w:t>
      </w:r>
      <w:r w:rsidR="001A13C0" w:rsidRPr="006F0C3A">
        <w:t xml:space="preserve">  </w:t>
      </w:r>
    </w:p>
    <w:p w:rsidR="00497040" w:rsidRPr="006F0C3A" w:rsidRDefault="00E11861" w:rsidP="00497040">
      <w:pPr>
        <w:ind w:left="720"/>
      </w:pPr>
      <w:r w:rsidRPr="006F0C3A">
        <w:t xml:space="preserve">A </w:t>
      </w:r>
      <w:r w:rsidR="002304C0" w:rsidRPr="006F0C3A">
        <w:t xml:space="preserve">large </w:t>
      </w:r>
      <w:r w:rsidRPr="006F0C3A">
        <w:t>number of the variables in v505_tcell_correlates_data_for_sharing.csv are not needed for the analysis, as they pertain to the post-infection duration of follow-up for subjects who became HIV infected.  These variables are listed in the tab “variables for HIV-</w:t>
      </w:r>
      <w:proofErr w:type="spellStart"/>
      <w:r w:rsidRPr="006F0C3A">
        <w:t>inf</w:t>
      </w:r>
      <w:proofErr w:type="spellEnd"/>
      <w:r w:rsidRPr="006F0C3A">
        <w:t xml:space="preserve"> subjects” in v505_tcell_correlates_data_documentation.xlsx.</w:t>
      </w:r>
    </w:p>
    <w:p w:rsidR="000847D0" w:rsidRPr="006F0C3A" w:rsidRDefault="00C43265" w:rsidP="00497040">
      <w:pPr>
        <w:ind w:left="720"/>
      </w:pPr>
      <w:r>
        <w:t>E</w:t>
      </w:r>
      <w:r w:rsidR="002F7F38" w:rsidRPr="006F0C3A">
        <w:t>ach Week 26</w:t>
      </w:r>
      <w:r w:rsidR="000847D0" w:rsidRPr="006F0C3A">
        <w:t xml:space="preserve"> T cell biomarker variable is defined by any unique combination of values for the three variables </w:t>
      </w:r>
      <w:proofErr w:type="spellStart"/>
      <w:r w:rsidR="000847D0" w:rsidRPr="006F0C3A">
        <w:rPr>
          <w:b/>
        </w:rPr>
        <w:t>tcellsub</w:t>
      </w:r>
      <w:proofErr w:type="spellEnd"/>
      <w:r w:rsidR="000847D0" w:rsidRPr="006F0C3A">
        <w:t xml:space="preserve"> x </w:t>
      </w:r>
      <w:r w:rsidR="000847D0" w:rsidRPr="006F0C3A">
        <w:rPr>
          <w:b/>
        </w:rPr>
        <w:t>cytokine</w:t>
      </w:r>
      <w:r w:rsidR="000847D0" w:rsidRPr="006F0C3A">
        <w:t xml:space="preserve"> x </w:t>
      </w:r>
      <w:r w:rsidR="000847D0" w:rsidRPr="006F0C3A">
        <w:rPr>
          <w:b/>
        </w:rPr>
        <w:t>antigen</w:t>
      </w:r>
      <w:r w:rsidR="000847D0" w:rsidRPr="006F0C3A">
        <w:t>.  For each of these variables, there are several different readouts that could be analyzed (columns AG−AL).  In addition, there are four different score variable</w:t>
      </w:r>
      <w:r w:rsidR="007B4CAF" w:rsidRPr="006F0C3A">
        <w:t xml:space="preserve"> type</w:t>
      </w:r>
      <w:r w:rsidR="000847D0" w:rsidRPr="006F0C3A">
        <w:t>s that combine information across individual variables that could be analyzed (columns AM−AP).</w:t>
      </w:r>
    </w:p>
    <w:p w:rsidR="00E11861" w:rsidRPr="006F0C3A" w:rsidRDefault="002F7F38" w:rsidP="002F7F38">
      <w:pPr>
        <w:ind w:left="720"/>
      </w:pPr>
      <w:r w:rsidRPr="006F0C3A">
        <w:t xml:space="preserve">Now, all of the variables defined by </w:t>
      </w:r>
      <w:proofErr w:type="spellStart"/>
      <w:r w:rsidRPr="006F0C3A">
        <w:rPr>
          <w:b/>
        </w:rPr>
        <w:t>tcellsub</w:t>
      </w:r>
      <w:proofErr w:type="spellEnd"/>
      <w:r w:rsidRPr="006F0C3A">
        <w:t xml:space="preserve"> x </w:t>
      </w:r>
      <w:r w:rsidRPr="006F0C3A">
        <w:rPr>
          <w:b/>
        </w:rPr>
        <w:t>cytokine</w:t>
      </w:r>
      <w:r w:rsidRPr="006F0C3A">
        <w:t xml:space="preserve"> x </w:t>
      </w:r>
      <w:r w:rsidRPr="006F0C3A">
        <w:rPr>
          <w:b/>
        </w:rPr>
        <w:t>antigen</w:t>
      </w:r>
      <w:r w:rsidRPr="006F0C3A">
        <w:t xml:space="preserve"> are of scientific interest.  So</w:t>
      </w:r>
      <w:r w:rsidR="00C43265">
        <w:t>, one could potentially conduct a</w:t>
      </w:r>
      <w:r w:rsidRPr="006F0C3A">
        <w:t xml:space="preserve"> corre</w:t>
      </w:r>
      <w:r w:rsidR="007B4CAF" w:rsidRPr="006F0C3A">
        <w:t xml:space="preserve">lates </w:t>
      </w:r>
      <w:r w:rsidR="00C43265">
        <w:t xml:space="preserve">of risk </w:t>
      </w:r>
      <w:r w:rsidR="007B4CAF" w:rsidRPr="006F0C3A">
        <w:t>analysis for each of these variable types</w:t>
      </w:r>
      <w:r w:rsidRPr="006F0C3A">
        <w:t xml:space="preserve">.  Or, </w:t>
      </w:r>
      <w:r w:rsidR="00C43265">
        <w:t>as an example of a specific analysis of interest, one could focus on</w:t>
      </w:r>
      <w:r w:rsidRPr="006F0C3A">
        <w:t xml:space="preserve"> the </w:t>
      </w:r>
      <w:proofErr w:type="spellStart"/>
      <w:r w:rsidRPr="006F0C3A">
        <w:rPr>
          <w:b/>
        </w:rPr>
        <w:t>tcellsub</w:t>
      </w:r>
      <w:proofErr w:type="spellEnd"/>
      <w:r w:rsidRPr="006F0C3A">
        <w:t xml:space="preserve"> level CD8+ (because much more variability than CD4+) and only consider the </w:t>
      </w:r>
      <w:r w:rsidRPr="006F0C3A">
        <w:rPr>
          <w:b/>
        </w:rPr>
        <w:t>cytokine</w:t>
      </w:r>
      <w:r w:rsidRPr="006F0C3A">
        <w:t xml:space="preserve"> level IL2/</w:t>
      </w:r>
      <w:proofErr w:type="spellStart"/>
      <w:r w:rsidRPr="006F0C3A">
        <w:t>ifngamma</w:t>
      </w:r>
      <w:proofErr w:type="spellEnd"/>
      <w:r w:rsidRPr="006F0C3A">
        <w:t xml:space="preserve"> </w:t>
      </w:r>
      <w:r w:rsidR="007B4CAF" w:rsidRPr="006F0C3A">
        <w:t>(as the most common choice),</w:t>
      </w:r>
      <w:r w:rsidRPr="006F0C3A">
        <w:t xml:space="preserve"> and then repeat the analysis across </w:t>
      </w:r>
      <w:r w:rsidR="007B4CAF" w:rsidRPr="006F0C3A">
        <w:t xml:space="preserve">each of </w:t>
      </w:r>
      <w:r w:rsidRPr="006F0C3A">
        <w:t>the different antigen</w:t>
      </w:r>
      <w:r w:rsidR="007B4CAF" w:rsidRPr="006F0C3A">
        <w:t xml:space="preserve"> type</w:t>
      </w:r>
      <w:r w:rsidRPr="006F0C3A">
        <w:t xml:space="preserve">s in separate analyses.  </w:t>
      </w:r>
    </w:p>
    <w:p w:rsidR="007B4CAF" w:rsidRPr="006F0C3A" w:rsidRDefault="002F7F38" w:rsidP="007B4CAF">
      <w:pPr>
        <w:ind w:left="720"/>
      </w:pPr>
      <w:r w:rsidRPr="006F0C3A">
        <w:t xml:space="preserve">For the different readouts in columns AG−AL, one approach would </w:t>
      </w:r>
      <w:r w:rsidR="007B4CAF" w:rsidRPr="006F0C3A">
        <w:t>include as input variables the two readout types</w:t>
      </w:r>
      <w:r w:rsidRPr="006F0C3A">
        <w:t xml:space="preserve"> </w:t>
      </w:r>
      <w:proofErr w:type="spellStart"/>
      <w:r w:rsidR="007B4CAF" w:rsidRPr="006F0C3A">
        <w:rPr>
          <w:b/>
        </w:rPr>
        <w:t>logpctpost_scaled</w:t>
      </w:r>
      <w:proofErr w:type="spellEnd"/>
      <w:r w:rsidR="007B4CAF" w:rsidRPr="006F0C3A">
        <w:rPr>
          <w:b/>
        </w:rPr>
        <w:t xml:space="preserve"> </w:t>
      </w:r>
      <w:r w:rsidR="007B4CAF" w:rsidRPr="006F0C3A">
        <w:t>and</w:t>
      </w:r>
      <w:r w:rsidRPr="006F0C3A">
        <w:rPr>
          <w:b/>
        </w:rPr>
        <w:t xml:space="preserve"> </w:t>
      </w:r>
      <w:proofErr w:type="spellStart"/>
      <w:r w:rsidRPr="006F0C3A">
        <w:rPr>
          <w:b/>
        </w:rPr>
        <w:t>pctpos_adj_ind</w:t>
      </w:r>
      <w:proofErr w:type="spellEnd"/>
      <w:r w:rsidR="007B4CAF" w:rsidRPr="006F0C3A">
        <w:rPr>
          <w:b/>
        </w:rPr>
        <w:t xml:space="preserve">, </w:t>
      </w:r>
      <w:r w:rsidR="007B4CAF" w:rsidRPr="006F0C3A">
        <w:t>because these were pre-specified in the primary analysis of Janes et al. (as noted in the documentation file). And then, for columns AM−AP</w:t>
      </w:r>
      <w:r w:rsidRPr="006F0C3A">
        <w:t>,</w:t>
      </w:r>
      <w:r w:rsidR="007B4CAF" w:rsidRPr="006F0C3A">
        <w:t xml:space="preserve"> to include the two score variable types </w:t>
      </w:r>
      <w:proofErr w:type="spellStart"/>
      <w:r w:rsidR="007B4CAF" w:rsidRPr="006F0C3A">
        <w:rPr>
          <w:b/>
        </w:rPr>
        <w:t>score_scaled</w:t>
      </w:r>
      <w:proofErr w:type="spellEnd"/>
      <w:r w:rsidRPr="006F0C3A">
        <w:rPr>
          <w:b/>
        </w:rPr>
        <w:t xml:space="preserve"> </w:t>
      </w:r>
      <w:r w:rsidRPr="006F0C3A">
        <w:t>and</w:t>
      </w:r>
      <w:r w:rsidRPr="006F0C3A">
        <w:rPr>
          <w:b/>
        </w:rPr>
        <w:t xml:space="preserve"> </w:t>
      </w:r>
      <w:proofErr w:type="spellStart"/>
      <w:r w:rsidRPr="006F0C3A">
        <w:rPr>
          <w:b/>
        </w:rPr>
        <w:t>score_ind</w:t>
      </w:r>
      <w:proofErr w:type="spellEnd"/>
      <w:r w:rsidRPr="006F0C3A">
        <w:t xml:space="preserve">, </w:t>
      </w:r>
      <w:r w:rsidR="007B4CAF" w:rsidRPr="006F0C3A">
        <w:t>again because they were pre-specified in the primary analysis of Janes et al. (as noted in the documentation file).  Alternatively, if the methods can handle high-dimensional data, it is interesting to include all the inp</w:t>
      </w:r>
      <w:r w:rsidR="00C43265">
        <w:t>ut marker variables, as we do not</w:t>
      </w:r>
      <w:r w:rsidR="007B4CAF" w:rsidRPr="006F0C3A">
        <w:t xml:space="preserve"> know which variables are the most important.</w:t>
      </w:r>
    </w:p>
    <w:p w:rsidR="007B4CAF" w:rsidRPr="006F0C3A" w:rsidRDefault="007B4CAF" w:rsidP="007B4CAF">
      <w:pPr>
        <w:ind w:left="720"/>
      </w:pPr>
    </w:p>
    <w:p w:rsidR="00965E8C" w:rsidRPr="006F0C3A" w:rsidRDefault="00965E8C" w:rsidP="007B4CAF">
      <w:pPr>
        <w:ind w:left="720"/>
      </w:pPr>
      <w:r w:rsidRPr="006F0C3A">
        <w:t xml:space="preserve">The file </w:t>
      </w:r>
      <w:r w:rsidR="00CA56F2" w:rsidRPr="006F0C3A">
        <w:t>bama.m</w:t>
      </w:r>
      <w:r w:rsidR="00497040" w:rsidRPr="006F0C3A">
        <w:t>_</w:t>
      </w:r>
      <w:r w:rsidR="00BB4240" w:rsidRPr="006F0C3A">
        <w:t>for_sharing</w:t>
      </w:r>
      <w:r w:rsidR="007637CA" w:rsidRPr="006F0C3A">
        <w:t>.</w:t>
      </w:r>
      <w:r w:rsidRPr="006F0C3A">
        <w:t xml:space="preserve">csv contains the </w:t>
      </w:r>
      <w:r w:rsidR="00FC2ABC" w:rsidRPr="006F0C3A">
        <w:t xml:space="preserve">Week </w:t>
      </w:r>
      <w:r w:rsidR="00E11861" w:rsidRPr="006F0C3A">
        <w:t xml:space="preserve">26 </w:t>
      </w:r>
      <w:r w:rsidRPr="006F0C3A">
        <w:t xml:space="preserve">antibody response biomarkers </w:t>
      </w:r>
      <w:r w:rsidR="00497040" w:rsidRPr="006F0C3A">
        <w:t>meas</w:t>
      </w:r>
      <w:r w:rsidR="00C43265">
        <w:t xml:space="preserve">ured by BAMA </w:t>
      </w:r>
      <w:r w:rsidR="00497040" w:rsidRPr="006F0C3A">
        <w:t>that are baseline-subtracted and Week</w:t>
      </w:r>
      <w:r w:rsidR="00291946" w:rsidRPr="006F0C3A">
        <w:t xml:space="preserve"> </w:t>
      </w:r>
      <w:r w:rsidR="00E11861" w:rsidRPr="006F0C3A">
        <w:t>26</w:t>
      </w:r>
      <w:r w:rsidR="00497040" w:rsidRPr="006F0C3A">
        <w:t xml:space="preserve"> mock-subtracted.  This file </w:t>
      </w:r>
      <w:r w:rsidR="00B6122E" w:rsidRPr="006F0C3A">
        <w:t xml:space="preserve">also </w:t>
      </w:r>
      <w:r w:rsidR="00497040" w:rsidRPr="006F0C3A">
        <w:t xml:space="preserve">only contains data for the case-control sample of </w:t>
      </w:r>
      <w:r w:rsidR="00B6122E" w:rsidRPr="006F0C3A">
        <w:t>189</w:t>
      </w:r>
      <w:r w:rsidR="00291946" w:rsidRPr="006F0C3A">
        <w:t xml:space="preserve"> </w:t>
      </w:r>
      <w:r w:rsidR="00497040" w:rsidRPr="006F0C3A">
        <w:t xml:space="preserve">subjects: </w:t>
      </w:r>
      <w:r w:rsidR="00CA56F2" w:rsidRPr="006F0C3A">
        <w:t xml:space="preserve">150 case-control vaccine recipients (25 HIV infected cases, 125 HIV uninfected controls) and </w:t>
      </w:r>
      <w:r w:rsidR="00B6122E" w:rsidRPr="006F0C3A">
        <w:t xml:space="preserve">39 </w:t>
      </w:r>
      <w:r w:rsidR="00CA56F2" w:rsidRPr="006F0C3A">
        <w:t>case-control placebo recipients</w:t>
      </w:r>
      <w:r w:rsidR="00497040" w:rsidRPr="006F0C3A">
        <w:t xml:space="preserve">.  This file also has a </w:t>
      </w:r>
      <w:proofErr w:type="spellStart"/>
      <w:r w:rsidR="00497040" w:rsidRPr="006F0C3A">
        <w:rPr>
          <w:b/>
        </w:rPr>
        <w:t>pubid</w:t>
      </w:r>
      <w:proofErr w:type="spellEnd"/>
      <w:r w:rsidR="00497040" w:rsidRPr="006F0C3A">
        <w:rPr>
          <w:b/>
        </w:rPr>
        <w:t xml:space="preserve"> </w:t>
      </w:r>
      <w:r w:rsidR="00497040" w:rsidRPr="006F0C3A">
        <w:t xml:space="preserve">variable that must </w:t>
      </w:r>
      <w:r w:rsidR="007637CA" w:rsidRPr="006F0C3A">
        <w:t xml:space="preserve">be used to merge </w:t>
      </w:r>
      <w:r w:rsidR="00497040" w:rsidRPr="006F0C3A">
        <w:t xml:space="preserve">the data </w:t>
      </w:r>
      <w:r w:rsidR="007637CA" w:rsidRPr="006F0C3A">
        <w:t xml:space="preserve">with </w:t>
      </w:r>
      <w:r w:rsidR="00497040" w:rsidRPr="006F0C3A">
        <w:t>the data in primary505_</w:t>
      </w:r>
      <w:r w:rsidR="00BB4240" w:rsidRPr="006F0C3A">
        <w:t>for_sharing</w:t>
      </w:r>
      <w:r w:rsidR="00497040" w:rsidRPr="006F0C3A">
        <w:t xml:space="preserve"> </w:t>
      </w:r>
      <w:proofErr w:type="gramStart"/>
      <w:r w:rsidR="00497040" w:rsidRPr="006F0C3A">
        <w:t xml:space="preserve">and </w:t>
      </w:r>
      <w:r w:rsidR="007637CA" w:rsidRPr="006F0C3A">
        <w:t xml:space="preserve"> v505</w:t>
      </w:r>
      <w:proofErr w:type="gramEnd"/>
      <w:r w:rsidR="007637CA" w:rsidRPr="006F0C3A">
        <w:t>_tcell_correlates_data_for_sharing.csv</w:t>
      </w:r>
    </w:p>
    <w:p w:rsidR="00137D43" w:rsidRPr="006F0C3A" w:rsidRDefault="00066315" w:rsidP="00137D43">
      <w:pPr>
        <w:ind w:left="720"/>
      </w:pPr>
      <w:r w:rsidRPr="006F0C3A">
        <w:lastRenderedPageBreak/>
        <w:t>In this file, the pre-speci</w:t>
      </w:r>
      <w:r w:rsidR="00137D43" w:rsidRPr="006F0C3A">
        <w:t xml:space="preserve">fied primary variables analyzed and described </w:t>
      </w:r>
      <w:r w:rsidRPr="006F0C3A">
        <w:t>in Fong</w:t>
      </w:r>
      <w:r w:rsidR="006F0C3A">
        <w:t>, Shen</w:t>
      </w:r>
      <w:r w:rsidRPr="006F0C3A">
        <w:t xml:space="preserve"> et al. are</w:t>
      </w:r>
      <w:r w:rsidR="00B0051B" w:rsidRPr="006F0C3A">
        <w:t xml:space="preserve"> (variable names in the data file on left, long labels on the right)</w:t>
      </w:r>
      <w:r w:rsidRPr="006F0C3A">
        <w:t xml:space="preserve">:  </w:t>
      </w:r>
    </w:p>
    <w:p w:rsidR="00137D43" w:rsidRPr="006F0C3A" w:rsidRDefault="00137D43" w:rsidP="00137D43">
      <w:pPr>
        <w:ind w:left="720"/>
      </w:pPr>
      <w:proofErr w:type="spellStart"/>
      <w:r w:rsidRPr="006F0C3A">
        <w:t>IgG_env</w:t>
      </w:r>
      <w:proofErr w:type="spellEnd"/>
      <w:r w:rsidRPr="006F0C3A">
        <w:tab/>
      </w:r>
      <w:r w:rsidRPr="006F0C3A">
        <w:tab/>
        <w:t xml:space="preserve">IgG </w:t>
      </w:r>
      <w:proofErr w:type="gramStart"/>
      <w:r w:rsidRPr="006F0C3A">
        <w:t>Binding</w:t>
      </w:r>
      <w:proofErr w:type="gramEnd"/>
      <w:r w:rsidRPr="006F0C3A">
        <w:t xml:space="preserve"> to gp120/140</w:t>
      </w:r>
      <w:r w:rsidRPr="006F0C3A">
        <w:tab/>
      </w:r>
      <w:r w:rsidRPr="006F0C3A">
        <w:tab/>
      </w:r>
    </w:p>
    <w:p w:rsidR="00137D43" w:rsidRPr="006F0C3A" w:rsidRDefault="00137D43" w:rsidP="00137D43">
      <w:pPr>
        <w:ind w:left="720"/>
      </w:pPr>
      <w:r w:rsidRPr="006F0C3A">
        <w:t>IgG_V2</w:t>
      </w:r>
      <w:r w:rsidRPr="006F0C3A">
        <w:tab/>
      </w:r>
      <w:r w:rsidRPr="006F0C3A">
        <w:tab/>
        <w:t>IgG Binding to V1V2</w:t>
      </w:r>
    </w:p>
    <w:p w:rsidR="00137D43" w:rsidRPr="006F0C3A" w:rsidRDefault="00137D43" w:rsidP="00137D43">
      <w:pPr>
        <w:ind w:left="720"/>
      </w:pPr>
      <w:r w:rsidRPr="006F0C3A">
        <w:t>IgG_V3</w:t>
      </w:r>
      <w:r w:rsidRPr="006F0C3A">
        <w:tab/>
      </w:r>
      <w:r w:rsidRPr="006F0C3A">
        <w:tab/>
        <w:t>IgG Binding to V3</w:t>
      </w:r>
    </w:p>
    <w:p w:rsidR="00137D43" w:rsidRPr="006F0C3A" w:rsidRDefault="00137D43" w:rsidP="00137D43">
      <w:pPr>
        <w:ind w:left="720"/>
      </w:pPr>
      <w:r w:rsidRPr="006F0C3A">
        <w:t>IgG_gp41</w:t>
      </w:r>
      <w:r w:rsidRPr="006F0C3A">
        <w:tab/>
      </w:r>
      <w:r w:rsidRPr="006F0C3A">
        <w:tab/>
        <w:t xml:space="preserve">IgG </w:t>
      </w:r>
      <w:proofErr w:type="gramStart"/>
      <w:r w:rsidRPr="006F0C3A">
        <w:t>Binding</w:t>
      </w:r>
      <w:proofErr w:type="gramEnd"/>
      <w:r w:rsidRPr="006F0C3A">
        <w:t xml:space="preserve"> to gp41</w:t>
      </w:r>
    </w:p>
    <w:p w:rsidR="00137D43" w:rsidRPr="006F0C3A" w:rsidRDefault="00137D43" w:rsidP="00137D43">
      <w:pPr>
        <w:ind w:left="720"/>
      </w:pPr>
      <w:r w:rsidRPr="006F0C3A">
        <w:t>IgG_BioC4_427B</w:t>
      </w:r>
      <w:r w:rsidRPr="006F0C3A">
        <w:tab/>
        <w:t>IgG Binding to C4_427B</w:t>
      </w:r>
    </w:p>
    <w:p w:rsidR="00137D43" w:rsidRPr="006F0C3A" w:rsidRDefault="00137D43" w:rsidP="00137D43">
      <w:pPr>
        <w:ind w:left="720"/>
      </w:pPr>
      <w:proofErr w:type="spellStart"/>
      <w:r w:rsidRPr="006F0C3A">
        <w:t>IgA_env</w:t>
      </w:r>
      <w:proofErr w:type="spellEnd"/>
      <w:r w:rsidRPr="006F0C3A">
        <w:tab/>
      </w:r>
      <w:r w:rsidRPr="006F0C3A">
        <w:tab/>
        <w:t>IgA Binding to 140</w:t>
      </w:r>
    </w:p>
    <w:p w:rsidR="00137D43" w:rsidRPr="006F0C3A" w:rsidRDefault="00137D43" w:rsidP="00137D43">
      <w:pPr>
        <w:ind w:left="720"/>
      </w:pPr>
    </w:p>
    <w:p w:rsidR="00137D43" w:rsidRPr="006F0C3A" w:rsidRDefault="00137D43" w:rsidP="00137D43">
      <w:r w:rsidRPr="006F0C3A">
        <w:tab/>
        <w:t>The pre-specified secondary variables analyzed and described in Fong</w:t>
      </w:r>
      <w:r w:rsidR="006F0C3A">
        <w:t>, Shen</w:t>
      </w:r>
      <w:r w:rsidRPr="006F0C3A">
        <w:t xml:space="preserve"> et al. are:</w:t>
      </w:r>
    </w:p>
    <w:p w:rsidR="00B0051B" w:rsidRPr="006F0C3A" w:rsidRDefault="00137D43" w:rsidP="00B0051B">
      <w:pPr>
        <w:ind w:firstLine="720"/>
      </w:pPr>
      <w:r w:rsidRPr="006F0C3A">
        <w:t>IgG_AEA244V1V2Tags293F</w:t>
      </w:r>
    </w:p>
    <w:p w:rsidR="00B0051B" w:rsidRPr="006F0C3A" w:rsidRDefault="00137D43" w:rsidP="00B0051B">
      <w:pPr>
        <w:ind w:firstLine="720"/>
      </w:pPr>
      <w:r w:rsidRPr="006F0C3A">
        <w:t>IgG_C1086C_V1_V2Tags</w:t>
      </w:r>
    </w:p>
    <w:p w:rsidR="00B0051B" w:rsidRPr="006F0C3A" w:rsidRDefault="00137D43" w:rsidP="00B0051B">
      <w:pPr>
        <w:ind w:firstLine="720"/>
      </w:pPr>
      <w:r w:rsidRPr="006F0C3A">
        <w:t>IgG_gp70_BCaseA2V1V2169K</w:t>
      </w:r>
    </w:p>
    <w:p w:rsidR="00B0051B" w:rsidRPr="006F0C3A" w:rsidRDefault="00137D43" w:rsidP="00B0051B">
      <w:pPr>
        <w:ind w:firstLine="720"/>
      </w:pPr>
      <w:r w:rsidRPr="006F0C3A">
        <w:t>IgG_VRC_A_gp70V1V2_avi</w:t>
      </w:r>
    </w:p>
    <w:p w:rsidR="00B0051B" w:rsidRPr="006F0C3A" w:rsidRDefault="00137D43" w:rsidP="00B0051B">
      <w:pPr>
        <w:ind w:firstLine="720"/>
      </w:pPr>
      <w:r w:rsidRPr="006F0C3A">
        <w:t>IgG_BioV3B, IgG_BioV3M</w:t>
      </w:r>
    </w:p>
    <w:p w:rsidR="00B0051B" w:rsidRPr="006F0C3A" w:rsidRDefault="00137D43" w:rsidP="00B0051B">
      <w:pPr>
        <w:ind w:firstLine="720"/>
      </w:pPr>
      <w:r w:rsidRPr="006F0C3A">
        <w:t>IgG_BioV3CRF2</w:t>
      </w:r>
    </w:p>
    <w:p w:rsidR="00B0051B" w:rsidRPr="006F0C3A" w:rsidRDefault="00137D43" w:rsidP="00B0051B">
      <w:pPr>
        <w:ind w:firstLine="720"/>
      </w:pPr>
      <w:r w:rsidRPr="006F0C3A">
        <w:t>IgG_A1conenv03140CF</w:t>
      </w:r>
    </w:p>
    <w:p w:rsidR="00B0051B" w:rsidRPr="006F0C3A" w:rsidRDefault="00137D43" w:rsidP="00B0051B">
      <w:pPr>
        <w:ind w:firstLine="720"/>
      </w:pPr>
      <w:r w:rsidRPr="006F0C3A">
        <w:t>IgG_Bconenv03140CF</w:t>
      </w:r>
    </w:p>
    <w:p w:rsidR="00B0051B" w:rsidRPr="006F0C3A" w:rsidRDefault="00137D43" w:rsidP="00B0051B">
      <w:pPr>
        <w:ind w:firstLine="720"/>
      </w:pPr>
      <w:r w:rsidRPr="006F0C3A">
        <w:t>IgG_Cconenv03140CF_avi</w:t>
      </w:r>
    </w:p>
    <w:p w:rsidR="00B0051B" w:rsidRPr="006F0C3A" w:rsidRDefault="00137D43" w:rsidP="00B0051B">
      <w:pPr>
        <w:ind w:firstLine="720"/>
      </w:pPr>
      <w:r w:rsidRPr="006F0C3A">
        <w:t>IgG_Con6gp120B</w:t>
      </w:r>
    </w:p>
    <w:p w:rsidR="00B0051B" w:rsidRPr="006F0C3A" w:rsidRDefault="00137D43" w:rsidP="00B0051B">
      <w:pPr>
        <w:ind w:firstLine="720"/>
      </w:pPr>
      <w:r w:rsidRPr="006F0C3A">
        <w:t>IgG_ConSgp140CFI</w:t>
      </w:r>
    </w:p>
    <w:p w:rsidR="00B0051B" w:rsidRPr="006F0C3A" w:rsidRDefault="00137D43" w:rsidP="00B0051B">
      <w:pPr>
        <w:ind w:firstLine="720"/>
      </w:pPr>
      <w:proofErr w:type="spellStart"/>
      <w:r w:rsidRPr="006F0C3A">
        <w:t>IgG_VRCA_avi</w:t>
      </w:r>
      <w:proofErr w:type="spellEnd"/>
    </w:p>
    <w:p w:rsidR="00B0051B" w:rsidRPr="006F0C3A" w:rsidRDefault="00137D43" w:rsidP="00B0051B">
      <w:pPr>
        <w:ind w:firstLine="720"/>
      </w:pPr>
      <w:r w:rsidRPr="006F0C3A">
        <w:t>IgG_VRCBgp140</w:t>
      </w:r>
    </w:p>
    <w:p w:rsidR="00137D43" w:rsidRPr="006F0C3A" w:rsidRDefault="00137D43" w:rsidP="00B0051B">
      <w:pPr>
        <w:ind w:firstLine="720"/>
      </w:pPr>
      <w:proofErr w:type="spellStart"/>
      <w:r w:rsidRPr="006F0C3A">
        <w:t>IgG_VRCC_avi</w:t>
      </w:r>
      <w:proofErr w:type="spellEnd"/>
      <w:r w:rsidRPr="006F0C3A">
        <w:t xml:space="preserve"> </w:t>
      </w:r>
    </w:p>
    <w:p w:rsidR="00137D43" w:rsidRPr="006F0C3A" w:rsidRDefault="00B0051B" w:rsidP="00B0051B">
      <w:pPr>
        <w:ind w:firstLine="720"/>
      </w:pPr>
      <w:r w:rsidRPr="006F0C3A">
        <w:t>(</w:t>
      </w:r>
      <w:proofErr w:type="gramStart"/>
      <w:r w:rsidRPr="006F0C3A">
        <w:t>plus</w:t>
      </w:r>
      <w:proofErr w:type="gramEnd"/>
      <w:r w:rsidRPr="006F0C3A">
        <w:t xml:space="preserve"> the same set of 14 secondary variables with </w:t>
      </w:r>
      <w:r w:rsidR="00137D43" w:rsidRPr="006F0C3A">
        <w:t>IgA_</w:t>
      </w:r>
      <w:r w:rsidRPr="006F0C3A">
        <w:t xml:space="preserve"> instead of IgG_)</w:t>
      </w:r>
    </w:p>
    <w:p w:rsidR="00B0051B" w:rsidRPr="006F0C3A" w:rsidRDefault="00B0051B"/>
    <w:p w:rsidR="00B0051B" w:rsidRDefault="00C43265">
      <w:r>
        <w:t xml:space="preserve">One </w:t>
      </w:r>
      <w:r w:rsidR="00B0051B" w:rsidRPr="006F0C3A">
        <w:t xml:space="preserve">analysis </w:t>
      </w:r>
      <w:r>
        <w:t xml:space="preserve">of interest </w:t>
      </w:r>
      <w:r w:rsidR="00B0051B" w:rsidRPr="006F0C3A">
        <w:t xml:space="preserve">would include as input features all of the primary and secondary </w:t>
      </w:r>
      <w:r>
        <w:t xml:space="preserve">variables.  Another </w:t>
      </w:r>
      <w:r w:rsidR="00B0051B" w:rsidRPr="006F0C3A">
        <w:t xml:space="preserve">analysis </w:t>
      </w:r>
      <w:r>
        <w:t>of interest would include all 105 of the</w:t>
      </w:r>
      <w:r w:rsidR="00B0051B" w:rsidRPr="006F0C3A">
        <w:t xml:space="preserve"> input features.</w:t>
      </w:r>
      <w:r w:rsidR="006F0C3A">
        <w:t xml:space="preserve">  The file bama.m.for_sharing_documentation.doc </w:t>
      </w:r>
      <w:r>
        <w:t>provides documentation for these</w:t>
      </w:r>
      <w:r w:rsidR="006F0C3A">
        <w:t xml:space="preserve"> 105 IgG and IgA variables studied in Fong, Shen et al. (2018, </w:t>
      </w:r>
      <w:r w:rsidR="004E1FEA">
        <w:t>JID</w:t>
      </w:r>
      <w:bookmarkStart w:id="0" w:name="_GoBack"/>
      <w:bookmarkEnd w:id="0"/>
      <w:r w:rsidR="006F0C3A">
        <w:t>).</w:t>
      </w:r>
    </w:p>
    <w:p w:rsidR="00C43265" w:rsidRPr="006F0C3A" w:rsidRDefault="00C43265"/>
    <w:p w:rsidR="006F0C3A" w:rsidRPr="00045F7A" w:rsidRDefault="006F0C3A" w:rsidP="00965E8C">
      <w:pPr>
        <w:pStyle w:val="PlainText"/>
        <w:rPr>
          <w:rFonts w:ascii="Times New Roman" w:hAnsi="Times New Roman" w:cs="Times New Roman"/>
        </w:rPr>
      </w:pPr>
    </w:p>
    <w:sectPr w:rsidR="006F0C3A" w:rsidRPr="00045F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770" w:rsidRDefault="004D0770">
      <w:r>
        <w:separator/>
      </w:r>
    </w:p>
  </w:endnote>
  <w:endnote w:type="continuationSeparator" w:id="0">
    <w:p w:rsidR="004D0770" w:rsidRDefault="004D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6F" w:rsidRDefault="00E7659F">
    <w:pPr>
      <w:pStyle w:val="Footer"/>
    </w:pPr>
    <w:fldSimple w:instr=" FILENAME \p ">
      <w:r w:rsidR="00FE576F">
        <w:rPr>
          <w:noProof/>
        </w:rPr>
        <w:t>H:\tmp\Normal.dot</w:t>
      </w:r>
    </w:fldSimple>
    <w:r w:rsidR="00FE576F">
      <w:tab/>
      <w:t xml:space="preserve">Page </w:t>
    </w:r>
    <w:r w:rsidR="00FE576F">
      <w:fldChar w:fldCharType="begin"/>
    </w:r>
    <w:r w:rsidR="00FE576F">
      <w:instrText xml:space="preserve"> PAGE </w:instrText>
    </w:r>
    <w:r w:rsidR="00FE576F">
      <w:fldChar w:fldCharType="separate"/>
    </w:r>
    <w:r w:rsidR="004E1FEA">
      <w:rPr>
        <w:noProof/>
      </w:rPr>
      <w:t>2</w:t>
    </w:r>
    <w:r w:rsidR="00FE576F">
      <w:fldChar w:fldCharType="end"/>
    </w:r>
    <w:r w:rsidR="00FE576F">
      <w:t xml:space="preserve"> of </w:t>
    </w:r>
    <w:fldSimple w:instr=" NUMPAGES ">
      <w:r w:rsidR="004E1FEA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770" w:rsidRDefault="004D0770">
      <w:r>
        <w:separator/>
      </w:r>
    </w:p>
  </w:footnote>
  <w:footnote w:type="continuationSeparator" w:id="0">
    <w:p w:rsidR="004D0770" w:rsidRDefault="004D0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544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437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A92F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3AE5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6A20B8"/>
    <w:multiLevelType w:val="hybridMultilevel"/>
    <w:tmpl w:val="F5348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AB18B2"/>
    <w:multiLevelType w:val="singleLevel"/>
    <w:tmpl w:val="44668E14"/>
    <w:lvl w:ilvl="0">
      <w:start w:val="1"/>
      <w:numFmt w:val="bullet"/>
      <w:pStyle w:val="ListBullet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35DD1B02"/>
    <w:multiLevelType w:val="singleLevel"/>
    <w:tmpl w:val="D8B884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171807"/>
    <w:multiLevelType w:val="hybridMultilevel"/>
    <w:tmpl w:val="CDACC39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45E17D33"/>
    <w:multiLevelType w:val="hybridMultilevel"/>
    <w:tmpl w:val="C70EF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C64EAC"/>
    <w:multiLevelType w:val="hybridMultilevel"/>
    <w:tmpl w:val="2E34C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83200"/>
    <w:multiLevelType w:val="singleLevel"/>
    <w:tmpl w:val="0720A3A2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FD01686"/>
    <w:multiLevelType w:val="hybridMultilevel"/>
    <w:tmpl w:val="A2AC3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2"/>
  </w:num>
  <w:num w:numId="7">
    <w:abstractNumId w:val="0"/>
  </w:num>
  <w:num w:numId="8">
    <w:abstractNumId w:val="10"/>
    <w:lvlOverride w:ilvl="0">
      <w:startOverride w:val="1"/>
    </w:lvlOverride>
  </w:num>
  <w:num w:numId="9">
    <w:abstractNumId w:val="9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75"/>
    <w:rsid w:val="00045F7A"/>
    <w:rsid w:val="00057E0B"/>
    <w:rsid w:val="00066315"/>
    <w:rsid w:val="00083CB6"/>
    <w:rsid w:val="000847D0"/>
    <w:rsid w:val="000A12DA"/>
    <w:rsid w:val="00137D43"/>
    <w:rsid w:val="001A13C0"/>
    <w:rsid w:val="001B693E"/>
    <w:rsid w:val="001E379B"/>
    <w:rsid w:val="002304C0"/>
    <w:rsid w:val="00291946"/>
    <w:rsid w:val="002F7F38"/>
    <w:rsid w:val="00332D82"/>
    <w:rsid w:val="003406F3"/>
    <w:rsid w:val="00434750"/>
    <w:rsid w:val="00443DDA"/>
    <w:rsid w:val="00497040"/>
    <w:rsid w:val="004C06E1"/>
    <w:rsid w:val="004D0770"/>
    <w:rsid w:val="004E1FEA"/>
    <w:rsid w:val="0059766F"/>
    <w:rsid w:val="005E7CC6"/>
    <w:rsid w:val="005F3142"/>
    <w:rsid w:val="005F6428"/>
    <w:rsid w:val="00696F28"/>
    <w:rsid w:val="006C3A03"/>
    <w:rsid w:val="006D13FC"/>
    <w:rsid w:val="006F0C3A"/>
    <w:rsid w:val="006F70CA"/>
    <w:rsid w:val="007637CA"/>
    <w:rsid w:val="007B4CAF"/>
    <w:rsid w:val="00953C7F"/>
    <w:rsid w:val="00965E8C"/>
    <w:rsid w:val="009801B6"/>
    <w:rsid w:val="00A96F80"/>
    <w:rsid w:val="00B0051B"/>
    <w:rsid w:val="00B36297"/>
    <w:rsid w:val="00B6122E"/>
    <w:rsid w:val="00B6283F"/>
    <w:rsid w:val="00BB4240"/>
    <w:rsid w:val="00BE193E"/>
    <w:rsid w:val="00C43265"/>
    <w:rsid w:val="00CA56F2"/>
    <w:rsid w:val="00CE1A75"/>
    <w:rsid w:val="00D34CF8"/>
    <w:rsid w:val="00D61C87"/>
    <w:rsid w:val="00D97FEE"/>
    <w:rsid w:val="00DA5D88"/>
    <w:rsid w:val="00E11861"/>
    <w:rsid w:val="00E7659F"/>
    <w:rsid w:val="00FA31BE"/>
    <w:rsid w:val="00FC2ABC"/>
    <w:rsid w:val="00FE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7B440"/>
  <w15:docId w15:val="{C1E40BB8-B62F-4456-8923-22EC1F33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</w:pPr>
    <w:rPr>
      <w:sz w:val="22"/>
    </w:rPr>
  </w:style>
  <w:style w:type="paragraph" w:styleId="Heading1">
    <w:name w:val="heading 1"/>
    <w:next w:val="BodyText"/>
    <w:qFormat/>
    <w:pPr>
      <w:keepNext/>
      <w:spacing w:before="240" w:after="60"/>
      <w:outlineLvl w:val="0"/>
    </w:pPr>
    <w:rPr>
      <w:rFonts w:ascii="Helvetica" w:hAnsi="Helvetica"/>
      <w:b/>
      <w:sz w:val="28"/>
    </w:rPr>
  </w:style>
  <w:style w:type="paragraph" w:styleId="Heading2">
    <w:name w:val="heading 2"/>
    <w:basedOn w:val="Heading1"/>
    <w:next w:val="BodyText"/>
    <w:qFormat/>
    <w:p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spacing w:before="160"/>
      <w:outlineLvl w:val="2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</w:style>
  <w:style w:type="paragraph" w:styleId="BodyTextIndent">
    <w:name w:val="Body Text Indent"/>
    <w:basedOn w:val="BodyText"/>
    <w:pPr>
      <w:ind w:left="360"/>
    </w:pPr>
  </w:style>
  <w:style w:type="paragraph" w:customStyle="1" w:styleId="Cell">
    <w:name w:val="Cell"/>
    <w:rPr>
      <w:rFonts w:ascii="Helvetica" w:hAnsi="Helvetica"/>
    </w:rPr>
  </w:style>
  <w:style w:type="paragraph" w:customStyle="1" w:styleId="CellHeading">
    <w:name w:val="Cell Heading"/>
    <w:basedOn w:val="Cell"/>
    <w:next w:val="Cell"/>
    <w:rPr>
      <w:b/>
      <w:sz w:val="22"/>
    </w:rPr>
  </w:style>
  <w:style w:type="paragraph" w:customStyle="1" w:styleId="CellHeading2">
    <w:name w:val="Cell Heading2"/>
    <w:basedOn w:val="Cell"/>
    <w:pPr>
      <w:spacing w:after="120"/>
    </w:pPr>
    <w:rPr>
      <w:b/>
    </w:rPr>
  </w:style>
  <w:style w:type="paragraph" w:styleId="Date">
    <w:name w:val="Date"/>
  </w:style>
  <w:style w:type="paragraph" w:customStyle="1" w:styleId="DocumentName">
    <w:name w:val="DocumentName"/>
    <w:pPr>
      <w:pBdr>
        <w:top w:val="single" w:sz="2" w:space="1" w:color="auto"/>
        <w:bottom w:val="single" w:sz="2" w:space="1" w:color="auto"/>
      </w:pBdr>
      <w:ind w:right="810"/>
      <w:jc w:val="center"/>
    </w:pPr>
    <w:rPr>
      <w:rFonts w:ascii="Helvetica" w:hAnsi="Helvetica"/>
      <w:b/>
      <w:sz w:val="36"/>
    </w:rPr>
  </w:style>
  <w:style w:type="paragraph" w:styleId="Footer">
    <w:name w:val="footer"/>
    <w:pPr>
      <w:tabs>
        <w:tab w:val="right" w:pos="9360"/>
      </w:tabs>
    </w:pPr>
    <w:rPr>
      <w:sz w:val="18"/>
    </w:rPr>
  </w:style>
  <w:style w:type="paragraph" w:customStyle="1" w:styleId="Footer2">
    <w:name w:val="Footer2"/>
    <w:pPr>
      <w:pBdr>
        <w:top w:val="single" w:sz="2" w:space="1" w:color="auto"/>
      </w:pBdr>
      <w:tabs>
        <w:tab w:val="right" w:pos="10080"/>
      </w:tabs>
      <w:ind w:left="-720"/>
      <w:jc w:val="center"/>
    </w:pPr>
    <w:rPr>
      <w:rFonts w:ascii="Helvetica" w:hAnsi="Helvetica"/>
    </w:rPr>
  </w:style>
  <w:style w:type="character" w:styleId="FootnoteReference">
    <w:name w:val="footnote reference"/>
    <w:semiHidden/>
    <w:rPr>
      <w:rFonts w:ascii="Helvetica" w:hAnsi="Helvetica"/>
      <w:dstrike w:val="0"/>
      <w:color w:val="auto"/>
      <w:sz w:val="16"/>
      <w:vertAlign w:val="superscript"/>
    </w:rPr>
  </w:style>
  <w:style w:type="paragraph" w:styleId="FootnoteText">
    <w:name w:val="footnote text"/>
    <w:semiHidden/>
    <w:pPr>
      <w:pBdr>
        <w:top w:val="single" w:sz="2" w:space="4" w:color="auto"/>
      </w:pBdr>
    </w:pPr>
    <w:rPr>
      <w:rFonts w:ascii="Helvetica" w:hAnsi="Helvetica"/>
      <w:snapToGrid w:val="0"/>
      <w:sz w:val="16"/>
    </w:rPr>
  </w:style>
  <w:style w:type="paragraph" w:styleId="Header">
    <w:name w:val="header"/>
  </w:style>
  <w:style w:type="paragraph" w:styleId="ListBullet">
    <w:name w:val="List Bullet"/>
    <w:basedOn w:val="BodyText"/>
    <w:pPr>
      <w:numPr>
        <w:numId w:val="2"/>
      </w:numPr>
      <w:spacing w:after="60"/>
    </w:pPr>
  </w:style>
  <w:style w:type="paragraph" w:styleId="ListBullet2">
    <w:name w:val="List Bullet 2"/>
    <w:basedOn w:val="BodyText"/>
    <w:pPr>
      <w:numPr>
        <w:numId w:val="4"/>
      </w:numPr>
      <w:tabs>
        <w:tab w:val="clear" w:pos="360"/>
        <w:tab w:val="left" w:pos="720"/>
      </w:tabs>
      <w:spacing w:after="60"/>
      <w:ind w:left="720"/>
    </w:pPr>
  </w:style>
  <w:style w:type="paragraph" w:customStyle="1" w:styleId="ListBullet2Continue">
    <w:name w:val="List Bullet 2 Continue"/>
    <w:basedOn w:val="ListBullet2"/>
    <w:next w:val="ListBullet2"/>
    <w:pPr>
      <w:numPr>
        <w:numId w:val="0"/>
      </w:numPr>
      <w:tabs>
        <w:tab w:val="clear" w:pos="720"/>
      </w:tabs>
      <w:ind w:left="720"/>
    </w:pPr>
  </w:style>
  <w:style w:type="paragraph" w:customStyle="1" w:styleId="ListBulletContinue">
    <w:name w:val="List Bullet Continue"/>
    <w:basedOn w:val="ListBullet"/>
    <w:next w:val="ListBullet"/>
    <w:pPr>
      <w:numPr>
        <w:numId w:val="0"/>
      </w:numPr>
      <w:ind w:left="360"/>
    </w:pPr>
  </w:style>
  <w:style w:type="paragraph" w:styleId="ListNumber">
    <w:name w:val="List Number"/>
    <w:basedOn w:val="BodyText"/>
    <w:pPr>
      <w:numPr>
        <w:numId w:val="6"/>
      </w:numPr>
      <w:spacing w:after="60"/>
    </w:pPr>
    <w:rPr>
      <w:snapToGrid w:val="0"/>
    </w:rPr>
  </w:style>
  <w:style w:type="paragraph" w:styleId="ListNumber2">
    <w:name w:val="List Number 2"/>
    <w:basedOn w:val="ListNumber"/>
    <w:pPr>
      <w:numPr>
        <w:numId w:val="8"/>
      </w:numPr>
      <w:tabs>
        <w:tab w:val="clear" w:pos="360"/>
        <w:tab w:val="num" w:pos="720"/>
      </w:tabs>
      <w:ind w:left="720"/>
    </w:pPr>
  </w:style>
  <w:style w:type="paragraph" w:styleId="MacroText">
    <w:name w:val="macro"/>
    <w:basedOn w:val="BodyText"/>
    <w:semiHidden/>
    <w:pPr>
      <w:spacing w:after="120"/>
    </w:pPr>
    <w:rPr>
      <w:rFonts w:ascii="Helvetica" w:hAnsi="Helvetica"/>
      <w:snapToGrid w:val="0"/>
      <w:sz w:val="22"/>
    </w:rPr>
  </w:style>
  <w:style w:type="paragraph" w:customStyle="1" w:styleId="Note">
    <w:name w:val="Note"/>
    <w:basedOn w:val="BodyText"/>
    <w:rPr>
      <w:i/>
    </w:rPr>
  </w:style>
  <w:style w:type="paragraph" w:customStyle="1" w:styleId="Noteindent">
    <w:name w:val="Note indent"/>
    <w:basedOn w:val="BodyText"/>
    <w:pPr>
      <w:ind w:left="360"/>
    </w:pPr>
    <w:rPr>
      <w:i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link w:val="PlainTextChar"/>
    <w:uiPriority w:val="99"/>
    <w:unhideWhenUsed/>
    <w:rsid w:val="00965E8C"/>
    <w:pPr>
      <w:suppressAutoHyphens w:val="0"/>
      <w:spacing w:after="0"/>
    </w:pPr>
    <w:rPr>
      <w:rFonts w:ascii="Calibri" w:eastAsiaTheme="minorHAnsi" w:hAnsi="Calibr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E8C"/>
    <w:rPr>
      <w:rFonts w:ascii="Calibri" w:eastAsiaTheme="minorHAnsi" w:hAnsi="Calibri" w:cstheme="minorBidi"/>
      <w:sz w:val="22"/>
      <w:szCs w:val="21"/>
    </w:rPr>
  </w:style>
  <w:style w:type="paragraph" w:styleId="ListParagraph">
    <w:name w:val="List Paragraph"/>
    <w:basedOn w:val="Normal"/>
    <w:uiPriority w:val="34"/>
    <w:qFormat/>
    <w:rsid w:val="007637CA"/>
    <w:pPr>
      <w:ind w:left="720"/>
      <w:contextualSpacing/>
    </w:pPr>
  </w:style>
  <w:style w:type="character" w:styleId="CommentReference">
    <w:name w:val="annotation reference"/>
    <w:basedOn w:val="DefaultParagraphFont"/>
    <w:rsid w:val="001A1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13C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A13C0"/>
  </w:style>
  <w:style w:type="paragraph" w:styleId="CommentSubject">
    <w:name w:val="annotation subject"/>
    <w:basedOn w:val="CommentText"/>
    <w:next w:val="CommentText"/>
    <w:link w:val="CommentSubjectChar"/>
    <w:rsid w:val="001A1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13C0"/>
    <w:rPr>
      <w:b/>
      <w:bCs/>
    </w:rPr>
  </w:style>
  <w:style w:type="paragraph" w:styleId="BalloonText">
    <w:name w:val="Balloon Text"/>
    <w:basedOn w:val="Normal"/>
    <w:link w:val="BalloonTextChar"/>
    <w:rsid w:val="001A13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13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F31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 Hutch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Gilbert, Peter B</dc:creator>
  <cp:lastModifiedBy>Andriesen, Jessica G</cp:lastModifiedBy>
  <cp:revision>4</cp:revision>
  <dcterms:created xsi:type="dcterms:W3CDTF">2018-08-27T18:34:00Z</dcterms:created>
  <dcterms:modified xsi:type="dcterms:W3CDTF">2018-08-27T18:35:00Z</dcterms:modified>
</cp:coreProperties>
</file>