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809D0" w14:textId="77777777" w:rsidR="006E3566" w:rsidRPr="006F1F4B" w:rsidRDefault="006E3566" w:rsidP="00D13D88"/>
    <w:p w14:paraId="6FA88C2C" w14:textId="77777777" w:rsidR="006E3566" w:rsidRPr="006F1F4B" w:rsidRDefault="006E3566" w:rsidP="00D13D88"/>
    <w:p w14:paraId="565FAC3F" w14:textId="77777777" w:rsidR="006E3566" w:rsidRPr="006F1F4B" w:rsidRDefault="006E3566" w:rsidP="00D13D88"/>
    <w:p w14:paraId="710E45CD" w14:textId="3B747391" w:rsidR="006E3566" w:rsidRPr="006F1F4B" w:rsidRDefault="006E3566" w:rsidP="00FD166B">
      <w:pPr>
        <w:jc w:val="center"/>
      </w:pPr>
    </w:p>
    <w:p w14:paraId="5577F006" w14:textId="528CE060" w:rsidR="181575D8" w:rsidRPr="006F1F4B" w:rsidRDefault="00D11664" w:rsidP="00EB6CB8">
      <w:pPr>
        <w:pStyle w:val="Heading1"/>
        <w:jc w:val="center"/>
      </w:pPr>
      <w:r>
        <w:t xml:space="preserve">Diets of </w:t>
      </w:r>
      <w:r w:rsidR="0073367A">
        <w:t>r</w:t>
      </w:r>
      <w:r w:rsidR="00B15B13">
        <w:t>esident and migra</w:t>
      </w:r>
      <w:r w:rsidR="008C0B4E">
        <w:t>n</w:t>
      </w:r>
      <w:r w:rsidR="00B15B13">
        <w:t>t</w:t>
      </w:r>
      <w:r w:rsidR="181575D8" w:rsidRPr="006F1F4B">
        <w:t xml:space="preserve"> fishes </w:t>
      </w:r>
      <w:r w:rsidR="0073367A" w:rsidRPr="006F1F4B">
        <w:t xml:space="preserve">during a seasonal resource pulse in the Canadian high Arctic </w:t>
      </w:r>
      <w:r w:rsidR="181575D8" w:rsidRPr="006F1F4B">
        <w:t>reflect</w:t>
      </w:r>
      <w:r w:rsidR="001436BB">
        <w:t xml:space="preserve"> their</w:t>
      </w:r>
      <w:r w:rsidR="181575D8" w:rsidRPr="006F1F4B">
        <w:t xml:space="preserve"> </w:t>
      </w:r>
      <w:r w:rsidR="00EB6CB8">
        <w:t xml:space="preserve">contrasting </w:t>
      </w:r>
      <w:r w:rsidR="181575D8" w:rsidRPr="006F1F4B">
        <w:t>life history strategies</w:t>
      </w:r>
    </w:p>
    <w:p w14:paraId="2A0D009F" w14:textId="4A34BCBD" w:rsidR="006E3566" w:rsidRPr="006F1F4B" w:rsidRDefault="006E3566" w:rsidP="00D13D88"/>
    <w:p w14:paraId="5D012F35" w14:textId="117CE789" w:rsidR="00484AE9" w:rsidRPr="006F1F4B" w:rsidRDefault="00484AE9" w:rsidP="00D13D88"/>
    <w:p w14:paraId="3EA01879" w14:textId="419FD80B" w:rsidR="00D92BF8" w:rsidRDefault="002558C2" w:rsidP="00A524C2">
      <w:pPr>
        <w:jc w:val="center"/>
        <w:rPr>
          <w:vertAlign w:val="superscript"/>
        </w:rPr>
      </w:pPr>
      <w:r w:rsidRPr="006F1F4B">
        <w:t>Lars J. Hammer</w:t>
      </w:r>
      <w:r w:rsidRPr="006F1F4B">
        <w:rPr>
          <w:vertAlign w:val="superscript"/>
        </w:rPr>
        <w:t>1</w:t>
      </w:r>
      <w:r w:rsidR="001D5DD3" w:rsidRPr="006F1F4B">
        <w:t>*</w:t>
      </w:r>
      <w:r w:rsidR="00F8635C" w:rsidRPr="006F1F4B">
        <w:rPr>
          <w:vertAlign w:val="superscript"/>
        </w:rPr>
        <w:t>†</w:t>
      </w:r>
      <w:r w:rsidRPr="006F1F4B">
        <w:t>, Nathan T. Hermann</w:t>
      </w:r>
      <w:r w:rsidR="009A7EE8" w:rsidRPr="006F1F4B">
        <w:rPr>
          <w:vertAlign w:val="superscript"/>
        </w:rPr>
        <w:t>1</w:t>
      </w:r>
      <w:r w:rsidR="001D5DD3" w:rsidRPr="006F1F4B">
        <w:t>*</w:t>
      </w:r>
      <w:r w:rsidR="001C6255" w:rsidRPr="006F1F4B">
        <w:t xml:space="preserve">, </w:t>
      </w:r>
      <w:r w:rsidR="00F125B5" w:rsidRPr="006F1F4B">
        <w:t>Nigel</w:t>
      </w:r>
      <w:r w:rsidR="008176BE" w:rsidRPr="006F1F4B">
        <w:t xml:space="preserve"> E. Hussey</w:t>
      </w:r>
      <w:r w:rsidR="009A7EE8" w:rsidRPr="006F1F4B">
        <w:rPr>
          <w:vertAlign w:val="superscript"/>
        </w:rPr>
        <w:t>2</w:t>
      </w:r>
      <w:r w:rsidR="008176BE" w:rsidRPr="006F1F4B">
        <w:t>, Marianne Marcoux</w:t>
      </w:r>
      <w:r w:rsidR="009A7EE8" w:rsidRPr="006F1F4B">
        <w:rPr>
          <w:vertAlign w:val="superscript"/>
        </w:rPr>
        <w:t>3</w:t>
      </w:r>
      <w:r w:rsidR="008176BE" w:rsidRPr="006F1F4B">
        <w:t>, Kevin J. Hedges</w:t>
      </w:r>
      <w:r w:rsidR="009A7EE8" w:rsidRPr="006F1F4B">
        <w:rPr>
          <w:vertAlign w:val="superscript"/>
        </w:rPr>
        <w:t>3</w:t>
      </w:r>
      <w:r w:rsidR="00C32E7C" w:rsidRPr="006F1F4B">
        <w:t>, Nathan B. Furey</w:t>
      </w:r>
      <w:r w:rsidR="009A7EE8" w:rsidRPr="006F1F4B">
        <w:rPr>
          <w:vertAlign w:val="superscript"/>
        </w:rPr>
        <w:t>1</w:t>
      </w:r>
    </w:p>
    <w:p w14:paraId="4418091F" w14:textId="77777777" w:rsidR="00A524C2" w:rsidRPr="006F1F4B" w:rsidRDefault="00A524C2" w:rsidP="00A524C2">
      <w:pPr>
        <w:jc w:val="center"/>
        <w:rPr>
          <w:vertAlign w:val="superscript"/>
        </w:rPr>
      </w:pPr>
    </w:p>
    <w:p w14:paraId="3849BD76" w14:textId="564EC69A" w:rsidR="00D92BF8" w:rsidRPr="006F1F4B" w:rsidRDefault="00F8635C" w:rsidP="00A524C2">
      <w:pPr>
        <w:jc w:val="center"/>
      </w:pPr>
      <w:r w:rsidRPr="006F1F4B">
        <w:rPr>
          <w:vertAlign w:val="superscript"/>
        </w:rPr>
        <w:t>1</w:t>
      </w:r>
      <w:r w:rsidR="00D92BF8" w:rsidRPr="006F1F4B">
        <w:t>University of New Hampshire, Department of Biological Sciences, Durham, NH, United States</w:t>
      </w:r>
    </w:p>
    <w:p w14:paraId="1EF28B90" w14:textId="151043AE" w:rsidR="00D92BF8" w:rsidRPr="006F1F4B" w:rsidRDefault="009A7EE8" w:rsidP="00A524C2">
      <w:pPr>
        <w:jc w:val="center"/>
      </w:pPr>
      <w:r w:rsidRPr="006F1F4B">
        <w:rPr>
          <w:vertAlign w:val="superscript"/>
        </w:rPr>
        <w:t>2</w:t>
      </w:r>
      <w:r w:rsidR="00D92BF8" w:rsidRPr="006F1F4B">
        <w:t>University of Windsor, Integrative Biology, Windsor, ON, Canada</w:t>
      </w:r>
    </w:p>
    <w:p w14:paraId="59E0D938" w14:textId="7128669E" w:rsidR="00D92BF8" w:rsidRPr="006F1F4B" w:rsidRDefault="009A7EE8" w:rsidP="00A524C2">
      <w:pPr>
        <w:jc w:val="center"/>
      </w:pPr>
      <w:r w:rsidRPr="006F1F4B">
        <w:t>3</w:t>
      </w:r>
      <w:r w:rsidR="00D92BF8" w:rsidRPr="006F1F4B">
        <w:t>Department of Fisheries and Oceans, Winnipeg, MB, Canada</w:t>
      </w:r>
    </w:p>
    <w:p w14:paraId="6C5F1E65" w14:textId="77777777" w:rsidR="00411EDC" w:rsidRPr="006F1F4B" w:rsidRDefault="00411EDC" w:rsidP="00D13D88"/>
    <w:p w14:paraId="2223C398" w14:textId="77777777" w:rsidR="007A33B3" w:rsidRPr="006F1F4B" w:rsidRDefault="007A33B3" w:rsidP="00D13D88"/>
    <w:p w14:paraId="41C1001B" w14:textId="77777777" w:rsidR="000F74DB" w:rsidRPr="006F1F4B" w:rsidRDefault="001D5DD3" w:rsidP="00D13D88">
      <w:r w:rsidRPr="006F1F4B">
        <w:t>*Co-first</w:t>
      </w:r>
      <w:r w:rsidR="00082B5D" w:rsidRPr="006F1F4B">
        <w:t xml:space="preserve"> Authors</w:t>
      </w:r>
    </w:p>
    <w:p w14:paraId="01DE2852" w14:textId="05E33A07" w:rsidR="00730C13" w:rsidRPr="006F1F4B" w:rsidRDefault="00C63AD9" w:rsidP="00D13D88">
      <w:r w:rsidRPr="006F1F4B">
        <w:t>Contact:</w:t>
      </w:r>
      <w:r w:rsidR="00530075" w:rsidRPr="006F1F4B">
        <w:t xml:space="preserve"> Lars Hammer; </w:t>
      </w:r>
      <w:r w:rsidR="00730C13" w:rsidRPr="006F1F4B">
        <w:t>L</w:t>
      </w:r>
      <w:r w:rsidR="00530075" w:rsidRPr="006F1F4B">
        <w:t>ars.</w:t>
      </w:r>
      <w:r w:rsidR="00730C13" w:rsidRPr="006F1F4B">
        <w:t>H</w:t>
      </w:r>
      <w:r w:rsidR="00530075" w:rsidRPr="006F1F4B">
        <w:t>ammer</w:t>
      </w:r>
      <w:r w:rsidR="00730C13" w:rsidRPr="006F1F4B">
        <w:t>@maine.gov</w:t>
      </w:r>
    </w:p>
    <w:p w14:paraId="0E2201B9" w14:textId="32717DEA" w:rsidR="00730C13" w:rsidRPr="006F1F4B" w:rsidRDefault="00730C13" w:rsidP="00D13D88">
      <w:r w:rsidRPr="006F1F4B">
        <w:tab/>
        <w:t>Nathan Hermann; Nathan.Hermann@unh.edu</w:t>
      </w:r>
    </w:p>
    <w:p w14:paraId="57EDA233" w14:textId="1A56AB83" w:rsidR="00F8635C" w:rsidRPr="006F1F4B" w:rsidRDefault="00F8635C" w:rsidP="00D13D88">
      <w:r w:rsidRPr="006F1F4B">
        <w:rPr>
          <w:vertAlign w:val="superscript"/>
        </w:rPr>
        <w:t>†</w:t>
      </w:r>
      <w:r w:rsidRPr="006F1F4B">
        <w:t>Current Position: Maine Department of Marine Resources, Augusta, ME, United States</w:t>
      </w:r>
    </w:p>
    <w:p w14:paraId="7D8159DF" w14:textId="77777777" w:rsidR="00730C13" w:rsidRPr="006F1F4B" w:rsidRDefault="00730C13" w:rsidP="00D13D88"/>
    <w:p w14:paraId="7351DF01" w14:textId="77777777" w:rsidR="007A33B3" w:rsidRPr="006F1F4B" w:rsidRDefault="007A33B3" w:rsidP="00D13D88"/>
    <w:p w14:paraId="5FEBA3C6" w14:textId="77777777" w:rsidR="007A33B3" w:rsidRPr="006F1F4B" w:rsidRDefault="007A33B3" w:rsidP="00D13D88"/>
    <w:p w14:paraId="20AF58ED" w14:textId="77777777" w:rsidR="00730C13" w:rsidRPr="006F1F4B" w:rsidRDefault="00730C13" w:rsidP="00D13D88"/>
    <w:p w14:paraId="77AADDE5" w14:textId="7FB8F112" w:rsidR="002558C2" w:rsidRPr="006F1F4B" w:rsidRDefault="00730C13" w:rsidP="00D13D88">
      <w:pPr>
        <w:rPr>
          <w:rFonts w:eastAsia="Times New Roman"/>
          <w:b/>
          <w:bCs/>
        </w:rPr>
      </w:pPr>
      <w:r w:rsidRPr="006F1F4B">
        <w:t xml:space="preserve">Prepared for Submission to </w:t>
      </w:r>
      <w:commentRangeStart w:id="0"/>
      <w:commentRangeStart w:id="1"/>
      <w:r w:rsidR="003E373D" w:rsidRPr="006F1F4B">
        <w:rPr>
          <w:b/>
          <w:bCs/>
        </w:rPr>
        <w:t>Oecologia</w:t>
      </w:r>
      <w:commentRangeEnd w:id="0"/>
      <w:r w:rsidR="00B72284" w:rsidRPr="006F1F4B">
        <w:rPr>
          <w:rStyle w:val="CommentReference"/>
          <w:sz w:val="22"/>
          <w:szCs w:val="22"/>
        </w:rPr>
        <w:commentReference w:id="0"/>
      </w:r>
      <w:commentRangeEnd w:id="1"/>
      <w:r w:rsidR="00FC2F50" w:rsidRPr="006F1F4B">
        <w:rPr>
          <w:rStyle w:val="CommentReference"/>
          <w:sz w:val="22"/>
          <w:szCs w:val="22"/>
        </w:rPr>
        <w:commentReference w:id="1"/>
      </w:r>
      <w:r w:rsidR="002558C2" w:rsidRPr="006F1F4B">
        <w:br w:type="page"/>
      </w:r>
    </w:p>
    <w:p w14:paraId="7E0C4D48" w14:textId="77777777" w:rsidR="00E55562" w:rsidRPr="006F1F4B" w:rsidRDefault="00E55562" w:rsidP="00D13D88">
      <w:pPr>
        <w:pStyle w:val="Heading1"/>
      </w:pPr>
      <w:commentRangeStart w:id="2"/>
      <w:r w:rsidRPr="006F1F4B">
        <w:lastRenderedPageBreak/>
        <w:t>Abstract</w:t>
      </w:r>
      <w:commentRangeEnd w:id="2"/>
      <w:r w:rsidR="004601E7">
        <w:rPr>
          <w:rStyle w:val="CommentReference"/>
          <w:rFonts w:asciiTheme="minorHAnsi" w:eastAsiaTheme="minorHAnsi" w:hAnsiTheme="minorHAnsi" w:cstheme="minorBidi"/>
          <w:b w:val="0"/>
          <w:bCs w:val="0"/>
        </w:rPr>
        <w:commentReference w:id="2"/>
      </w:r>
    </w:p>
    <w:p w14:paraId="613E15CD" w14:textId="76888895" w:rsidR="008A637F" w:rsidRPr="006F1F4B" w:rsidRDefault="00313885" w:rsidP="00D13D88">
      <w:r w:rsidRPr="006F1F4B">
        <w:tab/>
        <w:t xml:space="preserve">Dramatic seasonal changes occur annually in the Arctic, </w:t>
      </w:r>
      <w:r w:rsidR="002B215B" w:rsidRPr="006F1F4B">
        <w:t xml:space="preserve">requiring </w:t>
      </w:r>
      <w:r w:rsidR="006C6810">
        <w:t>organisms</w:t>
      </w:r>
      <w:r w:rsidR="000A290C" w:rsidRPr="006F1F4B">
        <w:t xml:space="preserve"> to withstand</w:t>
      </w:r>
      <w:r w:rsidR="006C6810">
        <w:t xml:space="preserve"> harsh conditions </w:t>
      </w:r>
      <w:r w:rsidR="000A290C" w:rsidRPr="006F1F4B">
        <w:t xml:space="preserve">and exploit </w:t>
      </w:r>
      <w:r w:rsidR="6D3C8198" w:rsidRPr="006F1F4B">
        <w:t xml:space="preserve">favorable </w:t>
      </w:r>
      <w:r w:rsidR="000478E2" w:rsidRPr="006F1F4B">
        <w:t xml:space="preserve">conditions </w:t>
      </w:r>
      <w:r w:rsidR="006C6810">
        <w:t>as they occur</w:t>
      </w:r>
      <w:r w:rsidR="000478E2" w:rsidRPr="006F1F4B">
        <w:t xml:space="preserve">. Foremost among these </w:t>
      </w:r>
      <w:r w:rsidR="00F94CB2" w:rsidRPr="006F1F4B">
        <w:t xml:space="preserve">changes </w:t>
      </w:r>
      <w:r w:rsidR="0083739D" w:rsidRPr="006F1F4B">
        <w:t>is</w:t>
      </w:r>
      <w:r w:rsidR="007C6A3D" w:rsidRPr="006F1F4B">
        <w:t xml:space="preserve"> the sudden abundance of resources and habitats following </w:t>
      </w:r>
      <w:r w:rsidR="00930EA3" w:rsidRPr="006F1F4B">
        <w:t>receding</w:t>
      </w:r>
      <w:r w:rsidR="008E17F4" w:rsidRPr="006F1F4B">
        <w:t xml:space="preserve"> sea-ice in the summer</w:t>
      </w:r>
      <w:r w:rsidR="00DE4BBC" w:rsidRPr="006F1F4B">
        <w:t xml:space="preserve">. </w:t>
      </w:r>
      <w:r w:rsidR="00930EA3" w:rsidRPr="006F1F4B">
        <w:t xml:space="preserve">Many marine organisms </w:t>
      </w:r>
      <w:r w:rsidR="00164516">
        <w:t>respond behaviorally</w:t>
      </w:r>
      <w:r w:rsidR="005F4E82" w:rsidRPr="006F1F4B">
        <w:t xml:space="preserve"> </w:t>
      </w:r>
      <w:r w:rsidR="00573F66" w:rsidRPr="006F1F4B">
        <w:t>to maximally exploit this resource pulse</w:t>
      </w:r>
      <w:r w:rsidR="00006DE8" w:rsidRPr="006F1F4B">
        <w:t xml:space="preserve">; however, the </w:t>
      </w:r>
      <w:r w:rsidR="00EC30E8">
        <w:t>strategy by</w:t>
      </w:r>
      <w:r w:rsidR="00006DE8" w:rsidRPr="006F1F4B">
        <w:t xml:space="preserve"> which this is done varies </w:t>
      </w:r>
      <w:r w:rsidR="00DE104D">
        <w:t>among</w:t>
      </w:r>
      <w:r w:rsidR="007F234B" w:rsidRPr="006F1F4B">
        <w:t xml:space="preserve"> organisms. </w:t>
      </w:r>
      <w:r w:rsidR="00C607B6" w:rsidRPr="006F1F4B">
        <w:t xml:space="preserve">To assess the means and degree </w:t>
      </w:r>
      <w:r w:rsidR="00F8712E" w:rsidRPr="006F1F4B">
        <w:t>of resource exploitation by</w:t>
      </w:r>
      <w:r w:rsidR="00935CE3" w:rsidRPr="006F1F4B">
        <w:t xml:space="preserve"> the fishes of a </w:t>
      </w:r>
      <w:r w:rsidR="0043547B" w:rsidRPr="006F1F4B">
        <w:t>coastal Arctic community</w:t>
      </w:r>
      <w:r w:rsidR="00E83CB4" w:rsidRPr="006F1F4B">
        <w:t>, we collected stomach contents from</w:t>
      </w:r>
      <w:r w:rsidR="00C03C0A">
        <w:t xml:space="preserve"> migrant anadromous</w:t>
      </w:r>
      <w:r w:rsidR="00E83CB4" w:rsidRPr="006F1F4B">
        <w:t xml:space="preserve"> </w:t>
      </w:r>
      <w:r w:rsidR="00783A61" w:rsidRPr="006F1F4B">
        <w:t>Arctic char (</w:t>
      </w:r>
      <w:r w:rsidR="00783A61" w:rsidRPr="1537C3E2">
        <w:rPr>
          <w:i/>
          <w:iCs/>
        </w:rPr>
        <w:t>Salvelinus alpinus</w:t>
      </w:r>
      <w:r w:rsidR="003B429A" w:rsidRPr="006F1F4B">
        <w:t xml:space="preserve">; n = </w:t>
      </w:r>
      <w:r w:rsidR="00242CBD" w:rsidRPr="006F1F4B">
        <w:t>91</w:t>
      </w:r>
      <w:r w:rsidR="00783A61" w:rsidRPr="006F1F4B">
        <w:t xml:space="preserve">) and </w:t>
      </w:r>
      <w:r w:rsidR="00C03C0A">
        <w:t xml:space="preserve">resident </w:t>
      </w:r>
      <w:r w:rsidR="00783A61" w:rsidRPr="006F1F4B">
        <w:t>sculpins (</w:t>
      </w:r>
      <w:r w:rsidR="00783A61" w:rsidRPr="1537C3E2">
        <w:rPr>
          <w:i/>
          <w:iCs/>
        </w:rPr>
        <w:t xml:space="preserve">Myoxocephalus </w:t>
      </w:r>
      <w:r w:rsidR="00783A61" w:rsidRPr="006F1F4B">
        <w:t>spp.</w:t>
      </w:r>
      <w:r w:rsidR="00242CBD" w:rsidRPr="006F1F4B">
        <w:t>; n = 190</w:t>
      </w:r>
      <w:r w:rsidR="00783A61" w:rsidRPr="006F1F4B">
        <w:t>)</w:t>
      </w:r>
      <w:r w:rsidR="00DA5793" w:rsidRPr="006F1F4B">
        <w:t xml:space="preserve"> in Tremblay Sound</w:t>
      </w:r>
      <w:r w:rsidR="00B87838">
        <w:t>, Nunavut, Canada</w:t>
      </w:r>
      <w:r w:rsidR="00E51C98" w:rsidRPr="006F1F4B">
        <w:t xml:space="preserve"> during the ice-free seasons of 2017-2019</w:t>
      </w:r>
      <w:r w:rsidR="00DA5793" w:rsidRPr="006F1F4B">
        <w:t>.</w:t>
      </w:r>
      <w:r w:rsidR="00372AF6" w:rsidRPr="006F1F4B">
        <w:t xml:space="preserve"> </w:t>
      </w:r>
      <w:r w:rsidR="00E5292F">
        <w:t>F</w:t>
      </w:r>
      <w:r w:rsidR="00B87838">
        <w:t>eeding intensity (</w:t>
      </w:r>
      <w:r w:rsidR="005F2B99">
        <w:t xml:space="preserve">as </w:t>
      </w:r>
      <w:r w:rsidR="005401B4">
        <w:t>both</w:t>
      </w:r>
      <w:r w:rsidR="005F2B99">
        <w:t xml:space="preserve"> percent of empty stomachs and relative consumption)</w:t>
      </w:r>
      <w:r w:rsidR="00FD34B7">
        <w:t xml:space="preserve"> </w:t>
      </w:r>
      <w:r w:rsidR="00E5292F">
        <w:t xml:space="preserve">and diet composition </w:t>
      </w:r>
      <w:r w:rsidR="00FD34B7">
        <w:t>were</w:t>
      </w:r>
      <w:r w:rsidR="00372AF6" w:rsidRPr="006F1F4B">
        <w:t xml:space="preserve"> compared </w:t>
      </w:r>
      <w:r w:rsidR="00B04102" w:rsidRPr="006F1F4B">
        <w:t xml:space="preserve">between the two </w:t>
      </w:r>
      <w:r w:rsidR="00FD106B" w:rsidRPr="006F1F4B">
        <w:t>fishes</w:t>
      </w:r>
      <w:r w:rsidR="00857F0F" w:rsidRPr="006F1F4B">
        <w:t xml:space="preserve"> to identify differences in their feeding</w:t>
      </w:r>
      <w:r w:rsidR="007928DC" w:rsidRPr="006F1F4B">
        <w:t xml:space="preserve"> </w:t>
      </w:r>
      <w:r w:rsidR="00FB4DC8">
        <w:t>within a shared</w:t>
      </w:r>
      <w:r w:rsidR="001F18F2" w:rsidRPr="006F1F4B">
        <w:t xml:space="preserve"> </w:t>
      </w:r>
      <w:r w:rsidR="00C93511" w:rsidRPr="006F1F4B">
        <w:t>environment</w:t>
      </w:r>
      <w:r w:rsidR="00725D48" w:rsidRPr="006F1F4B">
        <w:t xml:space="preserve">. </w:t>
      </w:r>
      <w:r w:rsidR="00FB4DC8" w:rsidRPr="006F1F4B">
        <w:t xml:space="preserve">Despite </w:t>
      </w:r>
      <w:r w:rsidR="00FB4DC8">
        <w:t>eating</w:t>
      </w:r>
      <w:r w:rsidR="00FB4DC8" w:rsidRPr="006F1F4B">
        <w:t xml:space="preserve"> larger prey items,</w:t>
      </w:r>
      <w:r w:rsidR="00FB4DC8">
        <w:t xml:space="preserve"> Arctic char consumed less </w:t>
      </w:r>
      <w:r w:rsidR="00FB4DC8" w:rsidRPr="006F1F4B">
        <w:t>relative to body weight</w:t>
      </w:r>
      <w:r w:rsidR="00FB4DC8">
        <w:t xml:space="preserve"> (mean ±SD; 1.92% ±1.38%)</w:t>
      </w:r>
      <w:r w:rsidR="00FB4DC8" w:rsidRPr="006F1F4B">
        <w:t xml:space="preserve"> than sculpin</w:t>
      </w:r>
      <w:r w:rsidR="00FB4DC8">
        <w:t xml:space="preserve"> (2.88% ±2.93%)</w:t>
      </w:r>
      <w:r w:rsidR="00FB4DC8" w:rsidRPr="006F1F4B">
        <w:t xml:space="preserve">. </w:t>
      </w:r>
      <w:r w:rsidR="003F3777">
        <w:t xml:space="preserve">Arctic char also </w:t>
      </w:r>
      <w:r w:rsidR="00F17150">
        <w:t>had fewer empty stomachs than sculpins (</w:t>
      </w:r>
      <w:r w:rsidR="00ED105D">
        <w:t>1.96% vs 14.7%)</w:t>
      </w:r>
      <w:r w:rsidR="003E6C8F">
        <w:t>. For diet consumption,</w:t>
      </w:r>
      <w:r w:rsidR="008F30CF">
        <w:t xml:space="preserve"> 52.6% </w:t>
      </w:r>
      <w:r w:rsidR="002A6173">
        <w:t xml:space="preserve">of identified prey categories </w:t>
      </w:r>
      <w:r w:rsidR="008F30CF">
        <w:t>were shared by both predators</w:t>
      </w:r>
      <w:r w:rsidR="002A6173">
        <w:t>. N</w:t>
      </w:r>
      <w:r w:rsidR="00224B75" w:rsidRPr="006F1F4B">
        <w:t>on-metric multidimensional scaling</w:t>
      </w:r>
      <w:r w:rsidR="00CE52D6">
        <w:t xml:space="preserve"> (NMDS)</w:t>
      </w:r>
      <w:r w:rsidR="00897FE8" w:rsidRPr="006F1F4B">
        <w:t xml:space="preserve"> </w:t>
      </w:r>
      <w:r w:rsidR="008F30CF">
        <w:t>ordination</w:t>
      </w:r>
      <w:r w:rsidR="009B3D7A">
        <w:t xml:space="preserve"> and </w:t>
      </w:r>
      <w:r w:rsidR="0073481E">
        <w:t>discrimination tests</w:t>
      </w:r>
      <w:r w:rsidR="008F30CF">
        <w:t xml:space="preserve"> </w:t>
      </w:r>
      <w:r w:rsidR="00A71106">
        <w:t>show</w:t>
      </w:r>
      <w:r w:rsidR="002A6173">
        <w:t>ed dietary</w:t>
      </w:r>
      <w:r w:rsidR="00A71106">
        <w:t xml:space="preserve"> distinctions were primarily driven by </w:t>
      </w:r>
      <w:r w:rsidR="00C22B37">
        <w:t>Arctic char</w:t>
      </w:r>
      <w:r w:rsidR="00A71106">
        <w:t>’s</w:t>
      </w:r>
      <w:r w:rsidR="00C22B37">
        <w:t xml:space="preserve"> higher consumption of fishes and copepods </w:t>
      </w:r>
      <w:r w:rsidR="002546C2">
        <w:t>whereas sculpin</w:t>
      </w:r>
      <w:r w:rsidR="003A0757">
        <w:t xml:space="preserve"> diets were dominated by </w:t>
      </w:r>
      <w:r w:rsidR="003F3777">
        <w:t xml:space="preserve">several types of </w:t>
      </w:r>
      <w:r w:rsidR="003A0757">
        <w:t>amphipods</w:t>
      </w:r>
      <w:r w:rsidR="00F712CB" w:rsidRPr="006F1F4B">
        <w:t>.</w:t>
      </w:r>
      <w:r w:rsidR="007E2AA8" w:rsidRPr="006F1F4B">
        <w:t xml:space="preserve"> </w:t>
      </w:r>
      <w:r w:rsidR="004725E4" w:rsidRPr="006F1F4B">
        <w:t xml:space="preserve">Our findings </w:t>
      </w:r>
      <w:r w:rsidR="00CF7E9F" w:rsidRPr="006F1F4B">
        <w:t xml:space="preserve">are consistent with </w:t>
      </w:r>
      <w:r w:rsidR="00AC7C3C" w:rsidRPr="006F1F4B">
        <w:t xml:space="preserve">understandings of life histories for </w:t>
      </w:r>
      <w:r w:rsidR="005D35ED" w:rsidRPr="006F1F4B">
        <w:t xml:space="preserve">relatively sedentary, </w:t>
      </w:r>
      <w:r w:rsidR="00812FBA" w:rsidRPr="006F1F4B">
        <w:t xml:space="preserve">benthic-oriented, resident sculpins </w:t>
      </w:r>
      <w:r w:rsidR="002527BC">
        <w:t xml:space="preserve">intermittently </w:t>
      </w:r>
      <w:r w:rsidR="00EE4767" w:rsidRPr="006F1F4B">
        <w:t xml:space="preserve">consuming small, benthic prey items </w:t>
      </w:r>
      <w:r w:rsidR="00627659" w:rsidRPr="006F1F4B">
        <w:t>at</w:t>
      </w:r>
      <w:r w:rsidR="00EE4767" w:rsidRPr="006F1F4B">
        <w:t xml:space="preserve"> </w:t>
      </w:r>
      <w:r w:rsidR="00254C9F" w:rsidRPr="006F1F4B">
        <w:t xml:space="preserve">very high </w:t>
      </w:r>
      <w:r w:rsidR="00627659" w:rsidRPr="006F1F4B">
        <w:t xml:space="preserve">levels whereas </w:t>
      </w:r>
      <w:r w:rsidR="003B077D" w:rsidRPr="006F1F4B">
        <w:t xml:space="preserve">mobile, </w:t>
      </w:r>
      <w:r w:rsidR="003C034B" w:rsidRPr="006F1F4B">
        <w:t xml:space="preserve">semi-pelagic, migratory Arctic char </w:t>
      </w:r>
      <w:r w:rsidR="00F227F5" w:rsidRPr="006F1F4B">
        <w:t xml:space="preserve">consume </w:t>
      </w:r>
      <w:r w:rsidR="008B749A" w:rsidRPr="006F1F4B">
        <w:t xml:space="preserve">pelagic </w:t>
      </w:r>
      <w:r w:rsidR="0053642A" w:rsidRPr="006F1F4B">
        <w:t xml:space="preserve">prey items </w:t>
      </w:r>
      <w:r w:rsidR="00C3738B" w:rsidRPr="006F1F4B">
        <w:t xml:space="preserve">at </w:t>
      </w:r>
      <w:r w:rsidR="005D0577" w:rsidRPr="006F1F4B">
        <w:t>more consistent</w:t>
      </w:r>
      <w:r w:rsidR="005532DA" w:rsidRPr="006F1F4B">
        <w:t xml:space="preserve"> levels that </w:t>
      </w:r>
      <w:r w:rsidR="004F01F3" w:rsidRPr="006F1F4B">
        <w:t xml:space="preserve">do not impede </w:t>
      </w:r>
      <w:r w:rsidR="00A666D1" w:rsidRPr="006F1F4B">
        <w:t>aerobic activity.</w:t>
      </w:r>
      <w:r w:rsidR="00F22915" w:rsidRPr="006F1F4B">
        <w:t xml:space="preserve"> </w:t>
      </w:r>
      <w:r w:rsidR="00AF28F1" w:rsidRPr="006F1F4B">
        <w:t>Ultimately, we have shown that</w:t>
      </w:r>
      <w:r w:rsidR="0025261D" w:rsidRPr="006F1F4B">
        <w:t xml:space="preserve">, unsurprisingly, diets are reflective of </w:t>
      </w:r>
      <w:r w:rsidR="00E6342E">
        <w:t>predator</w:t>
      </w:r>
      <w:r w:rsidR="00E6342E" w:rsidRPr="006F1F4B">
        <w:t xml:space="preserve"> physiolog</w:t>
      </w:r>
      <w:r w:rsidR="00E6342E">
        <w:t>y</w:t>
      </w:r>
      <w:r w:rsidR="00E6342E" w:rsidRPr="006F1F4B">
        <w:t xml:space="preserve"> </w:t>
      </w:r>
      <w:r w:rsidR="00D774BC">
        <w:t xml:space="preserve">but also of </w:t>
      </w:r>
      <w:r w:rsidR="0025261D" w:rsidRPr="006F1F4B">
        <w:t>life history</w:t>
      </w:r>
      <w:r w:rsidR="00D774BC">
        <w:t xml:space="preserve"> traits</w:t>
      </w:r>
      <w:r w:rsidR="00C120DA">
        <w:t xml:space="preserve">, such as </w:t>
      </w:r>
      <w:r w:rsidR="00E6342E">
        <w:t>migratory behavior</w:t>
      </w:r>
      <w:r w:rsidR="00EC03A8">
        <w:t xml:space="preserve">, </w:t>
      </w:r>
      <w:r w:rsidR="00676078">
        <w:t xml:space="preserve">that </w:t>
      </w:r>
      <w:r w:rsidR="00BC7CE2">
        <w:t>differentiate</w:t>
      </w:r>
      <w:r w:rsidR="001A4FFB" w:rsidRPr="006F1F4B">
        <w:t xml:space="preserve"> </w:t>
      </w:r>
      <w:r w:rsidR="00BB1213" w:rsidRPr="006F1F4B">
        <w:t xml:space="preserve">Arctic char and sculpins </w:t>
      </w:r>
      <w:r w:rsidR="00C77587" w:rsidRPr="006F1F4B">
        <w:t xml:space="preserve">as </w:t>
      </w:r>
      <w:r w:rsidR="00D7791B" w:rsidRPr="006F1F4B">
        <w:t xml:space="preserve">common </w:t>
      </w:r>
      <w:r w:rsidR="00C77587" w:rsidRPr="006F1F4B">
        <w:t xml:space="preserve">predators within an </w:t>
      </w:r>
      <w:r w:rsidR="003873C7" w:rsidRPr="006F1F4B">
        <w:t>Arctic food web.</w:t>
      </w:r>
    </w:p>
    <w:p w14:paraId="317E7213" w14:textId="547BCC26" w:rsidR="00E502EB" w:rsidRPr="006F1F4B" w:rsidRDefault="00E502EB" w:rsidP="00D13D88"/>
    <w:p w14:paraId="52AF6138" w14:textId="001AA635" w:rsidR="00755E71" w:rsidRPr="006F1F4B" w:rsidRDefault="008A637F" w:rsidP="00D13D88">
      <w:r w:rsidRPr="006F1F4B">
        <w:rPr>
          <w:b/>
          <w:bCs/>
        </w:rPr>
        <w:t xml:space="preserve">Keywords: </w:t>
      </w:r>
      <w:r w:rsidRPr="006F1F4B">
        <w:t xml:space="preserve">Arctic char, sculpins, Arctic, </w:t>
      </w:r>
      <w:r w:rsidR="000E6FCF">
        <w:t>feeding</w:t>
      </w:r>
      <w:r w:rsidRPr="006F1F4B">
        <w:t xml:space="preserve"> ecology</w:t>
      </w:r>
      <w:r w:rsidR="00CA58D8" w:rsidRPr="006F1F4B">
        <w:t>, diet analyses</w:t>
      </w:r>
    </w:p>
    <w:p w14:paraId="38537590" w14:textId="25029838" w:rsidR="00E55562" w:rsidRPr="006F1F4B" w:rsidRDefault="00E55562" w:rsidP="00D13D88">
      <w:r w:rsidRPr="006F1F4B">
        <w:br w:type="page"/>
      </w:r>
    </w:p>
    <w:p w14:paraId="7FCB4018" w14:textId="0DFCDA68" w:rsidR="00484AE9" w:rsidRPr="006F1F4B" w:rsidRDefault="02CB000C" w:rsidP="00D13D88">
      <w:pPr>
        <w:pStyle w:val="Heading1"/>
      </w:pPr>
      <w:r w:rsidRPr="006F1F4B">
        <w:lastRenderedPageBreak/>
        <w:t>Introduction</w:t>
      </w:r>
    </w:p>
    <w:p w14:paraId="69EC0501" w14:textId="7BF53263" w:rsidR="74B62BB2" w:rsidRPr="006F1F4B" w:rsidRDefault="0A4436E5" w:rsidP="00C90B5D">
      <w:pPr>
        <w:ind w:firstLine="720"/>
      </w:pPr>
      <w:r w:rsidRPr="006F1F4B">
        <w:t>The Arctic is a highly dynamic environment, experiencing dramatic seasonal change in environmental conditions</w:t>
      </w:r>
      <w:r w:rsidR="00DB6D3E" w:rsidRPr="006F1F4B">
        <w:t xml:space="preserve"> </w:t>
      </w:r>
      <w:r w:rsidR="00DB6D3E" w:rsidRPr="006F1F4B">
        <w:fldChar w:fldCharType="begin"/>
      </w:r>
      <w:r w:rsidR="00DB6D3E" w:rsidRPr="006F1F4B">
        <w:instrText xml:space="preserve"> ADDIN ZOTERO_ITEM CSL_CITATION {"citationID":"C1nLhntf","properties":{"formattedCitation":"(AMAP 2017)","plainCitation":"(AMAP 2017)","noteIndex":0},"citationItems":[{"id":742,"uris":["http://zotero.org/users/6698532/items/XQDSHDPR"],"itemData":{"id":742,"type":"book","abstract":"Issued as part of the desLibris documents collection.","event-place":"Oslo, Norway","ISBN":"978-82-7971-101-8","note":"container-title: Arctic Monitoring and Assessment Programme (AMAP)\nDOI: 10.1029/2002WR001512","publisher-place":"Oslo, Norway","title":"Snow, Water, Ice and Permafrost in the Arctic (SWIPA) 2017","URL":"https://www.amap.no/documents/doc/snow-water-ice-and-permafrost-in-the-arctic-swipa-2017/1610","author":[{"literal":"AMAP"}],"issued":{"date-parts":[["2017"]]}}}],"schema":"https://github.com/citation-style-language/schema/raw/master/csl-citation.json"} </w:instrText>
      </w:r>
      <w:r w:rsidR="00DB6D3E" w:rsidRPr="006F1F4B">
        <w:fldChar w:fldCharType="separate"/>
      </w:r>
      <w:r w:rsidR="00A70399" w:rsidRPr="00A70399">
        <w:t>(AMAP 2017)</w:t>
      </w:r>
      <w:r w:rsidR="00DB6D3E" w:rsidRPr="006F1F4B">
        <w:fldChar w:fldCharType="end"/>
      </w:r>
      <w:r w:rsidR="428A8773" w:rsidRPr="006F1F4B">
        <w:t>. Winter in A</w:t>
      </w:r>
      <w:r w:rsidR="2329C0CE" w:rsidRPr="006F1F4B">
        <w:t xml:space="preserve">rctic ecosystems is generally characterized as a resting state, </w:t>
      </w:r>
      <w:r w:rsidR="674DC13D" w:rsidRPr="006F1F4B">
        <w:t>exhibiting</w:t>
      </w:r>
      <w:r w:rsidR="6AE27A93" w:rsidRPr="006F1F4B">
        <w:t xml:space="preserve"> low productivity,</w:t>
      </w:r>
      <w:r w:rsidR="674DC13D" w:rsidRPr="006F1F4B">
        <w:t xml:space="preserve"> almost complete darkness</w:t>
      </w:r>
      <w:r w:rsidR="2AA93226" w:rsidRPr="006F1F4B">
        <w:t>,</w:t>
      </w:r>
      <w:r w:rsidR="674DC13D" w:rsidRPr="006F1F4B">
        <w:t xml:space="preserve"> and ice-covered landscapes for much of the year</w:t>
      </w:r>
      <w:r w:rsidR="003955D7" w:rsidRPr="006F1F4B">
        <w:t xml:space="preserve"> </w:t>
      </w:r>
      <w:r w:rsidR="003955D7" w:rsidRPr="006F1F4B">
        <w:fldChar w:fldCharType="begin"/>
      </w:r>
      <w:r w:rsidR="003955D7" w:rsidRPr="006F1F4B">
        <w:instrText xml:space="preserve"> ADDIN ZOTERO_ITEM CSL_CITATION {"citationID":"AZW6dDHc","properties":{"formattedCitation":"(Berge et al. 2015)","plainCitation":"(Berge et al. 2015)","noteIndex":0},"citationItems":[{"id":2229,"uris":["http://zotero.org/users/6698532/items/4DGY2U4Z"],"itemData":{"id":2229,"type":"article-journal","abstract":"Several recent lines of evidence indicate that the polar night is key to understanding Arctic marine ecosystems. First, the polar night is not a period void of biological activity even though primary production is close to zero, but is rather characterized by a number of processes and interactions yet to be fully understood, including unanticipated high levels of feeding and reproduction in a wide range of taxa and habitats. Second, as more knowledge emerges, it is evident that a coupled physical and biological perspective of the ecosystem will redeﬁne seasonality beyond the ‘‘calendar perspective”. Third, it appears that many organisms may exhibit endogenous rhythms that trigger ﬁtness-maximizing activities in the absence of light-based cues. Indeed a common adaptation appears to be the ability to utilize the dark season for reproduction. This and other processes are most likely adaptations to current environmental conditions and community and trophic structures of the ecosystem, and may have implications for how Arctic ecosystems can change under continued climatic warming.","container-title":"Progress in Oceanography","DOI":"10.1016/j.pocean.2015.08.005","ISSN":"00796611","journalAbbreviation":"Progress in Oceanography","language":"en","page":"258-271","source":"DOI.org (Crossref)","title":"In the dark: A review of ecosystem processes during the Arctic polar night","title-short":"In the dark","volume":"139","author":[{"family":"Berge","given":"Jørgen"},{"family":"Renaud","given":"Paul E."},{"family":"Darnis","given":"Gerald"},{"family":"Cottier","given":"Finlo"},{"family":"Last","given":"Kim"},{"family":"Gabrielsen","given":"Tove M."},{"family":"Johnsen","given":"Geir"},{"family":"Seuthe","given":"Lena"},{"family":"Weslawski","given":"Jan Marcin"},{"family":"Leu","given":"Eva"},{"family":"Moline","given":"Mark"},{"family":"Nahrgang","given":"Jasmine"},{"family":"Søreide","given":"Janne E."},{"family":"Varpe","given":"Øystein"},{"family":"Lønne","given":"Ole Jørgen"},{"family":"Daase","given":"Malin"},{"family":"Falk-Petersen","given":"Stig"}],"issued":{"date-parts":[["2015",12]]}}}],"schema":"https://github.com/citation-style-language/schema/raw/master/csl-citation.json"} </w:instrText>
      </w:r>
      <w:r w:rsidR="003955D7" w:rsidRPr="006F1F4B">
        <w:fldChar w:fldCharType="separate"/>
      </w:r>
      <w:r w:rsidR="00A70399" w:rsidRPr="00A70399">
        <w:t>(Berge et al. 2015)</w:t>
      </w:r>
      <w:r w:rsidR="003955D7" w:rsidRPr="006F1F4B">
        <w:fldChar w:fldCharType="end"/>
      </w:r>
      <w:r w:rsidR="674DC13D" w:rsidRPr="006F1F4B">
        <w:t xml:space="preserve">. </w:t>
      </w:r>
      <w:r w:rsidR="30851C22" w:rsidRPr="006F1F4B">
        <w:t xml:space="preserve">At the end of this winter however, comes a rapid transition between ice-cover and open-water </w:t>
      </w:r>
      <w:r w:rsidR="00F61B07" w:rsidRPr="006F1F4B">
        <w:fldChar w:fldCharType="begin"/>
      </w:r>
      <w:r w:rsidR="00F61B07" w:rsidRPr="006F1F4B">
        <w:instrText xml:space="preserve"> ADDIN ZOTERO_ITEM CSL_CITATION {"citationID":"xg6sBBcu","properties":{"formattedCitation":"(AMAP 2017)","plainCitation":"(AMAP 2017)","noteIndex":0},"citationItems":[{"id":742,"uris":["http://zotero.org/users/6698532/items/XQDSHDPR"],"itemData":{"id":742,"type":"book","abstract":"Issued as part of the desLibris documents collection.","event-place":"Oslo, Norway","ISBN":"978-82-7971-101-8","note":"container-title: Arctic Monitoring and Assessment Programme (AMAP)\nDOI: 10.1029/2002WR001512","publisher-place":"Oslo, Norway","title":"Snow, Water, Ice and Permafrost in the Arctic (SWIPA) 2017","URL":"https://www.amap.no/documents/doc/snow-water-ice-and-permafrost-in-the-arctic-swipa-2017/1610","author":[{"literal":"AMAP"}],"issued":{"date-parts":[["2017"]]}}}],"schema":"https://github.com/citation-style-language/schema/raw/master/csl-citation.json"} </w:instrText>
      </w:r>
      <w:r w:rsidR="00F61B07" w:rsidRPr="006F1F4B">
        <w:fldChar w:fldCharType="separate"/>
      </w:r>
      <w:r w:rsidR="00A70399" w:rsidRPr="00A70399">
        <w:t>(AMAP 2017)</w:t>
      </w:r>
      <w:r w:rsidR="00F61B07" w:rsidRPr="006F1F4B">
        <w:fldChar w:fldCharType="end"/>
      </w:r>
      <w:r w:rsidR="30851C22" w:rsidRPr="006F1F4B">
        <w:t xml:space="preserve">. </w:t>
      </w:r>
      <w:r w:rsidR="7BA8B89C" w:rsidRPr="006F1F4B">
        <w:t xml:space="preserve">This spring transition, coupled with increased </w:t>
      </w:r>
      <w:r w:rsidR="58F16CCC" w:rsidRPr="006F1F4B">
        <w:t>daylight</w:t>
      </w:r>
      <w:r w:rsidR="7BA8B89C" w:rsidRPr="006F1F4B">
        <w:t xml:space="preserve">, </w:t>
      </w:r>
      <w:r w:rsidR="30E2250C" w:rsidRPr="006F1F4B">
        <w:t xml:space="preserve">causes a primary productivity bloom that provides key nutrients for Arctic consumers </w:t>
      </w:r>
      <w:r w:rsidR="006B0CCC" w:rsidRPr="006F1F4B">
        <w:fldChar w:fldCharType="begin"/>
      </w:r>
      <w:r w:rsidR="006B0CCC" w:rsidRPr="006F1F4B">
        <w:instrText xml:space="preserve"> ADDIN ZOTERO_ITEM CSL_CITATION {"citationID":"IlNMJYI5","properties":{"formattedCitation":"(Hop et al. 2011; McMeans et al. 2015)","plainCitation":"(Hop et al. 2011; McMeans et al. 2015)","noteIndex":0},"citationItems":[{"id":1782,"uris":["http://zotero.org/users/6698532/items/RPDRW3K7"],"itemData":{"id":1782,"type":"article-journal","container-title":"Polar Biology","DOI":"10.1007/s00300-011-0991-4","ISSN":"0722-4060, 1432-2056","issue":"12","journalAbbreviation":"Polar Biol","language":"en","page":"1947-1958","source":"DOI.org (Crossref)","title":"Zooplankton boom and ice amphipod bust below melting sea ice in the Amundsen Gulf, Arctic Canada","volume":"34","author":[{"family":"Hop","given":"Haakon"},{"family":"Mundy","given":"Christopher J."},{"family":"Gosselin","given":"Michel"},{"family":"Rossnagel","given":"Andrea L."},{"family":"Barber","given":"David G."}],"issued":{"date-parts":[["2011",12]]}}},{"id":1457,"uris":["http://zotero.org/users/6698532/items/D3NLZ482"],"itemData":{"id":1457,"type":"article-journal","abstract":"Temporal variation characterizes many of Earth's ecosystems. Despite this, little is known about how food webs respond to regular variation in time, such as occurs broadly with season. We argue that season, and likely any periodicity, structures food webs along a temporal axis in an analogous way to that previously recognized in space; predators shift their diet as different resource compartments and trophic levels become available through time. These characteristics are likely (i) central to ecosystem function and stability based on theory, and (ii) widespread across ecosystem types based on empirical observations. The temporal food web perspective outlined here could provide new insight into the ecosystem-level consequences of altered abiotic and biotic processes that might accompany globally changing environments.","container-title":"Trends in Ecology and Evolution","DOI":"10.1016/j.tree.2015.09.001","issue":"11","note":"publisher: Elsevier Ltd","page":"662-672","title":"Food Web Structure in Temporally-Forced Ecosystems","volume":"30","author":[{"family":"McMeans","given":"Bailey C."},{"family":"McCann","given":"Kevin S."},{"family":"Humphries","given":"Murray"},{"family":"Rooney","given":"Neil"},{"family":"Fisk","given":"Aaron T."}],"issued":{"date-parts":[["2015"]]}}}],"schema":"https://github.com/citation-style-language/schema/raw/master/csl-citation.json"} </w:instrText>
      </w:r>
      <w:r w:rsidR="006B0CCC" w:rsidRPr="006F1F4B">
        <w:fldChar w:fldCharType="separate"/>
      </w:r>
      <w:r w:rsidR="00A70399" w:rsidRPr="00A70399">
        <w:t>(Hop et al. 2011; McMeans et al. 2015)</w:t>
      </w:r>
      <w:r w:rsidR="006B0CCC" w:rsidRPr="006F1F4B">
        <w:fldChar w:fldCharType="end"/>
      </w:r>
      <w:r w:rsidR="30E2250C" w:rsidRPr="006F1F4B">
        <w:t>.</w:t>
      </w:r>
      <w:r w:rsidR="5FE812A2" w:rsidRPr="006F1F4B">
        <w:t xml:space="preserve"> </w:t>
      </w:r>
      <w:r w:rsidR="71D236BB" w:rsidRPr="006F1F4B">
        <w:t>Increasing temperatures associated with climate change</w:t>
      </w:r>
      <w:r w:rsidR="3B89367B" w:rsidRPr="006F1F4B">
        <w:t xml:space="preserve"> ha</w:t>
      </w:r>
      <w:r w:rsidR="27DA528B" w:rsidRPr="006F1F4B">
        <w:t>ve</w:t>
      </w:r>
      <w:r w:rsidR="3B89367B" w:rsidRPr="006F1F4B">
        <w:t xml:space="preserve"> </w:t>
      </w:r>
      <w:r w:rsidR="3D9B05FF" w:rsidRPr="006F1F4B">
        <w:t>altered these phenological patterns</w:t>
      </w:r>
      <w:r w:rsidR="3529939B" w:rsidRPr="006F1F4B">
        <w:t xml:space="preserve"> by </w:t>
      </w:r>
      <w:r w:rsidR="726BBFD7" w:rsidRPr="006F1F4B">
        <w:t xml:space="preserve">gradually </w:t>
      </w:r>
      <w:r w:rsidR="3529939B" w:rsidRPr="006F1F4B">
        <w:t>reducing the duration and extent of sea-ice cover across much of the Arctic</w:t>
      </w:r>
      <w:r w:rsidR="00FD7D9F" w:rsidRPr="006F1F4B">
        <w:t xml:space="preserve"> </w:t>
      </w:r>
      <w:r w:rsidR="00FD7D9F" w:rsidRPr="006F1F4B">
        <w:fldChar w:fldCharType="begin"/>
      </w:r>
      <w:r w:rsidR="00FD7D9F" w:rsidRPr="006F1F4B">
        <w:instrText xml:space="preserve"> ADDIN ZOTERO_ITEM CSL_CITATION {"citationID":"kkfkEwDy","properties":{"formattedCitation":"(Johannessen et al. 2004; Stroeve et al. 2007; Dai et al. 2019)","plainCitation":"(Johannessen et al. 2004; Stroeve et al. 2007; Dai et al. 2019)","noteIndex":0},"citationItems":[{"id":3450,"uris":["http://zotero.org/users/6698532/items/2NSIC34T"],"itemData":{"id":3450,"type":"article-journal","abstract":"Changes apparent in the arctic climate system in recent years require evaluation in a century-scale perspective in order to assess the Arctic's response to increasing anthropogenic greenhouse-gas forcing. Here, a new set of century- and multidecadal-scale observational data of surface air temperature (SAT) and sea ice is used in combination with ECHAM4 and HadCM3 coupled atmosphere–ice–ocean global model simulations in order to better determine and understand arctic climate variability. We show that two pronounced twentieth-century warming events, both amplified in the Arctic, were linked to sea-ice variability. SAT observations and model simulations indicate that the nature of the arctic warming in the last two decades is distinct from the early twentieth-century warm period. It is suggested strongly that the earlier warming was natural internal climate-system variability, whereas the recent SAT changes are a response to anthropogenic forcing. The area of arctic sea ice is furthermore observed to have decreased </w:instrText>
      </w:r>
      <w:r w:rsidR="00FD7D9F" w:rsidRPr="006F1F4B">
        <w:rPr>
          <w:rFonts w:ascii="Cambria Math" w:hAnsi="Cambria Math" w:cs="Cambria Math"/>
        </w:rPr>
        <w:instrText>∼</w:instrText>
      </w:r>
      <w:r w:rsidR="00FD7D9F" w:rsidRPr="006F1F4B">
        <w:instrText xml:space="preserve">8 × 105 km2 (7.4%) in the past quarter century, with record-low summer ice coverage in September 2002. A set of model predictions is used to quantify changes in the ice cover through the twenty-first century, with greater reductions expected in summer than winter. In summer, a predominantly sea-ice-free Arctic is predicted for the end of this century.","container-title":"Tellus A","DOI":"10.1111/j.1600-0870.2004.00060.x","ISSN":"1600-0870","issue":"4","language":"en","note":"_eprint: https://onlinelibrary.wiley.com/doi/pdf/10.1111/j.1600-0870.2004.00060.x","page":"328-341","source":"Wiley Online Library","title":"Arctic climate change: observed and modelled temperature and sea-ice variability","title-short":"Arctic climate change","volume":"56","author":[{"family":"Johannessen","given":"Ola M."},{"family":"Bengtsson","given":"Lennart"},{"family":"Miles","given":"Martin W."},{"family":"Kuzmina","given":"Svetlana I."},{"family":"Semenov","given":"Vladimir A."},{"family":"Alekseev","given":"Genrikh V."},{"family":"Nagurnyi","given":"Andrei P."},{"family":"Zakharov","given":"Victor F."},{"family":"Bobylev","given":"Leonid P."},{"family":"Pettersson","given":"Lasse H."},{"family":"Hasselmann","given":"Klaus"},{"family":"Cattle","given":"Howard P."}],"issued":{"date-parts":[["2004"]]}}},{"id":3453,"uris":["http://zotero.org/users/6698532/items/D6QFKLC5"],"itemData":{"id":3453,"type":"article-journal","abstract":"From 1953 to 2006, Arctic sea ice extent at the end of the melt season in September has declined sharply. All models participating in the Intergovernmental Panel on Climate Change Fourth Assessment Report (IPCC AR4) show declining Arctic ice cover over this period. However, depending on the time window for analysis, none or very few individual model simulations show trends comparable to observations. If the multi-model ensemble mean time series provides a true representation of forced change by greenhouse gas (GHG) loading, 33–38% of the observed September trend from 1953–2006 is externally forced, growing to 47–57% from 1979–2006. Given evidence that as a group, the models underestimate the GHG response, the externally forced component may be larger. While both observed and modeled Antarctic winter trends are small, comparisons for summer are confounded by generally poor model performance.","container-title":"Geophysical Research Letters","DOI":"10.1029/2007GL029703","ISSN":"1944-8007","issue":"9","language":"en","note":"_eprint: https://agupubs.onlinelibrary.wiley.com/doi/pdf/10.1029/2007GL029703","source":"Wiley Online Library","title":"Arctic sea ice decline: Faster than forecast","title-short":"Arctic sea ice decline","URL":"https://onlinelibrary.wiley.com/doi/abs/10.1029/2007GL029703","volume":"34","author":[{"family":"Stroeve","given":"Julienne"},{"family":"Holland","given":"Marika M."},{"family":"Meier","given":"Walt"},{"family":"Scambos","given":"Ted"},{"family":"Serreze","given":"Mark"}],"accessed":{"date-parts":[["2023",7,5]]},"issued":{"date-parts":[["2007"]]}}},{"id":3457,"uris":["http://zotero.org/users/6698532/items/55SNNWBH"],"itemData":{"id":3457,"type":"article-journal","abstract":"Abstract\n            \n              Warming in the Arctic has been much faster than the rest of the world in both observations and model simulations, a phenomenon known as the Arctic amplification (AA) whose cause is still under debate. By analyzing data and model simulations, here we show that large AA occurs only from October to April and only over areas with significant sea-ice loss. AA largely disappears when Arctic sea ice is fixed or melts away. Periods with larger AA are associated with larger sea-ice loss, and models with bigger sea-ice loss produce larger AA. Increased outgoing longwave radiation and heat fluxes from the newly opened waters cause AA, whereas all other processes can only indirectly contribute to AA by melting sea-ice. We conclude that sea-ice loss is necessary for the existence of large AA and that models need to simulate Arctic sea ice realistically in order to correctly simulate Arctic warming under increasing CO\n              2\n              .","container-title":"Nature Communications","DOI":"10.1038/s41467-018-07954-9","ISSN":"2041-1723","issue":"1","journalAbbreviation":"Nat Commun","language":"en","page":"121","source":"DOI.org (Crossref)","title":"Arctic amplification is caused by sea-ice loss under increasing CO2","volume":"10","author":[{"family":"Dai","given":"Aiguo"},{"family":"Luo","given":"Dehai"},{"family":"Song","given":"Mirong"},{"family":"Liu","given":"Jiping"}],"issued":{"date-parts":[["2019",1,10]]}}}],"schema":"https://github.com/citation-style-language/schema/raw/master/csl-citation.json"} </w:instrText>
      </w:r>
      <w:r w:rsidR="00FD7D9F" w:rsidRPr="006F1F4B">
        <w:fldChar w:fldCharType="separate"/>
      </w:r>
      <w:r w:rsidR="00A70399" w:rsidRPr="00A70399">
        <w:t>(Johannessen et al. 2004; Stroeve et al. 2007; Dai et al. 2019)</w:t>
      </w:r>
      <w:r w:rsidR="00FD7D9F" w:rsidRPr="006F1F4B">
        <w:fldChar w:fldCharType="end"/>
      </w:r>
      <w:r w:rsidR="3529939B" w:rsidRPr="006F1F4B">
        <w:t>.</w:t>
      </w:r>
      <w:r w:rsidR="71DB18EA" w:rsidRPr="006F1F4B">
        <w:t xml:space="preserve"> Consumers that rely on the regularity of transitions in sea</w:t>
      </w:r>
      <w:r w:rsidR="68EC20B4" w:rsidRPr="006F1F4B">
        <w:t xml:space="preserve">-ice cover may be negatively affected by changes in ice phenology, and understanding those relationships is critical to </w:t>
      </w:r>
      <w:r w:rsidR="72206BE5" w:rsidRPr="006F1F4B">
        <w:t>predicting their future climate resilience.</w:t>
      </w:r>
    </w:p>
    <w:p w14:paraId="0E60793F" w14:textId="0680B662" w:rsidR="3EB96F5E" w:rsidRPr="006F1F4B" w:rsidRDefault="0B730B03" w:rsidP="00C90B5D">
      <w:pPr>
        <w:ind w:firstLine="720"/>
      </w:pPr>
      <w:r w:rsidRPr="006F1F4B">
        <w:t xml:space="preserve">Large resource pulses attract a wide variety of migratory </w:t>
      </w:r>
      <w:r w:rsidR="72744616" w:rsidRPr="006F1F4B">
        <w:t>animals that presumably exploit these seasonally abundant resources</w:t>
      </w:r>
      <w:r w:rsidR="00C836B2" w:rsidRPr="006F1F4B">
        <w:t xml:space="preserve"> </w:t>
      </w:r>
      <w:r w:rsidR="00C836B2" w:rsidRPr="006F1F4B">
        <w:fldChar w:fldCharType="begin"/>
      </w:r>
      <w:r w:rsidR="00C836B2" w:rsidRPr="006F1F4B">
        <w:instrText xml:space="preserve"> ADDIN ZOTERO_ITEM CSL_CITATION {"citationID":"cfi5Uuse","properties":{"formattedCitation":"(Melnikov 1997)","plainCitation":"(Melnikov 1997)","noteIndex":0},"citationItems":[{"id":3459,"uris":["http://zotero.org/users/6698532/items/XTAD36NT"],"itemData":{"id":3459,"type":"book","abstract":"This book is dedicated to the study of the composition, structure and dynamics of the Arctic sea ice ecosystem. It considers the permanent Arctic sea ice cover as an integral steady-state ecological system. Detailed descriptions are given of time-scale characteristics, physical and chemical sea ice properties, and the species composition of sea ice biota. The ecological mechanisms which govern the ecosystem on both the vertical and lateral scales are discussed, including the function of microcommunities during seasonal sea ice evolution.\nThe Arctic Sea Ice Ecosystem will be an invaluable reference source for all researchers and students of polar ecology","event-place":"Amsterdam","ISBN":"2-919875-04-3","number-of-pages":"204","publisher":"Gordon and Breach","publisher-place":"Amsterdam","title":"Arctic Sea Ice Ecosystem","author":[{"family":"Melnikov","given":"Alexander"}],"issued":{"date-parts":[["1997",1,23]]}}}],"schema":"https://github.com/citation-style-language/schema/raw/master/csl-citation.json"} </w:instrText>
      </w:r>
      <w:r w:rsidR="00C836B2" w:rsidRPr="006F1F4B">
        <w:fldChar w:fldCharType="separate"/>
      </w:r>
      <w:r w:rsidR="00A70399" w:rsidRPr="00A70399">
        <w:t>(Melnikov 1997)</w:t>
      </w:r>
      <w:r w:rsidR="00C836B2" w:rsidRPr="006F1F4B">
        <w:fldChar w:fldCharType="end"/>
      </w:r>
      <w:r w:rsidR="424D7F97" w:rsidRPr="006F1F4B">
        <w:t>, including</w:t>
      </w:r>
      <w:r w:rsidR="00C90B5D">
        <w:t xml:space="preserve"> </w:t>
      </w:r>
      <w:r w:rsidR="001B4FFF">
        <w:t>birds</w:t>
      </w:r>
      <w:r w:rsidR="001156C1" w:rsidRPr="006F1F4B">
        <w:t xml:space="preserve"> </w:t>
      </w:r>
      <w:r w:rsidR="001156C1" w:rsidRPr="006F1F4B">
        <w:fldChar w:fldCharType="begin"/>
      </w:r>
      <w:r w:rsidR="001156C1" w:rsidRPr="006F1F4B">
        <w:instrText xml:space="preserve"> ADDIN ZOTERO_ITEM CSL_CITATION {"citationID":"VRiRVXXk","properties":{"formattedCitation":"(Lameris et al. 2017; Descamps et al. 2019)","plainCitation":"(Lameris et al. 2017; Descamps et al. 2019)","noteIndex":0},"citationItems":[{"id":930,"uris":["http://zotero.org/users/6698532/items/G2U7IZQD"],"itemData":{"id":930,"type":"article-journal","abstract":"Arctic amplification, the accelerated climate warming in the polar regions, is causing a more rapid advancement of the onset of spring in the Arctic than in temperate regions. Consequently, the arrival of many migratory birds in the Arctic is thought to become increasingly mismatched with the onset of local spring, consequently reducing individual fitness and potentially even population levels. We used a dynamic state variable model to study whether Arctic long-distance migrants can advance their migratory schedules under climate warming scenarios which include Arctic amplification, and whether such an advancement is constrained by fuel accumulation or the ability to anticipate climatic changes. Our model predicts that barnacle geese Branta leucopsis suffer from considerably reduced reproductive success with increasing Arctic amplification through mistimed arrival, when they cannot anticipate a more rapid progress of Arctic spring from their wintering grounds. When geese are able to anticipate a more rapid progress of Arctic spring, they are predicted to advance their spring arrival under Arctic amplification up to 44 days without any reproductive costs in terms of optimal condition or timing of breeding. Negative effects of mistimed arrival on reproduction are predicted to be somewhat mitigated by increasing summer length under warming in the Arctic, as late arriving geese can still breed successfully. We conclude that adaptation to Arctic amplification may rather be constrained by the (un)predictability of changes in the Arctic spring than by the time available for fuel accumulation. Social migrants like geese tend to have a high behavioural plasticity regarding stopover site choice and migration schedule, giving them the potential to adapt to future climate changes on their flyway.","container-title":"Global Change Biology","DOI":"10.1111/gcb.13684","issue":"10","page":"4058-4067","title":"Potential for an Arctic-breeding migratory bird to adjust spring migration phenology to Arctic amplification","volume":"23","author":[{"family":"Lameris","given":"Thomas K."},{"family":"Scholten","given":"Ilse"},{"family":"Bauer","given":"Silke"},{"family":"Cobben","given":"Marleen M.P."},{"family":"Ens","given":"Bruno J."},{"family":"Nolet","given":"Bart A."}],"issued":{"date-parts":[["2017"]]}}},{"id":1735,"uris":["http://zotero.org/users/6698532/items/2J39DCGK"],"itemData":{"id":1735,"type":"article-journal","container-title":"Global Change Biology","DOI":"10.1111/gcb.14780","ISSN":"1354-1013, 1365-2486","issue":"12","journalAbbreviation":"Glob Change Biol","language":"en","page":"4081-4091","source":"DOI.org (Crossref)","title":"Diverging phenological responses of Arctic seabirds to an earlier spring","volume":"25","author":[{"family":"Descamps","given":"Sébastien"},{"family":"Ramírez","given":"Francisco"},{"family":"Benjaminsen","given":"Sigurd"},{"family":"Anker‐Nilssen","given":"Tycho"},{"family":"Barrett","given":"Robert T."},{"family":"Burr","given":"Zofia"},{"family":"Christensen‐Dalsgaard","given":"Signe"},{"family":"Erikstad","given":"Kjell‐Einar"},{"family":"Irons","given":"David B."},{"family":"Lorentsen","given":"Svein‐Håkon"},{"family":"Mallory","given":"Mark L."},{"family":"Robertson","given":"Gregory J."},{"family":"Reiertsen","given":"Tone Kirstin"},{"family":"Strøm","given":"Hallvard"},{"family":"Varpe","given":"Øystein"},{"family":"Lavergne","given":"Sébastien"}],"issued":{"date-parts":[["2019",12]]}}}],"schema":"https://github.com/citation-style-language/schema/raw/master/csl-citation.json"} </w:instrText>
      </w:r>
      <w:r w:rsidR="001156C1" w:rsidRPr="006F1F4B">
        <w:fldChar w:fldCharType="separate"/>
      </w:r>
      <w:r w:rsidR="00A70399" w:rsidRPr="00A70399">
        <w:t>(Lameris et al. 2017; Descamps et al. 2019)</w:t>
      </w:r>
      <w:r w:rsidR="001156C1" w:rsidRPr="006F1F4B">
        <w:fldChar w:fldCharType="end"/>
      </w:r>
      <w:r w:rsidR="424D7F97" w:rsidRPr="006F1F4B">
        <w:t>, marine mammals</w:t>
      </w:r>
      <w:r w:rsidR="38F8F023" w:rsidRPr="006F1F4B">
        <w:t xml:space="preserve"> </w:t>
      </w:r>
      <w:r w:rsidR="001156C1" w:rsidRPr="006F1F4B">
        <w:fldChar w:fldCharType="begin"/>
      </w:r>
      <w:r w:rsidR="001156C1" w:rsidRPr="006F1F4B">
        <w:instrText xml:space="preserve"> ADDIN ZOTERO_ITEM CSL_CITATION {"citationID":"4yxVzQNf","properties":{"formattedCitation":"(Heide-J\\uc0\\u248{}rgensen et al. 2002; Harwood et al. 2012)","plainCitation":"(Heide-Jørgensen et al. 2002; Harwood et al. 2012)","noteIndex":0},"citationItems":[{"id":2199,"uris":["http://zotero.org/users/6698532/items/8NTHDITU"],"itemData":{"id":2199,"type":"article-journal","abstract":"Seven narwhals (Monodon monoceros) were instrumented with satellite transmitters in Tremblay Sound, northeast Canada in August 1999. The whales were tracked for 5-218 days with positions received until 17 March 2000. All whales stayed in the fjord system where they were tagged until the end of August. Three whales went northwest visiting adjacent fjords before moving south, together with the three other whales, along the east coast of Baffin Island. The narwhals arrived on the wintering ground in northern Davis Strait in late October. Speed and range of movements declined once the wintering ground was reached. Dive depths increased from summer to autumn, and reached at least 1,500 m. Late summer and winter kernel home ranges were approximately 3,400 km^sup 2^ and 12,000 km^sup 2^, respectively. The relative abundance of whales on the wintering ground was 936 narwhals. Assuming that the home range defines the winter distribution of the stock, an estimated 5,348 narwhals (corrected for perception and availability bias) were present in this area.[PUBLICATION ABSTRACT]","container-title":"Polar Biology","DOI":"http://dx.doi.org.unh.idm.oclc.org/10.1007/s00300-001-0347-6","ISSN":"0722-4060","issue":"5","language":"English","license":"Springer-Verlag 2002","page":"331-341","source":"ProQuest","title":"Autumn movements, home ranges, and winter density of narwhals (&lt;i&gt;Monodon monoceros&lt;/i&gt;) tagged in Tremblay Sound, Baffin Island","volume":"25","author":[{"family":"Heide-Jørgensen","given":"M. M."},{"family":"Dietz","given":"R. R."},{"family":"Laidre","given":"K. K."},{"family":"Richard","given":"P. P."}],"issued":{"date-parts":[["2002",5]]}}},{"id":2293,"uris":["http://zotero.org/users/6698532/items/8DCQUG27"],"itemData":{"id":2293,"type":"article-journal","container-title":"ARCTIC","DOI":"10.14430/arctic4163","ISSN":"1923-1245","issue":"1","journalAbbreviation":"ARCTIC","language":"en","license":"Copyright (c)","note":"number: 1","page":"35–44-35–44","source":"journalhosting.ucalgary.ca","title":"Fall Migration of Ringed Seals (&lt;i&gt;Phoca hispida&lt;/i&gt;) through the Beaufort and Chukchi Seas, 2001–02","volume":"65","author":[{"family":"Harwood","given":"Lois A."},{"family":"Smith","given":"Thomas G."},{"family":"Auld","given":"James C."}],"issued":{"date-parts":[["2012",3,17]]}}}],"schema":"https://github.com/citation-style-language/schema/raw/master/csl-citation.json"} </w:instrText>
      </w:r>
      <w:r w:rsidR="001156C1" w:rsidRPr="006F1F4B">
        <w:fldChar w:fldCharType="separate"/>
      </w:r>
      <w:r w:rsidR="00A70399" w:rsidRPr="00A70399">
        <w:rPr>
          <w:szCs w:val="24"/>
        </w:rPr>
        <w:t>(Heide-Jørgensen et al. 2002; Harwood et al. 2012)</w:t>
      </w:r>
      <w:r w:rsidR="001156C1" w:rsidRPr="006F1F4B">
        <w:fldChar w:fldCharType="end"/>
      </w:r>
      <w:r w:rsidR="38F8F023" w:rsidRPr="006F1F4B">
        <w:t>,</w:t>
      </w:r>
      <w:r w:rsidR="72744616" w:rsidRPr="006F1F4B">
        <w:t xml:space="preserve"> </w:t>
      </w:r>
      <w:r w:rsidR="49D267BB" w:rsidRPr="006F1F4B">
        <w:t>and anadromous fishes</w:t>
      </w:r>
      <w:r w:rsidR="007C38E3" w:rsidRPr="006F1F4B">
        <w:t xml:space="preserve"> </w:t>
      </w:r>
      <w:r w:rsidR="007C38E3" w:rsidRPr="006F1F4B">
        <w:fldChar w:fldCharType="begin"/>
      </w:r>
      <w:r w:rsidR="007C38E3" w:rsidRPr="006F1F4B">
        <w:instrText xml:space="preserve"> ADDIN ZOTERO_ITEM CSL_CITATION {"citationID":"qYYRbYvl","properties":{"formattedCitation":"(Harwood and Babaluk 2014; Hammer et al. 2022)","plainCitation":"(Harwood and Babaluk 2014; Hammer et al. 2022)","noteIndex":0},"citationItems":[{"id":1602,"uris":["http://zotero.org/users/6698532/items/CRJ3APFA"],"itemData":{"id":1602,"type":"article-journal","abstract":"© Her Majesty the Queen in Right of Canada. Administered by the Arctic Institute of North America. Radio telemetry and t-bar tagging were used to locate sites used by Hornaday River Arctic char (Salvelinus alpinus) for overwintering, spawning, and summer feeding. Thirty char, 21 in August 1995 and nine in July and August 1999, were captured, radio-tagged, and released back into the Hornaday River. Tracking was done over 14 months in 1995-96 and over three months in 1999, using either aircraft (10 flights) or snowmobiles traveling on the river ice in winter (7 trips). Of 12 radio-tagged char that were relocated during winter 1995-96 and not caught in the 1995 upstream migration fall fishery, 11 (92%) ultimately overwintered in the reach of the Hornaday between Coalmine and Akluk Creek; three of these did so in consecutive years. This area is characterized by groundwater inputs and deep pools ( &gt;  2 m) that do not freeze to the riverbed in winter. Another important overwintering site was found in a similarly deep channel on the west side of the Hornaday River estuary, where half of the char radio-tagged in fall 1999 spent the winter of 1999-2000. Spawning locations were discerned through circumstantial evidence from the movements of three radio-tagged fish over entire annual cycles. The locations that were indicated as spawning habitat were all in the main stem of the Hornaday River, in deep ( &gt;  2 m), groundwater-fed pools between Coalmine and Akluk Creek. Fourteen percent of 239 char t-bar tagged at Pearce Point in July-August 1997 were caught at the mouth of the Hornaday River, on average within 25 days of tagging, which indicates that the nearshore area of Pearce Point, characterized by upwelling and enhanced productivity, is an important summer feeding area for this stock. This identification of overwintering, spawning, and summer feeding habitats contributes to an emerging list of areas for which it would be prudent to monitor habitat quality, change, and integrity given contemporary changes in climate and the potential for near-future anthropogenic activities in this watershed.","container-title":"Arctic","DOI":"10.14430/arctic4422","issue":"4","note":"publisher: Arctic Institute of North America","page":"449-461","title":"Spawning, overwintering and summer feeding habitats used by anadromous Arctic char (&lt;i&gt;Salvelinus alpinus&lt;/i&gt;) of the Hornaday River, Northwest Territories, Canada","volume":"67","author":[{"family":"Harwood","given":"Lois A."},{"family":"Babaluk","given":"John A."}],"issued":{"date-parts":[["2014",12]]}}},{"id":2577,"uris":["http://zotero.org/users/6698532/items/C2KTA335"],"itemData":{"id":2577,"type":"article-journal","abstract":"Arctic waters are warming rapidly due to climate change, which is altering the timing of seasonal sea ice dynamics. Summer ice breakup provides a critical productivity bloom that consumers depend on. Arctic char Salvelinus alpinus undertake seasonal migrations to marine waters presumably to exploit this prey pulse. However, specific migratory timing and residency of char relative to breakup is largely unknown. To investigate char movement, individuals were tagged with acoustic transmitters in 2017 (n = 58) and 2018 (n = 52) within Tremblay Sound, Nunavut, Canada, resulting in 625 482 detections. Generalized linear models were used to relate multiple movement metrics to ice conditions as well as biological and temporal factors. Char exhibited multiple migratory patterns (chronologies), by which fish either migrated to/from rivers within Tremblay Sound (n = 67), rivers in external systems (n = 35), or a combination of both (n = 8). Fish that migrated exclusively from external systems were longer (~14 cm) than fish exhibiting other chronologies. Migration timing was related to chronology and preempted the specific ice-off date. Fish migrating from rivers within Tremblay Sound entered the marine environment ~7.5 d before the start of ice-off, while external migrants entered ~21 d after ice-off start. Differing migratory chronologies highlight the complexity of char migrations and may indicate the presence of subpopulations or potential ontogenetic shifts in migration behavior. Our study underscores the importance of the brief ice-free season, with potential implications for climate change resilience and management of this important resource in a changing Arctic.","container-title":"Marine Ecology Progress Series","DOI":"10.3354/meps13939","ISSN":"0171-8630, 1616-1599","journalAbbreviation":"Mar. Ecol. Prog. Ser.","language":"en","page":"221-236","source":"DOI.org (Crossref)","title":"Arctic char (Salvelinus alpinus) movement dynamics relative to ice breakup in a high Arctic embayment","volume":"682","author":[{"family":"Hammer","given":"Lj"},{"family":"Hussey","given":"Ne"},{"family":"Marcoux","given":"Mm"},{"family":"Pettitt-Wade","given":"H"},{"family":"Hedges","given":"K"},{"family":"Tallman","given":"R"},{"family":"Furey","given":"Nb"}],"issued":{"date-parts":[["2022"]]}}}],"schema":"https://github.com/citation-style-language/schema/raw/master/csl-citation.json"} </w:instrText>
      </w:r>
      <w:r w:rsidR="007C38E3" w:rsidRPr="006F1F4B">
        <w:fldChar w:fldCharType="separate"/>
      </w:r>
      <w:r w:rsidR="00A70399" w:rsidRPr="00A70399">
        <w:t>(Harwood and Babaluk 2014; Hammer et al. 2022)</w:t>
      </w:r>
      <w:r w:rsidR="007C38E3" w:rsidRPr="006F1F4B">
        <w:fldChar w:fldCharType="end"/>
      </w:r>
      <w:r w:rsidR="49D267BB" w:rsidRPr="006F1F4B">
        <w:t xml:space="preserve">. </w:t>
      </w:r>
      <w:r w:rsidR="18190A7D" w:rsidRPr="006F1F4B">
        <w:t xml:space="preserve">These species generally arrive at the start of ice </w:t>
      </w:r>
      <w:bookmarkStart w:id="3" w:name="_Int_e5hk767Q"/>
      <w:r w:rsidR="18190A7D" w:rsidRPr="006F1F4B">
        <w:t>melt</w:t>
      </w:r>
      <w:bookmarkEnd w:id="3"/>
      <w:r w:rsidR="00602A59">
        <w:t xml:space="preserve"> to </w:t>
      </w:r>
      <w:r w:rsidR="00AF5D51">
        <w:t>exploit pulses in productivity</w:t>
      </w:r>
      <w:r w:rsidR="1FAC2917" w:rsidRPr="006F1F4B">
        <w:t xml:space="preserve"> and </w:t>
      </w:r>
      <w:bookmarkStart w:id="4" w:name="_Int_Gp8o7NrW"/>
      <w:r w:rsidR="1FAC2917" w:rsidRPr="006F1F4B">
        <w:t>depart</w:t>
      </w:r>
      <w:bookmarkEnd w:id="4"/>
      <w:r w:rsidR="1FAC2917" w:rsidRPr="006F1F4B">
        <w:t xml:space="preserve"> before the transition back to ice cover</w:t>
      </w:r>
      <w:r w:rsidR="00AF5D51">
        <w:t xml:space="preserve"> when conditions are harshest</w:t>
      </w:r>
      <w:r w:rsidR="4189C4F8" w:rsidRPr="006F1F4B">
        <w:t xml:space="preserve"> </w:t>
      </w:r>
      <w:r w:rsidR="007C38E3" w:rsidRPr="006F1F4B">
        <w:fldChar w:fldCharType="begin"/>
      </w:r>
      <w:r w:rsidR="007C38E3" w:rsidRPr="006F1F4B">
        <w:instrText xml:space="preserve"> ADDIN ZOTERO_ITEM CSL_CITATION {"citationID":"tp6eSXhU","properties":{"formattedCitation":"(Edwards et al. 2022)","plainCitation":"(Edwards et al. 2022)","noteIndex":0},"citationItems":[{"id":3081,"uris":["http://zotero.org/users/6698532/items/IN6IEMHM"],"itemData":{"id":3081,"type":"article-journal","abstract":"Variable movement strategies can complicate the conservation and management of mobile species. Given its extreme life history traits as a long-lived, deep-water species, the Greenland shark (\n              Somniosus microcephalus\n              ) is vulnerable to fisheries bycatch, but little is known over its long-term movements across a spatially and seasonally variable Arctic environment. To address this knowledge gap, the movements of Greenland sharks in coastal fjords and offshore waters of Baffin Bay were examined using seven years of acoustic telemetry data. Seasonal patterns in broad-scale movements and inshore-offshore connectivity were compared among 155 sharks (101 males, 54 females [mean LT = 2.65 ± 0.48 m, range 0.93-3.5 m]) tagged in 6 discrete coastal locations spanning from Grise Fiord to Cumberland Sound (Nunavut). Sharks exhibited transient movements throughout coastal and offshore regions with some evidence of seasonally recurring hotspots revealed by repeat detections of individuals at sites over multiple years. Shark presence in coastal fjords occurred exclusively during the coastal ice-free period (July to November), regardless of the location of tagging or detection, while presence in the offshore was recorded during the period of ice re-formation and cover (November to July). Through multi-year telemetry, it was possible to reveal repetitive patterns in broad-scale habitat use for a complex marine predator with direct relevance for understanding the seasonal distribution of mobile Arctic consumers and informing regional fisheries management.","container-title":"Frontiers in Marine Science","DOI":"10.3389/fmars.2022.902854","ISSN":"2296-7745","journalAbbreviation":"Front. Mar. Sci.","language":"en","page":"902854","source":"DOI.org (Crossref)","title":"Multi-year acoustic tracking reveals transient movements, recurring hotspots, and apparent seasonality in the coastal-offshore presence of Greenland sharks (Somniosus microcephalus)","volume":"9","author":[{"family":"Edwards","given":"Jena E."},{"family":"Hedges","given":"Kevin J."},{"family":"Kessel","given":"Steven T."},{"family":"Hussey","given":"Nigel E."}],"issued":{"date-parts":[["2022",9,21]]}}}],"schema":"https://github.com/citation-style-language/schema/raw/master/csl-citation.json"} </w:instrText>
      </w:r>
      <w:r w:rsidR="007C38E3" w:rsidRPr="006F1F4B">
        <w:fldChar w:fldCharType="separate"/>
      </w:r>
      <w:r w:rsidR="00A70399" w:rsidRPr="00A70399">
        <w:t>(Edwards et al. 2022)</w:t>
      </w:r>
      <w:r w:rsidR="007C38E3" w:rsidRPr="006F1F4B">
        <w:fldChar w:fldCharType="end"/>
      </w:r>
      <w:r w:rsidR="4189C4F8" w:rsidRPr="006F1F4B">
        <w:t xml:space="preserve">. </w:t>
      </w:r>
      <w:r w:rsidR="5ACFB9F2" w:rsidRPr="006F1F4B">
        <w:t>In contrast to migratory animals, Arctic resident species</w:t>
      </w:r>
      <w:r w:rsidR="02A6F69C" w:rsidRPr="006F1F4B">
        <w:t xml:space="preserve"> remain in these habitats year-round.</w:t>
      </w:r>
      <w:r w:rsidR="6C228F66" w:rsidRPr="006F1F4B">
        <w:t xml:space="preserve"> To live in these harsh environments continuously requires </w:t>
      </w:r>
      <w:r w:rsidR="0086121D">
        <w:t xml:space="preserve">residents exhibit </w:t>
      </w:r>
      <w:r w:rsidR="6C228F66" w:rsidRPr="006F1F4B">
        <w:t>specific adaptations</w:t>
      </w:r>
      <w:r w:rsidR="22ABCE26" w:rsidRPr="006F1F4B">
        <w:t xml:space="preserve"> to changing conditions</w:t>
      </w:r>
      <w:r w:rsidR="00B63376">
        <w:t xml:space="preserve"> </w:t>
      </w:r>
      <w:r w:rsidR="0086121D">
        <w:t>through the tradeoff</w:t>
      </w:r>
      <w:r w:rsidR="00AA637F">
        <w:t xml:space="preserve"> for reduced mobility costs being a usage of </w:t>
      </w:r>
      <w:r w:rsidR="7DF96AD8" w:rsidRPr="006F1F4B">
        <w:t>physiological adaptations</w:t>
      </w:r>
      <w:r w:rsidR="306F362D" w:rsidRPr="006F1F4B">
        <w:t xml:space="preserve"> </w:t>
      </w:r>
      <w:r w:rsidR="001960A2" w:rsidRPr="006F1F4B">
        <w:fldChar w:fldCharType="begin"/>
      </w:r>
      <w:r w:rsidR="001960A2" w:rsidRPr="006F1F4B">
        <w:instrText xml:space="preserve"> ADDIN ZOTERO_ITEM CSL_CITATION {"citationID":"lHu13ofA","properties":{"formattedCitation":"(Harwood and Babaluk 2014; Baumgartner and Tarrant 2017)","plainCitation":"(Harwood and Babaluk 2014; Baumgartner and Tarrant 2017)","noteIndex":0},"citationItems":[{"id":1602,"uris":["http://zotero.org/users/6698532/items/CRJ3APFA"],"itemData":{"id":1602,"type":"article-journal","abstract":"© Her Majesty the Queen in Right of Canada. Administered by the Arctic Institute of North America. Radio telemetry and t-bar tagging were used to locate sites used by Hornaday River Arctic char (Salvelinus alpinus) for overwintering, spawning, and summer feeding. Thirty char, 21 in August 1995 and nine in July and August 1999, were captured, radio-tagged, and released back into the Hornaday River. Tracking was done over 14 months in 1995-96 and over three months in 1999, using either aircraft (10 flights) or snowmobiles traveling on the river ice in winter (7 trips). Of 12 radio-tagged char that were relocated during winter 1995-96 and not caught in the 1995 upstream migration fall fishery, 11 (92%) ultimately overwintered in the reach of the Hornaday between Coalmine and Akluk Creek; three of these did so in consecutive years. This area is characterized by groundwater inputs and deep pools ( &gt;  2 m) that do not freeze to the riverbed in winter. Another important overwintering site was found in a similarly deep channel on the west side of the Hornaday River estuary, where half of the char radio-tagged in fall 1999 spent the winter of 1999-2000. Spawning locations were discerned through circumstantial evidence from the movements of three radio-tagged fish over entire annual cycles. The locations that were indicated as spawning habitat were all in the main stem of the Hornaday River, in deep ( &gt;  2 m), groundwater-fed pools between Coalmine and Akluk Creek. Fourteen percent of 239 char t-bar tagged at Pearce Point in July-August 1997 were caught at the mouth of the Hornaday River, on average within 25 days of tagging, which indicates that the nearshore area of Pearce Point, characterized by upwelling and enhanced productivity, is an important summer feeding area for this stock. This identification of overwintering, spawning, and summer feeding habitats contributes to an emerging list of areas for which it would be prudent to monitor habitat quality, change, and integrity given contemporary changes in climate and the potential for near-future anthropogenic activities in this watershed.","container-title":"Arctic","DOI":"10.14430/arctic4422","issue":"4","note":"publisher: Arctic Institute of North America","page":"449-461","title":"Spawning, overwintering and summer feeding habitats used by anadromous Arctic char (&lt;i&gt;Salvelinus alpinus&lt;/i&gt;) of the Hornaday River, Northwest Territories, Canada","volume":"67","author":[{"family":"Harwood","given":"Lois A."},{"family":"Babaluk","given":"John A."}],"issued":{"date-parts":[["2014",12]]}}},{"id":750,"uris":["http://zotero.org/users/6698532/items/32YTQR8C"],"itemData":{"id":750,"type":"article-journal","abstract":"Diapause is a type of dormancy that requires preparation, typically precedes the onset of unfavorable conditions, and necessitates a period of arrest before development can proceed. Two ecologically important groups of copepods have incorporated diapausing stages into their life histories. In freshwater, estuarine, and coastal environments, species within the Centropagoidea superfamily can produce resting eggs containing embryos that may be quiescent, diapausing, or in some intermediate state. Resting eggs sink into the sediments, remain viable over months to years, and form a reservoir from which the planktonic population is reestablished. In coastal and oceanic environments, copepods within the Calanidae and Eucalanidae families can enter diapause during late juvenile (copepodid) or adult stages. These copepods accumulate large amounts of lipids before they migrate into deep water and diapause for several months. Through respiration, diapausing copepods may sequester more carbon in the deep ocean than any other biogeochemical process, and changes in diapause phenology associated with climate change (particularly reduction in diapause duration) could have a significant impact not only on regional ecosystems, but on global climate as well.","container-title":"Annual Review of Marine Science","DOI":"10.1146/annurev-marine-010816-060505","issue":"1","page":"387-411","title":"The Physiology and Ecology of Diapause in Marine Copepods","volume":"9","author":[{"family":"Baumgartner","given":"Mark F."},{"family":"Tarrant","given":"Ann M."}],"issued":{"date-parts":[["2017"]]}}}],"schema":"https://github.com/citation-style-language/schema/raw/master/csl-citation.json"} </w:instrText>
      </w:r>
      <w:r w:rsidR="001960A2" w:rsidRPr="006F1F4B">
        <w:fldChar w:fldCharType="separate"/>
      </w:r>
      <w:r w:rsidR="00A70399" w:rsidRPr="00A70399">
        <w:t>(Harwood and Babaluk 2014; Baumgartner and Tarrant 2017)</w:t>
      </w:r>
      <w:r w:rsidR="001960A2" w:rsidRPr="006F1F4B">
        <w:fldChar w:fldCharType="end"/>
      </w:r>
      <w:r w:rsidR="178E1BF2" w:rsidRPr="006F1F4B">
        <w:t xml:space="preserve"> or</w:t>
      </w:r>
      <w:r w:rsidR="7DF96AD8" w:rsidRPr="006F1F4B">
        <w:t xml:space="preserve"> lipid storage</w:t>
      </w:r>
      <w:r w:rsidR="006107CB" w:rsidRPr="006F1F4B">
        <w:t xml:space="preserve"> </w:t>
      </w:r>
      <w:r w:rsidR="006107CB" w:rsidRPr="006F1F4B">
        <w:fldChar w:fldCharType="begin"/>
      </w:r>
      <w:r w:rsidR="006107CB" w:rsidRPr="006F1F4B">
        <w:instrText xml:space="preserve"> ADDIN ZOTERO_ITEM CSL_CITATION {"citationID":"M2L5MSpr","properties":{"formattedCitation":"(Biro et al. 2004)","plainCitation":"(Biro et al. 2004)","noteIndex":0},"citationItems":[{"id":1059,"uris":["http://zotero.org/users/6698532/items/YDCXQN2C"],"itemData":{"id":1059,"type":"article-journal","abstract":"In this study we identify the size-dependent risk of winter starvation mortality as a strong selective pressure on age-0 rainbow trout (Oncorhynchus mykiss) that could promote the risk-taking behaviour and allocation of energy to lipids previously observed in young trout cohorts. Age-0 trout subjected to simulated winter starvation conditions gradually depleted lipid reserves to a critical minimum lipid content below which death occurred. Small fish with lower lipid content exhausted lipid reserves earlier, and experienced high mortality rates sooner, than larger fish with greater lipid content. Consequently, winter starvation endurance was dependent upon size-dependent lipid reserves and winter duration. To validate the laboratory findings in the field, we stocked several size classes of hatchery-raised trout with known lipid content at the start of winter into two experimental lakes, and estimated survival and lipid depletion at winter's end. Larger age-0 trout had greater initial lipid reserves than smaller trout. Individuals depleted most of their lipid reserves over the winter, and experienced mortality that ranged from just under 60% for the largest individuals to just over 90% of the smallest individuals. Many survivors had lipid contents near, but none were below, the minimum lipid content determined in the laboratory.","container-title":"Canadian Journal of Fisheries and Aquatic Sciences","DOI":"10.1139/F04-083","issue":"8","page":"1513-1519","title":"Over-winter lipid depletion and mortality of age-0 rainbow trout (&lt;i&gt;Oncorhynchus mykiss&lt;/i&gt;)","volume":"61","author":[{"family":"Biro","given":"Peter A."},{"family":"Morton","given":"Ashley E."},{"family":"Post","given":"John R."},{"family":"Parkinson","given":"Eric A."}],"issued":{"date-parts":[["2004"]]}}}],"schema":"https://github.com/citation-style-language/schema/raw/master/csl-citation.json"} </w:instrText>
      </w:r>
      <w:r w:rsidR="006107CB" w:rsidRPr="006F1F4B">
        <w:fldChar w:fldCharType="separate"/>
      </w:r>
      <w:r w:rsidR="00A70399" w:rsidRPr="00A70399">
        <w:t>(Biro et al. 2004)</w:t>
      </w:r>
      <w:r w:rsidR="006107CB" w:rsidRPr="006F1F4B">
        <w:fldChar w:fldCharType="end"/>
      </w:r>
      <w:r w:rsidR="2557FB0B" w:rsidRPr="006F1F4B">
        <w:t xml:space="preserve">. </w:t>
      </w:r>
      <w:r w:rsidR="2E857200" w:rsidRPr="006F1F4B">
        <w:t>In Arctic systems both resident and migratory species take</w:t>
      </w:r>
      <w:r w:rsidR="3AA1CE1E" w:rsidRPr="006F1F4B">
        <w:t xml:space="preserve"> advantage of resource pulses to varying degrees, likely based on their life history</w:t>
      </w:r>
      <w:r w:rsidR="1804E616" w:rsidRPr="006F1F4B">
        <w:t xml:space="preserve"> requirements and capacity for feeding.</w:t>
      </w:r>
    </w:p>
    <w:p w14:paraId="244EC27E" w14:textId="69BE8464" w:rsidR="3EB96F5E" w:rsidRPr="006F1F4B" w:rsidRDefault="005D099C" w:rsidP="00D13D88">
      <w:r w:rsidRPr="006F1F4B">
        <w:tab/>
        <w:t xml:space="preserve">Migratory and resident organisms </w:t>
      </w:r>
      <w:r w:rsidR="00BD54C1" w:rsidRPr="006F1F4B">
        <w:t>possess</w:t>
      </w:r>
      <w:r w:rsidR="787A4CF2" w:rsidRPr="006F1F4B">
        <w:t xml:space="preserve"> different</w:t>
      </w:r>
      <w:r w:rsidR="00BD54C1" w:rsidRPr="006F1F4B">
        <w:t xml:space="preserve"> anatomical features, physiological capabilities, and </w:t>
      </w:r>
      <w:r w:rsidR="00AA3DC3" w:rsidRPr="006F1F4B">
        <w:t>behavioral characteristics</w:t>
      </w:r>
      <w:r w:rsidR="00356006" w:rsidRPr="006F1F4B">
        <w:t xml:space="preserve">. Among the most visible differences between </w:t>
      </w:r>
      <w:r w:rsidR="00DB2148" w:rsidRPr="006F1F4B">
        <w:t xml:space="preserve">migratory species and their resident counterparts is in the standard of mobility, namely that migratory species </w:t>
      </w:r>
      <w:r w:rsidR="00DB2148" w:rsidRPr="006F1F4B">
        <w:lastRenderedPageBreak/>
        <w:t xml:space="preserve">possess a capacity for </w:t>
      </w:r>
      <w:r w:rsidR="0062474E">
        <w:t>persistent</w:t>
      </w:r>
      <w:r w:rsidR="00DB2148" w:rsidRPr="006F1F4B">
        <w:t xml:space="preserve">, </w:t>
      </w:r>
      <w:r w:rsidR="0062474E">
        <w:t>directed</w:t>
      </w:r>
      <w:r w:rsidR="00DB2148" w:rsidRPr="006F1F4B">
        <w:t xml:space="preserve"> movement</w:t>
      </w:r>
      <w:r w:rsidR="0062474E">
        <w:t>s</w:t>
      </w:r>
      <w:r w:rsidR="00A516C9" w:rsidRPr="006F1F4B">
        <w:t xml:space="preserve"> </w:t>
      </w:r>
      <w:r w:rsidR="006F0197" w:rsidRPr="006F1F4B">
        <w:t>which</w:t>
      </w:r>
      <w:r w:rsidR="00087914" w:rsidRPr="006F1F4B">
        <w:t xml:space="preserve"> </w:t>
      </w:r>
      <w:r w:rsidR="0062474E">
        <w:t>define</w:t>
      </w:r>
      <w:r w:rsidR="00087914" w:rsidRPr="006F1F4B">
        <w:t xml:space="preserve"> migration</w:t>
      </w:r>
      <w:r w:rsidR="0062474E">
        <w:t xml:space="preserve"> </w:t>
      </w:r>
      <w:r w:rsidR="0062474E">
        <w:fldChar w:fldCharType="begin"/>
      </w:r>
      <w:r w:rsidR="0062474E">
        <w:instrText xml:space="preserve"> ADDIN ZOTERO_ITEM CSL_CITATION {"citationID":"nozpchPs","properties":{"formattedCitation":"(Bauer and Hoye 2014)","plainCitation":"(Bauer and Hoye 2014)","noteIndex":0},"citationItems":[{"id":1943,"uris":["http://zotero.org/users/6698532/items/CQIUP8ZM"],"itemData":{"id":1943,"type":"article-journal","abstract":"Animal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migrations.","container-title":"Science","DOI":"10.1126/science.1242552","ISSN":"0036-8075, 1095-9203","issue":"6179","journalAbbreviation":"Science","language":"en","page":"1242552","source":"DOI.org (Crossref)","title":"Migratory Animals Couple Biodiversity and Ecosystem Functioning Worldwide","volume":"344","author":[{"family":"Bauer","given":"S."},{"family":"Hoye","given":"B. J."}],"issued":{"date-parts":[["2014",4,4]]}}}],"schema":"https://github.com/citation-style-language/schema/raw/master/csl-citation.json"} </w:instrText>
      </w:r>
      <w:r w:rsidR="0062474E">
        <w:fldChar w:fldCharType="separate"/>
      </w:r>
      <w:r w:rsidR="00A70399" w:rsidRPr="00A70399">
        <w:t>(Bauer and Hoye 2014)</w:t>
      </w:r>
      <w:r w:rsidR="0062474E">
        <w:fldChar w:fldCharType="end"/>
      </w:r>
      <w:r w:rsidR="00087914" w:rsidRPr="006F1F4B">
        <w:t xml:space="preserve">. </w:t>
      </w:r>
      <w:r w:rsidR="00F0773A" w:rsidRPr="006F1F4B">
        <w:t>While residen</w:t>
      </w:r>
      <w:r w:rsidR="00601750">
        <w:t>ts</w:t>
      </w:r>
      <w:r w:rsidR="00F0773A" w:rsidRPr="006F1F4B">
        <w:t xml:space="preserve"> can stil</w:t>
      </w:r>
      <w:r w:rsidR="00571610" w:rsidRPr="006F1F4B">
        <w:t xml:space="preserve">l </w:t>
      </w:r>
      <w:r w:rsidR="00181E4B">
        <w:t xml:space="preserve">exhibit high mobility within a single area </w:t>
      </w:r>
      <w:r w:rsidR="00857353">
        <w:fldChar w:fldCharType="begin"/>
      </w:r>
      <w:r w:rsidR="00857353">
        <w:instrText xml:space="preserve"> ADDIN ZOTERO_ITEM CSL_CITATION {"citationID":"QieTLqY9","properties":{"formattedCitation":"(Becker et al. 2020)","plainCitation":"(Becker et al. 2020)","noteIndex":0},"citationItems":[{"id":210,"uris":["http://zotero.org/users/6698532/items/3PIX6FI8"],"itemData":{"id":210,"type":"article-journal","abstract":"Great barracuda (Sphyraena barracuda) are a high trophic level predator that uses a wide variety of habitats globally throughout tropical and subtropical waters. Despite the important top-down pressure this species likely exerts on fish communities within its foraging territories, the specifics of spatial ecology remain relatively unknown. This study tracked 17 great barracuda throughout Buck Island Reef National Monument, a marine-protected area located in St. Croix, U.S. Virgin Islands (17.786944° N, − 64.620556° W) from July 2014 to May 2016. Broad- and fine-scale acoustic telemetry was used to examine individual variability and study population patterns in residency, site fidelity, territoriality, and complexity of spatial use within home ranges. Network analysis of broad-scale data revealed spatial and temporal differentiation among the population in location of core use areas and showed that these areas contained multiple unique receiver groups or communities, a product of spatial or temporal variation within core activity spaces. Results from the fine-scale positioning system reinforced spatial and temporal partitioning in core use areas between individuals, indicating territorial behaviors, and showed evidence for both resident and transient movements. Preliminary fine-scale analysis also suggested diel variation in location of activity spaces. Although ubiquitous throughout all shallow water habitats, detection patterns for the study population appear to be influenced by high residency, territoriality, spatial partitioning, and diel variation. Understanding the complexities of individual space use is fundamental to ecologically founded and effective area-based spatial management frameworks at community scales.","container-title":"Environmental Biology of Fishes","DOI":"10.1007/s10641-019-00930-2","issue":"1","note":"publisher: Environmental Biology of Fishes","page":"13-29","title":"Coarse- and fine-scale acoustic telemetry elucidates movement patterns and temporal variability in individual territories for a key coastal mesopredator","volume":"103","author":[{"family":"Becker","given":"Sarah L."},{"family":"Finn","given":"John T."},{"family":"Novak","given":"Ashleigh J."},{"family":"Danylchuk","given":"Andy J."},{"family":"Pollock","given":"Clayton G."},{"family":"Hillis-Starr","given":"Zandy"},{"family":"Lundgren","given":"Ian"},{"family":"Jordaan","given":"Adrian"}],"issued":{"date-parts":[["2020"]]}}}],"schema":"https://github.com/citation-style-language/schema/raw/master/csl-citation.json"} </w:instrText>
      </w:r>
      <w:r w:rsidR="00857353">
        <w:fldChar w:fldCharType="separate"/>
      </w:r>
      <w:r w:rsidR="00A70399" w:rsidRPr="00A70399">
        <w:t>(Becker et al. 2020)</w:t>
      </w:r>
      <w:r w:rsidR="00857353">
        <w:fldChar w:fldCharType="end"/>
      </w:r>
      <w:r w:rsidR="00A90FFC" w:rsidRPr="006F1F4B">
        <w:t xml:space="preserve"> and some migrants ar</w:t>
      </w:r>
      <w:r w:rsidR="00DB26E2">
        <w:t xml:space="preserve">e famously slow-moving </w:t>
      </w:r>
      <w:r w:rsidR="00DB26E2">
        <w:fldChar w:fldCharType="begin"/>
      </w:r>
      <w:r w:rsidR="00DB26E2">
        <w:instrText xml:space="preserve"> ADDIN ZOTERO_ITEM CSL_CITATION {"citationID":"ZaYAq09q","properties":{"formattedCitation":"(Blake et al. 2013)","plainCitation":"(Blake et al. 2013)","noteIndex":0},"citationItems":[{"id":4026,"uris":["http://zotero.org/users/6698532/items/2NPKFQ7Z"],"itemData":{"id":4026,"type":"article-journal","abstract":"Seasonal migration has evolved in many taxa as a response to predictable spatial and temporal variation in the environment. Individual traits, physiology and social state interact with environmental factors to increase the complexity of migratory systems. Despite a huge body of research, the ultimate causes of migration remain unclear. A relatively simple, tractable system – giant tortoises on Santa Cruz Island, Galapagos, was studied to elucidate the roles of environmental variation and individual traits in a partial migratory system. Specifically, we asked: (i) do Galapagos tortoises undergo long-distance seasonal migrations? (ii) is tortoise migration ultimately driven by gradients in forage quality or temperature; and (iii) how do sex and body size influence migration patterns? We recorded the daily locations of 17 GPS-tagged tortoises and walked a monthly survey along the altitudinal gradient to characterize the movements and distribution of tortoises of different sizes and sexes. Monthly temperature and rainfall data were obtained from weather stations deployed at various altitudes, and the Normalized Difference Vegetation Index was used as a proxy for forage quality. Analyses using net displacement or daily movement characteristics did not agree on assigning individuals as either migratory or non-migratory; however, both methods suggested that some individuals were migratory. Adult tortoises of both sexes move up and down an altitudinal gradient in response to changes in vegetation dynamics, not temperature. The largest tagged individuals all moved, whereas only some mid-sized individuals moved, and the smallest individuals never left lowland areas. The timing of movements varied with body size: large individuals moved upward (as lowland forage quality declined) earlier in the year than did mid-sized individuals, while the timing of downward movements was unrelated to body size and occurred as lowland vegetation productivity peaked. Giant tortoises are unlikely candidates for forage-driven migration as they are well buffered against environmental fluctuations by large body size and a slow metabolism. Notably the largest, and presumably most dominant, individuals were most likely to migrate. This characteristic and the lack of sex-based differences in movement behaviour distinguish Galapagos tortoise movement from previously described partial migratory systems.","container-title":"Journal of Animal Ecology","DOI":"10.1111/1365-2656.12020","ISSN":"1365-2656","issue":"2","language":"en","note":"_eprint: https://besjournals.onlinelibrary.wiley.com/doi/pdf/10.1111/1365-2656.12020","page":"310-321","source":"Wiley Online Library","title":"Vegetation dynamics drive segregation by body size in Galapagos tortoises migrating across altitudinal gradients","volume":"82","author":[{"family":"Blake","given":"Stephen"},{"family":"Yackulic","given":"Charles B."},{"family":"Cabrera","given":"Fredy"},{"family":"Tapia","given":"Washington"},{"family":"Gibbs","given":"James P."},{"family":"Kümmeth","given":"Franz"},{"family":"Wikelski","given":"Martin"}],"issued":{"date-parts":[["2013"]]}}}],"schema":"https://github.com/citation-style-language/schema/raw/master/csl-citation.json"} </w:instrText>
      </w:r>
      <w:r w:rsidR="00DB26E2">
        <w:fldChar w:fldCharType="separate"/>
      </w:r>
      <w:r w:rsidR="00A70399" w:rsidRPr="00A70399">
        <w:t>(Blake et al. 2013)</w:t>
      </w:r>
      <w:r w:rsidR="00DB26E2">
        <w:fldChar w:fldCharType="end"/>
      </w:r>
      <w:r w:rsidR="00A90FFC" w:rsidRPr="006F1F4B">
        <w:t xml:space="preserve">, </w:t>
      </w:r>
      <w:r w:rsidR="00E92AB2" w:rsidRPr="006F1F4B">
        <w:t xml:space="preserve">the anatomical features </w:t>
      </w:r>
      <w:r w:rsidR="00A42D87" w:rsidRPr="006F1F4B">
        <w:t xml:space="preserve">which </w:t>
      </w:r>
      <w:r w:rsidR="002E710D">
        <w:t xml:space="preserve">influence </w:t>
      </w:r>
      <w:r w:rsidR="009116F8">
        <w:t xml:space="preserve">an organism’s migratory behavior </w:t>
      </w:r>
      <w:r w:rsidR="009B1164" w:rsidRPr="006F1F4B">
        <w:t xml:space="preserve">will similarly influence their </w:t>
      </w:r>
      <w:r w:rsidR="00965B18" w:rsidRPr="006F1F4B">
        <w:t xml:space="preserve">foraging. In </w:t>
      </w:r>
      <w:r w:rsidR="00966E03" w:rsidRPr="006F1F4B">
        <w:t>poikilothermic fishes, the scope of activity is influenced by water temperature</w:t>
      </w:r>
      <w:r w:rsidR="001C56B7" w:rsidRPr="006F1F4B">
        <w:t xml:space="preserve">, but a portion of that metabolism is dedicated to activity such as digestion </w:t>
      </w:r>
      <w:r w:rsidR="005453DF" w:rsidRPr="006F1F4B">
        <w:fldChar w:fldCharType="begin"/>
      </w:r>
      <w:r w:rsidR="005453DF" w:rsidRPr="006F1F4B">
        <w:instrText xml:space="preserve"> ADDIN ZOTERO_ITEM CSL_CITATION {"citationID":"yA8xrQwF","properties":{"formattedCitation":"(Clark et al. 2013)","plainCitation":"(Clark et al. 2013)","noteIndex":0},"citationItems":[{"id":428,"uris":["http://zotero.org/users/6698532/items/J8F2HCII"],"itemData":{"id":428,"type":"article-journal","abstract":"Measurements of aerobic scope [the difference between minimum and maximum oxygen consumption rate (MO2,min and MO2,max,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MO2,min, MO2,max and aerobic scope across species and under different experimental conditions. Additionally, we provide a brief critique of the oxygen- 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 © 2013. Published by The Company of Biologists Ltd.","container-title":"Journal of Experimental Biology","DOI":"10.1242/jeb.084251","issue":"15","page":"2771-2782","title":"Aerobic scope measurements of fishes in an era of climate change: Respirometry, relevance and recommendations","volume":"216","author":[{"family":"Clark","given":"Timothy D."},{"family":"Sandblom","given":"Erik"},{"family":"Jutfelt","given":"Fredrik"}],"issued":{"date-parts":[["2013"]]}}}],"schema":"https://github.com/citation-style-language/schema/raw/master/csl-citation.json"} </w:instrText>
      </w:r>
      <w:r w:rsidR="005453DF" w:rsidRPr="006F1F4B">
        <w:fldChar w:fldCharType="separate"/>
      </w:r>
      <w:r w:rsidR="00A70399" w:rsidRPr="00A70399">
        <w:t>(Clark et al. 2013)</w:t>
      </w:r>
      <w:r w:rsidR="005453DF" w:rsidRPr="006F1F4B">
        <w:fldChar w:fldCharType="end"/>
      </w:r>
      <w:r w:rsidR="005B24C4" w:rsidRPr="006F1F4B">
        <w:t>.</w:t>
      </w:r>
      <w:r w:rsidR="00A1688B" w:rsidRPr="006F1F4B">
        <w:t xml:space="preserve"> </w:t>
      </w:r>
      <w:r w:rsidR="005B24C4" w:rsidRPr="006F1F4B">
        <w:t xml:space="preserve">Therefore, the metabolic costs of digestion necessarily impede </w:t>
      </w:r>
      <w:r w:rsidR="00277721" w:rsidRPr="006F1F4B">
        <w:t xml:space="preserve">aerobic scope for </w:t>
      </w:r>
      <w:r w:rsidR="00417E81" w:rsidRPr="006F1F4B">
        <w:t xml:space="preserve">other necessary functions such as </w:t>
      </w:r>
      <w:r w:rsidR="00277721" w:rsidRPr="006F1F4B">
        <w:t xml:space="preserve">mobility. </w:t>
      </w:r>
      <w:r w:rsidR="00010A02" w:rsidRPr="006F1F4B">
        <w:t xml:space="preserve">Alternatively, </w:t>
      </w:r>
      <w:r w:rsidR="00D06C4D" w:rsidRPr="006F1F4B">
        <w:t xml:space="preserve">fishes may raise their total aerobic scope during times of </w:t>
      </w:r>
      <w:r w:rsidR="006E34ED" w:rsidRPr="006F1F4B">
        <w:t xml:space="preserve">high consumption by seeking warmer temperatures </w:t>
      </w:r>
      <w:r w:rsidR="006E34ED" w:rsidRPr="006F1F4B">
        <w:fldChar w:fldCharType="begin"/>
      </w:r>
      <w:r w:rsidR="006E34ED" w:rsidRPr="006F1F4B">
        <w:instrText xml:space="preserve"> ADDIN ZOTERO_ITEM CSL_CITATION {"citationID":"GV44QyfU","properties":{"formattedCitation":"(Armstrong et al. 2013)","plainCitation":"(Armstrong et al. 2013)","noteIndex":0},"citationItems":[{"id":350,"uris":["http://zotero.org/users/6698532/items/GKK9BZS5"],"itemData":{"id":350,"type":"article-journal","abstract":"Vertical heterogeneity in the physical characteristics of lakes and oceans is ecologically salient and exploited by a wide range of taxa through diel vertical migration to enhance their growth and survival. Whether analogous behaviors exploit horizontal habitat heterogeneity in streams is largely unknown. We investigated fish movement behavior at daily timescales to explore how individuals integrated across spatial variation in food abundance and water temperature. Juvenile coho salmon made feeding forays into cold habitats with abundant food, and then moved long distances (350-1300 m) to warmer habitats that accelerated their metabolism and increased their assimilative capacity. This behavioral thermoregulation enabled fish to mitigate trade-offs between trophic and thermal resources by exploiting thermal heterogeneity. Fish that exploited thermal heterogeneity grew at substantially faster rates than did individuals that assumed other behaviors. Our results provide empirical support for the importance of thermal diversity in lotic systems, and emphasize the importance of considering interactions between animal behavior and habitat heterogeneity when managing and restoring ecosystems. © 2013 by the Ecological Society of America.","container-title":"Ecology","DOI":"10.1890/12-1200.1","issue":"9","page":"2066-2075","title":"Diel horizontal migration in streams: Juvenile fish exploit spatial heterogeneity in thermal and trophic resources","volume":"94","author":[{"family":"Armstrong","given":"Jonathan B."},{"family":"Schindler","given":"Daniel E."},{"family":"Ruff","given":"Casey P."},{"family":"Brooks","given":"Gabriel T."},{"family":"Bentley","given":"Kale E."},{"family":"Torgersen","given":"Christian E."}],"issued":{"date-parts":[["2013"]]}}}],"schema":"https://github.com/citation-style-language/schema/raw/master/csl-citation.json"} </w:instrText>
      </w:r>
      <w:r w:rsidR="006E34ED" w:rsidRPr="006F1F4B">
        <w:fldChar w:fldCharType="separate"/>
      </w:r>
      <w:r w:rsidR="00A70399" w:rsidRPr="00A70399">
        <w:t>(Armstrong et al. 2013)</w:t>
      </w:r>
      <w:r w:rsidR="006E34ED" w:rsidRPr="006F1F4B">
        <w:fldChar w:fldCharType="end"/>
      </w:r>
      <w:r w:rsidR="001F7303" w:rsidRPr="006F1F4B">
        <w:t>, though conditions for this strategy are rare.</w:t>
      </w:r>
      <w:r w:rsidR="004E0EE1" w:rsidRPr="006F1F4B">
        <w:t xml:space="preserve"> </w:t>
      </w:r>
      <w:r w:rsidR="00EA71A5" w:rsidRPr="006F1F4B">
        <w:t xml:space="preserve">From this, we can see that the feeding behaviors of fishes are linked to </w:t>
      </w:r>
      <w:r w:rsidR="00E83A0B" w:rsidRPr="006F1F4B">
        <w:t xml:space="preserve">the </w:t>
      </w:r>
      <w:r w:rsidR="00E97A14" w:rsidRPr="006F1F4B">
        <w:t xml:space="preserve">broader life history elements </w:t>
      </w:r>
      <w:r w:rsidR="00BD0C65" w:rsidRPr="006F1F4B">
        <w:t>based on adaptations of anatomy and physiology; but to understand this more fully we must understand thei</w:t>
      </w:r>
      <w:r w:rsidR="00F8043A" w:rsidRPr="006F1F4B">
        <w:t>r feeding.</w:t>
      </w:r>
    </w:p>
    <w:p w14:paraId="64B35C7F" w14:textId="1CAA01A6" w:rsidR="000C6778" w:rsidRDefault="00F8043A" w:rsidP="00D13D88">
      <w:r w:rsidRPr="006F1F4B">
        <w:tab/>
        <w:t xml:space="preserve">Diet analysis is </w:t>
      </w:r>
      <w:r w:rsidR="0048071E" w:rsidRPr="006F1F4B">
        <w:t xml:space="preserve">a common method for understanding the feeding behaviors of fishes. </w:t>
      </w:r>
      <w:r w:rsidR="00D07059">
        <w:t>A</w:t>
      </w:r>
      <w:r w:rsidR="00A8160D" w:rsidRPr="006F1F4B">
        <w:t>ssessments of stomach contents can effectively reveal the recent feeding of an individual</w:t>
      </w:r>
      <w:r w:rsidR="00CB081E" w:rsidRPr="006F1F4B">
        <w:t xml:space="preserve"> </w:t>
      </w:r>
      <w:r w:rsidR="009A1351" w:rsidRPr="006F1F4B">
        <w:fldChar w:fldCharType="begin"/>
      </w:r>
      <w:r w:rsidR="009A1351" w:rsidRPr="006F1F4B">
        <w:instrText xml:space="preserve"> ADDIN ZOTERO_ITEM CSL_CITATION {"citationID":"zbpaJ4Ti","properties":{"formattedCitation":"(Amundsen and S\\uc0\\u225{}nchez-Hern\\uc0\\u225{}ndez 2019)","plainCitation":"(Amundsen and Sánchez-Hernández 2019)","noteIndex":0},"citationItems":[{"id":739,"uris":["http://zotero.org/users/6698532/items/KK9KUANM"],"itemData":{"id":739,"type":"article-journal","abstract":"Studies on the feeding ecology of fish are essential for exploring and contrasting trophic interactions and population and community dynamics within and among aquatic ecosystems. In this respect, many different methods have been adopted for the analysis of fish stomach contents. No consensus has, however, been reached for a standardised methodology despite that for several decades there has been an ongoing debate about which methodical approaches that should be preferred. Here, we critically review and scrutinise methods, addressing their strengths and weaknesses and emphasising inherent problems and possible pitfalls in their use. Although our critical assessment reveals that no completely ideal approach exists, appropriate and reliable procedures can be adopted through careful considerations and implementation. In particular, we advocate that different objectives require different methodical approaches and the choice of method should therefore be closely linked to the research questions that are addressed. For a standardisation of methods, we recommend a combination of the relative-fullness and presence–absence methods as the optimal approach for the commonly applied feeding studies addressing relative dietary composition in terms of prey diversity and abundance. Additionally, we recommend the gravimetric method for objectives related to the quantification of food consumption rates and the numerical method for prey selection studies. DNA-based dietary analysis provides a new and promising complementary approach to visual examination of stomach contents, although some technical challenges still exist. The suggested method standardisation facilitates comparisons across species, ecosystems and time and will enhance the applicability and benefits of fish feeding studies in trophic ecology research.","container-title":"Journal of Fish Biology","DOI":"10.1111/jfb.14151","issue":"95","page":"1364-1373","title":"Feeding studies take guts – critical review and recommendations of methods for stomach contents analysis in fish","author":[{"family":"Amundsen","given":"Per Arne"},{"family":"Sánchez-Hernández","given":"Javier"}],"issued":{"date-parts":[["2019"]]}}}],"schema":"https://github.com/citation-style-language/schema/raw/master/csl-citation.json"} </w:instrText>
      </w:r>
      <w:r w:rsidR="009A1351" w:rsidRPr="006F1F4B">
        <w:fldChar w:fldCharType="separate"/>
      </w:r>
      <w:r w:rsidR="00A70399" w:rsidRPr="00A70399">
        <w:rPr>
          <w:szCs w:val="24"/>
        </w:rPr>
        <w:t>(Amundsen and Sánchez-Hernández 2019)</w:t>
      </w:r>
      <w:r w:rsidR="009A1351" w:rsidRPr="006F1F4B">
        <w:fldChar w:fldCharType="end"/>
      </w:r>
      <w:r w:rsidR="00FF0899">
        <w:t xml:space="preserve"> </w:t>
      </w:r>
      <w:r w:rsidR="0047321B">
        <w:t xml:space="preserve">with the major </w:t>
      </w:r>
      <w:r w:rsidR="00202768">
        <w:t xml:space="preserve">characterizations of feeding </w:t>
      </w:r>
      <w:r w:rsidR="0047321B">
        <w:t xml:space="preserve">being </w:t>
      </w:r>
      <w:r w:rsidR="006F1868" w:rsidRPr="006F1F4B">
        <w:t xml:space="preserve">composition and magnitude. Composition </w:t>
      </w:r>
      <w:r w:rsidR="00494A29" w:rsidRPr="006F1F4B">
        <w:t xml:space="preserve">can not only </w:t>
      </w:r>
      <w:r w:rsidR="008848C9" w:rsidRPr="006F1F4B">
        <w:t xml:space="preserve">describe all the prey items which a predator consumes, but also details about the </w:t>
      </w:r>
      <w:r w:rsidR="00DA2E04" w:rsidRPr="006F1F4B">
        <w:t xml:space="preserve">generality/selectivity of their foraging </w:t>
      </w:r>
      <w:r w:rsidR="00DA2E04" w:rsidRPr="006F1F4B">
        <w:fldChar w:fldCharType="begin"/>
      </w:r>
      <w:r w:rsidR="00DA2E04" w:rsidRPr="006F1F4B">
        <w:instrText xml:space="preserve"> ADDIN ZOTERO_ITEM CSL_CITATION {"citationID":"PS4d5gAG","properties":{"formattedCitation":"(Gerking 1994)","plainCitation":"(Gerking 1994)","noteIndex":0},"citationItems":[{"id":2108,"uris":["http://zotero.org/users/6698532/items/STAATD6X"],"itemData":{"id":2108,"type":"book","ISBN":"0-12-280780-4","publisher":"Academic Press, Inc.","title":"Feeding Ecology of Fish","author":[{"family":"Gerking","given":"Shelby D."}],"issued":{"date-parts":[["1994"]]}}}],"schema":"https://github.com/citation-style-language/schema/raw/master/csl-citation.json"} </w:instrText>
      </w:r>
      <w:r w:rsidR="00DA2E04" w:rsidRPr="006F1F4B">
        <w:fldChar w:fldCharType="separate"/>
      </w:r>
      <w:r w:rsidR="00A70399" w:rsidRPr="00A70399">
        <w:t>(Gerking 1994)</w:t>
      </w:r>
      <w:r w:rsidR="00DA2E04" w:rsidRPr="006F1F4B">
        <w:fldChar w:fldCharType="end"/>
      </w:r>
      <w:r w:rsidR="00202768">
        <w:t xml:space="preserve">. </w:t>
      </w:r>
      <w:r w:rsidR="00B66474" w:rsidRPr="006F1F4B">
        <w:t xml:space="preserve">Additionally, when the ecology of prey items </w:t>
      </w:r>
      <w:r w:rsidR="00007E6B" w:rsidRPr="006F1F4B">
        <w:t>is known, then deductions about a predator’s foraging habitats can be made as well</w:t>
      </w:r>
      <w:r w:rsidR="00214AE9" w:rsidRPr="006F1F4B">
        <w:t xml:space="preserve">, i.e., those consuming only benthic prey items likely feed at and </w:t>
      </w:r>
      <w:r w:rsidR="0020587C" w:rsidRPr="006F1F4B">
        <w:t>occupy the benthos</w:t>
      </w:r>
      <w:r w:rsidR="005D16D8" w:rsidRPr="006F1F4B">
        <w:t>.</w:t>
      </w:r>
      <w:r w:rsidR="00BF46DD" w:rsidRPr="006F1F4B">
        <w:t xml:space="preserve"> Diet magnitude, </w:t>
      </w:r>
      <w:r w:rsidR="005C741E">
        <w:t xml:space="preserve">often </w:t>
      </w:r>
      <w:r w:rsidR="00275530">
        <w:t xml:space="preserve">presented </w:t>
      </w:r>
      <w:r w:rsidR="00BC536D" w:rsidRPr="006F1F4B">
        <w:t xml:space="preserve">relative to the weight of the fish, </w:t>
      </w:r>
      <w:r w:rsidR="00295ACB" w:rsidRPr="006F1F4B">
        <w:t xml:space="preserve">can provide a proxy for energetic intake and overall productivity. </w:t>
      </w:r>
      <w:r w:rsidR="00275530">
        <w:t>Further</w:t>
      </w:r>
      <w:r w:rsidR="00B43950">
        <w:t>,</w:t>
      </w:r>
      <w:r w:rsidR="001C530A" w:rsidRPr="006F1F4B">
        <w:t xml:space="preserve"> </w:t>
      </w:r>
      <w:r w:rsidR="00DE2A99">
        <w:t>higher magnitudes of feeding increase</w:t>
      </w:r>
      <w:r w:rsidR="001C530A" w:rsidRPr="006F1F4B">
        <w:t xml:space="preserve"> </w:t>
      </w:r>
      <w:r w:rsidR="00D77651" w:rsidRPr="006F1F4B">
        <w:t>aerobic investment</w:t>
      </w:r>
      <w:r w:rsidR="00FF0D24">
        <w:t xml:space="preserve">s and, in turn, decrease </w:t>
      </w:r>
      <w:r w:rsidR="00FC6636" w:rsidRPr="006F1F4B">
        <w:t>mobility</w:t>
      </w:r>
      <w:r w:rsidR="00FF0D24">
        <w:t xml:space="preserve"> allowing for deductions about </w:t>
      </w:r>
      <w:r w:rsidR="00555AE9">
        <w:t>movement behaviors to be made</w:t>
      </w:r>
      <w:r w:rsidR="00FC6636" w:rsidRPr="006F1F4B">
        <w:t xml:space="preserve"> </w:t>
      </w:r>
      <w:r w:rsidR="00FC6636" w:rsidRPr="006F1F4B">
        <w:fldChar w:fldCharType="begin"/>
      </w:r>
      <w:r w:rsidR="00FC6636" w:rsidRPr="006F1F4B">
        <w:instrText xml:space="preserve"> ADDIN ZOTERO_ITEM CSL_CITATION {"citationID":"hZA045Vy","properties":{"formattedCitation":"(Clark et al. 2013)","plainCitation":"(Clark et al. 2013)","noteIndex":0},"citationItems":[{"id":428,"uris":["http://zotero.org/users/6698532/items/J8F2HCII"],"itemData":{"id":428,"type":"article-journal","abstract":"Measurements of aerobic scope [the difference between minimum and maximum oxygen consumption rate (MO2,min and MO2,max,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MO2,min, MO2,max and aerobic scope across species and under different experimental conditions. Additionally, we provide a brief critique of the oxygen- 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 © 2013. Published by The Company of Biologists Ltd.","container-title":"Journal of Experimental Biology","DOI":"10.1242/jeb.084251","issue":"15","page":"2771-2782","title":"Aerobic scope measurements of fishes in an era of climate change: Respirometry, relevance and recommendations","volume":"216","author":[{"family":"Clark","given":"Timothy D."},{"family":"Sandblom","given":"Erik"},{"family":"Jutfelt","given":"Fredrik"}],"issued":{"date-parts":[["2013"]]}}}],"schema":"https://github.com/citation-style-language/schema/raw/master/csl-citation.json"} </w:instrText>
      </w:r>
      <w:r w:rsidR="00FC6636" w:rsidRPr="006F1F4B">
        <w:fldChar w:fldCharType="separate"/>
      </w:r>
      <w:r w:rsidR="00A70399" w:rsidRPr="00A70399">
        <w:t>(Clark et al. 2013)</w:t>
      </w:r>
      <w:r w:rsidR="00FC6636" w:rsidRPr="006F1F4B">
        <w:fldChar w:fldCharType="end"/>
      </w:r>
      <w:r w:rsidR="00FC6636" w:rsidRPr="006F1F4B">
        <w:t xml:space="preserve">. Finally, the </w:t>
      </w:r>
      <w:r w:rsidR="00555AE9">
        <w:t>variance in</w:t>
      </w:r>
      <w:r w:rsidR="003D068E" w:rsidRPr="006F1F4B">
        <w:t xml:space="preserve"> magnitude </w:t>
      </w:r>
      <w:r w:rsidR="00781AB2" w:rsidRPr="006F1F4B">
        <w:t>can</w:t>
      </w:r>
      <w:r w:rsidR="007C248A">
        <w:t xml:space="preserve"> indicate feeding </w:t>
      </w:r>
      <w:r w:rsidR="00724F0A">
        <w:t>patterns reflecting fish behaviors and environment</w:t>
      </w:r>
      <w:r w:rsidR="00E030E4">
        <w:t xml:space="preserve">al conditions </w:t>
      </w:r>
      <w:r w:rsidR="00B67071">
        <w:t>where l</w:t>
      </w:r>
      <w:r w:rsidR="00D11E9D" w:rsidRPr="006F1F4B">
        <w:t>ow variance</w:t>
      </w:r>
      <w:r w:rsidR="00B67071">
        <w:t xml:space="preserve"> may indicate </w:t>
      </w:r>
      <w:r w:rsidR="00073335">
        <w:t xml:space="preserve">active feeding and/or </w:t>
      </w:r>
      <w:r w:rsidR="00B67071">
        <w:t xml:space="preserve">high productivity </w:t>
      </w:r>
      <w:r w:rsidR="00B7570C">
        <w:t xml:space="preserve">whereas </w:t>
      </w:r>
      <w:r w:rsidR="0086167B" w:rsidRPr="006F1F4B">
        <w:t xml:space="preserve">high variances, especially if samples include extreme values </w:t>
      </w:r>
      <w:r w:rsidR="00D551BD" w:rsidRPr="006F1F4B">
        <w:t xml:space="preserve">or frequently empty stomachs, </w:t>
      </w:r>
      <w:r w:rsidR="00B7570C">
        <w:t>may</w:t>
      </w:r>
      <w:r w:rsidR="00382663" w:rsidRPr="006F1F4B">
        <w:t xml:space="preserve"> </w:t>
      </w:r>
      <w:r w:rsidR="00B7570C">
        <w:t xml:space="preserve">opportunistic </w:t>
      </w:r>
      <w:r w:rsidR="00382663" w:rsidRPr="006F1F4B">
        <w:t xml:space="preserve">feeding </w:t>
      </w:r>
      <w:r w:rsidR="00073335">
        <w:t>and/</w:t>
      </w:r>
      <w:r w:rsidR="00B7570C">
        <w:t xml:space="preserve">or patchy environments </w:t>
      </w:r>
      <w:r w:rsidR="00382663" w:rsidRPr="006F1F4B">
        <w:fldChar w:fldCharType="begin"/>
      </w:r>
      <w:r w:rsidR="00697D4C" w:rsidRPr="006F1F4B">
        <w:instrText xml:space="preserve"> ADDIN ZOTERO_ITEM CSL_CITATION {"citationID":"YN5raxce","properties":{"formattedCitation":"(Arrington et al. 2002; Armstrong and Schindler 2011)","plainCitation":"(Arrington et al. 2002; Armstrong and Schindler 2011)","dontUpdate":true,"noteIndex":0},"citationItems":[{"id":1682,"uris":["http://zotero.org/users/6698532/items/7E69U623"],"itemData":{"id":1682,"type":"article-journal","abstract":"We used a large data set of African, Neotropical, and North American fishes to examine the frequency with which fishes have empty stomachs (n&lt;sub&gt;species&lt;/sub&gt; = 254; n&lt;sub&gt;individuals&lt;/sub&gt; = 36 875). Mean percentage of empty stomachs was low across all fishes (16.2 ± 1.2%) but varied from 0% to 79.4% among individual species. Nocturnal fishes had empty stomachs more frequently than diurnal fishes. Trophic classification was strongly associated with the percentage of empty stomachs, a pattern also revealed from an intraspecific analysis. Fishes appear to adjust their feeding intervals relative to the energy density, conversion efficiency, and particle size of their food. Piscivorous fishes seem to be the only trophic group that regularly experience long periods of empty stomachs, with species that consume prey whole and those that provide extended parental care having the highest proportions of empty stomachs. Activity patterns and life histories of some piscivorous species probably have evolved in partial response to energetic benefits of large, energy-rich food resources.","archive":"JSTOR","container-title":"Ecology","DOI":"10.2307/3072046","ISSN":"0012-9658","issue":"8","note":"publisher: Ecological Society of America","page":"2145-2151","source":"JSTOR","title":"How Often Do Fishes \"Run on Empty\"?","volume":"83","author":[{"family":"Arrington","given":"D. Albrey"},{"family":"Winemiller","given":"Kirk O."},{"family":"Loftus","given":"William F."},{"family":"Akin","given":"Senol"}],"issued":{"date-parts":[["2002"]]}}},{"id":1089,"uris":["http://zotero.org/users/6698532/items/7G4CS4XK"],"itemData":{"id":1089,"type":"article-journal","abstract":"A central challenge for predators is achieving positive energy balance when prey are spatially and temporally heterogeneous. Ecological heterogeneity produces evolutionary trade-offs in the physiological design of predators; this is because the ability to capitalize on pulses of food abundance requires high capacity for food-processing, yet maintaining such capacity imposes energetic costs that are taxing during periods of food scarcity. Recent advances in physiology show that when variation in foraging opportunities is predictable, animals may adjust energetic trade-offs by rapidly modulating their digestive system to track variation in foraging opportunities. However, it is increasingly recognized that foraging opportunities for animals are unpredictable, which should favour animals that maintain a capacity for food-processing that exceeds average levels of consumption (loads). Despite this basic principle of quantitative evolutionary design, estimates of digestive load:capacity ratios in wild animals are virtually non-existent. Here we provide an extensive assessment of load:capacity ratios for the digestive systems of predators in the wild, compiling 639 estimates across 38 species of fish. We found that piscine predators typically maintain the physiological capacity to feed at daily rates 2-3 times higher than what they experience on average. A numerical simulation of the trade-off between food-processing capacity and metabolic cost suggests that the observed level of physiological opportunism is profitable only if predator-prey encounters, and thus predator energy budgets, are far more variable in nature than currently assumed. © 2011 Macmillan Publishers Limited. All rights reserved.","container-title":"Nature","DOI":"10.1038/nature10240","page":"84-88","title":"Excess digestive capacity in predators reflects a life of feast and famine","volume":"476","author":[{"family":"Armstrong","given":"Jonathan B."},{"family":"Schindler","given":"Daniel E."}],"issued":{"date-parts":[["2011"]]}}}],"schema":"https://github.com/citation-style-language/schema/raw/master/csl-citation.json"} </w:instrText>
      </w:r>
      <w:r w:rsidR="00382663" w:rsidRPr="006F1F4B">
        <w:fldChar w:fldCharType="separate"/>
      </w:r>
      <w:r w:rsidR="00382663" w:rsidRPr="006F1F4B">
        <w:t>(</w:t>
      </w:r>
      <w:r w:rsidR="00385057" w:rsidRPr="006F1F4B">
        <w:t xml:space="preserve">see </w:t>
      </w:r>
      <w:r w:rsidR="00382663" w:rsidRPr="006F1F4B">
        <w:t>Arrington et al. 2002; Armstrong and Schindler 2011)</w:t>
      </w:r>
      <w:r w:rsidR="00382663" w:rsidRPr="006F1F4B">
        <w:fldChar w:fldCharType="end"/>
      </w:r>
      <w:r w:rsidR="00385057" w:rsidRPr="006F1F4B">
        <w:t>.</w:t>
      </w:r>
      <w:r w:rsidR="00AB40A0" w:rsidRPr="006F1F4B">
        <w:t xml:space="preserve"> As such, diet analyses are a </w:t>
      </w:r>
      <w:r w:rsidR="00AB40A0" w:rsidRPr="006F1F4B">
        <w:lastRenderedPageBreak/>
        <w:t>useful tool for exploring the ecology of species</w:t>
      </w:r>
      <w:r w:rsidR="14635E4E" w:rsidRPr="006F1F4B">
        <w:t xml:space="preserve"> and to</w:t>
      </w:r>
      <w:r w:rsidR="00AB40A0" w:rsidRPr="006F1F4B">
        <w:t xml:space="preserve"> contextualize them with other inhabitants of the same ecosystem.</w:t>
      </w:r>
    </w:p>
    <w:p w14:paraId="3B93B4E4" w14:textId="0134B9E6" w:rsidR="001A1DCF" w:rsidRDefault="6EEDD490" w:rsidP="000C6778">
      <w:pPr>
        <w:ind w:firstLine="720"/>
      </w:pPr>
      <w:r w:rsidRPr="006F1F4B">
        <w:t>Arctic char</w:t>
      </w:r>
      <w:r w:rsidR="1EEDCC60" w:rsidRPr="006F1F4B">
        <w:t xml:space="preserve"> (</w:t>
      </w:r>
      <w:r w:rsidR="1EEDCC60" w:rsidRPr="006F1F4B">
        <w:rPr>
          <w:i/>
          <w:iCs/>
        </w:rPr>
        <w:t>Salvelinus alpinus</w:t>
      </w:r>
      <w:r w:rsidR="1EEDCC60" w:rsidRPr="006F1F4B">
        <w:t>)</w:t>
      </w:r>
      <w:r w:rsidRPr="006F1F4B">
        <w:t xml:space="preserve"> </w:t>
      </w:r>
      <w:bookmarkStart w:id="5" w:name="_Int_oEN19DWh"/>
      <w:r w:rsidRPr="006F1F4B">
        <w:t>are</w:t>
      </w:r>
      <w:bookmarkEnd w:id="5"/>
      <w:r w:rsidRPr="006F1F4B">
        <w:t xml:space="preserve"> a relatively large</w:t>
      </w:r>
      <w:r w:rsidR="188735FC" w:rsidRPr="006F1F4B">
        <w:t xml:space="preserve"> and mobile</w:t>
      </w:r>
      <w:r w:rsidR="4524DC90" w:rsidRPr="006F1F4B">
        <w:t xml:space="preserve"> pelagic</w:t>
      </w:r>
      <w:r w:rsidR="188735FC" w:rsidRPr="006F1F4B">
        <w:t xml:space="preserve"> migratory fish</w:t>
      </w:r>
      <w:r w:rsidR="572C1B2D" w:rsidRPr="006F1F4B">
        <w:t xml:space="preserve"> that provides an important source of protein to indigenous communities throughout the Arctic</w:t>
      </w:r>
      <w:r w:rsidR="00DC6B86" w:rsidRPr="006F1F4B">
        <w:t xml:space="preserve"> </w:t>
      </w:r>
      <w:r w:rsidR="00DC6B86" w:rsidRPr="006F1F4B">
        <w:fldChar w:fldCharType="begin"/>
      </w:r>
      <w:r w:rsidR="009B5D6D" w:rsidRPr="006F1F4B">
        <w:instrText xml:space="preserve"> ADDIN ZOTERO_ITEM CSL_CITATION {"citationID":"qXQSNUZ5","properties":{"formattedCitation":"(Booth and Watts 2007)","plainCitation":"(Booth and Watts 2007)","noteIndex":0},"citationItems":[{"id":3461,"uris":["http://zotero.org/users/6698532/items/DG9AKTIN"],"itemData":{"id":3461,"type":"chapter","abstract":"Canada’s arctic marine fisheries occur within FAO statistical areas 18 and 21. Although many of the communities in these areas rely on the sea, only commercial data have been part of the formal reporting procedure. Small-scale fisheries data, including subsistence fisheries, have not been formerly assessed, nor do they form part of the national and global reports. Here, we present reported and estimated catch data for the period 1950 to 2001 for the commercial and small-scale sectors, including catches that were formerly used for feeding sled-dog teams. During this period, it is estimated that small-scale marine fisheries were 27 times larger than the reported commercial catches suggest, and small-scale catches declined by 56 % overall. Excluding the sled-dog food component, the small-scale catches destined for human consumption increased from approximately 523 tonnes in 1950 to an average of nearly 1,200 tonnes in the 1970s, but declined to approximately 900 tonnes by the early 2000s. Arctic marine fisheries catches for the small-scale sector in terms of population (kg·person-1·year-1) reached an estimated peak of 268 kg in 1960 and were found to be 20.5 kg at the end of the study period.","collection-title":"Fisheries Centre Research Reports","container-title":"Reconstruction of marine fisheries catches for key countries and regions (1950-2005).","edition":"2","ISBN":"1198-6727","language":"en","page":"3-15","publisher":"Fisheries Centre, University of British Columbia","source":"Zotero","title":"Canada's Arctic Marine Fish Catches","volume":"15","author":[{"family":"Booth","given":"Shawn"},{"family":"Watts","given":"Paul"}],"editor":[{"family":"Zeller","given":"D"},{"family":"Pauly","given":"Daniel"}],"issued":{"date-parts":[["2007"]]}}}],"schema":"https://github.com/citation-style-language/schema/raw/master/csl-citation.json"} </w:instrText>
      </w:r>
      <w:r w:rsidR="00DC6B86" w:rsidRPr="006F1F4B">
        <w:fldChar w:fldCharType="separate"/>
      </w:r>
      <w:r w:rsidR="00A70399" w:rsidRPr="00A70399">
        <w:t>(Booth and Watts 2007)</w:t>
      </w:r>
      <w:r w:rsidR="00DC6B86" w:rsidRPr="006F1F4B">
        <w:fldChar w:fldCharType="end"/>
      </w:r>
      <w:r w:rsidR="24656A0F" w:rsidRPr="006F1F4B">
        <w:t xml:space="preserve">. </w:t>
      </w:r>
      <w:r w:rsidR="0A1E730C" w:rsidRPr="006F1F4B">
        <w:t xml:space="preserve">In addition to </w:t>
      </w:r>
      <w:r w:rsidR="689CA3E2" w:rsidRPr="006F1F4B">
        <w:t>their</w:t>
      </w:r>
      <w:r w:rsidR="0A1E730C" w:rsidRPr="006F1F4B">
        <w:t xml:space="preserve"> migratory capabilities, A</w:t>
      </w:r>
      <w:r w:rsidR="24656A0F" w:rsidRPr="006F1F4B">
        <w:t>rctic char are known to exhibit highly diverse movements and life history patterns</w:t>
      </w:r>
      <w:r w:rsidR="00865797" w:rsidRPr="006F1F4B">
        <w:t xml:space="preserve"> </w:t>
      </w:r>
      <w:r w:rsidR="00865797" w:rsidRPr="006F1F4B">
        <w:fldChar w:fldCharType="begin"/>
      </w:r>
      <w:r w:rsidR="00865797" w:rsidRPr="006F1F4B">
        <w:instrText xml:space="preserve"> ADDIN ZOTERO_ITEM CSL_CITATION {"citationID":"tHdG2jFq","properties":{"formattedCitation":"(Beddow et al. 1998; Jensen and Rikardsen 2008; Moore et al. 2017)","plainCitation":"(Beddow et al. 1998; Jensen and Rikardsen 2008; Moore et al. 2017)","noteIndex":0},"citationItems":[{"id":3463,"uris":["http://zotero.org/users/6698532/items/T4U2TFW7"],"itemData":{"id":3463,"type":"chapter","abstract":"Migratory and reproductive activities of Arctic Char (Salvelinus alpinus L.) were studied using radio-telemetry in two adjacent river systems in northern Labrador, Canada. A total of 154 Arctic char were radio-tagged. Coded radio tags were surgically implanted into the body cavity of char, in the Summer and Fall of 1996. Individuals movements were monitored using 3 solar powered, ﬁxed data logging stations, that recorded the time, date, channel and code of any transmitter within a predetermined distance (150 m) of the antenna (every 5 seconds). Movements of ﬁsh throughout the remaining sections of the 2 rivers were monitored on a weekly basis using aerial and manual tracking techniques. Gonadosomatic indices of spawning females increased throughout the Summer to peak between 20–36% in mid September, and dropped to &lt;2% when spent, indicating that spawning occurred in the last week of September. Arctic char radio-tagged within the smaller river, Reid Brook (n = 125), exhibited a complex range of migratory behaviors. Initially, the majority of Reid Brook char migrated to spawning areas located throughout the mid to upper reaches of the river, where they remained until spawning was completed. Only 8 radio-tagged ﬁsh, (35.9–56.4 cm) successfully negotiated a waterfall called Reid Falls, to enter Reid Pond where they remained for the duration of the study. Immediately following spawning, during river ice up at water temperatures 0–3 ◦C, most of the radio-tagged Arctic char made abrupt downstream migrations and 61% of Reid Brook radio-tagged char moved through into the adjacent river system, Kogluktokoluk Brook. Final tracking data (29th October 1996), indicated that 8 ﬁsh remained in Reid Pond, 8 in the pool below Reid Falls, 62 char had moved through to adjacent river systems and the remaining char were generally located close to the mouth of Reid Brook. Char radio-tagged in Ikadlivik Brook, dispersed throughout that river system to spawn. Throughout October radio-tagged individuals from both river systems congregated in large deep pools (≈ 30 m deep) in the Ikadlivik and these sites were considered suitable habitats in which to over-winter. This strategy whereby Arctic char spawn in one river system but over-winter in a larger neighboring system (within a single year) has been postulated for other char species but never previously proven, highlighting the value of radio-telemetry for remotely studying complex migratory patterns.","container-title":"Advances in Invertebrates and Fish Telemetry","event-place":"Dordrecht","ISBN":"978-94-010-6138-4","language":"en","note":"DOI: 10.1007/978-94-011-5090-3_29","page":"249-262","publisher":"Springer Netherlands","publisher-place":"Dordrecht","source":"DOI.org (Crossref)","title":"Migratory and reproductive activity of radio-tagged Arctic char (&lt;i&gt;Salvelinus alpinus&lt;/i&gt; L.) in northern Labrador","URL":"http://link.springer.com/10.1007/978-94-011-5090-3_29","editor":[{"family":"Lagardère","given":"Jean-Paul"},{"family":"Anras","given":"Marie-Laure Bégout"},{"family":"Claireaux","given":"Guy"}],"author":[{"family":"Beddow","given":"Toni A."},{"family":"Deary","given":"Caroline"},{"family":"McKinley","given":"R. Scott"}],"accessed":{"date-parts":[["2023",7,5]]},"issued":{"date-parts":[["1998"]]}}},{"id":3464,"uris":["http://zotero.org/users/6698532/items/PLEZL94X"],"itemData":{"id":3464,"type":"article-journal","abstract":"By use of acoustic telemetry, the present study showed that both riverine anadromous brown trout (sea trout) Salmo trutta and Arctic charr Salvelinus alpinus in a north Norwegian river descended the river within the first 4 months after spawning in late September and spent long parts of the remaining winter period in the estuary and also possibly partly in salt water. This contradicts the general assumption, based on studies of lake-dwelling populations, that both species, and in particular S. alpinus, overwinter and spend 9–11 months in fresh water at northern latitudes and the rest of the year in salt water.","container-title":"Journal of Fish Biology","DOI":"10.1111/j.1095-8649.2008.02042.x","ISSN":"1095-8649","issue":"7","language":"en","note":"_eprint: https://onlinelibrary.wiley.com/doi/pdf/10.1111/j.1095-8649.2008.02042.x","page":"1810-1818","source":"Wiley Online Library","title":"Do northern riverine anadromous Arctic charr Salvelinus alpinus and sea trout Salmo trutta overwinter in estuarine and marine waters?","volume":"73","author":[{"family":"Jensen","given":"J. L. A."},{"family":"Rikardsen","given":"A. H."}],"issued":{"date-parts":[["2008"]]}}},{"id":3467,"uris":["http://zotero.org/users/6698532/items/4ANZR7FR"],"itemData":{"id":3467,"type":"article-journal","abstract":"Migration is a ubiquitous life history trait with profound evolutionary and ecological consequences. Recent developments in telemetry and genomics, when combined, can bring significant insights on the migratory ecology of nonmodel organisms in the wild. Here, we used this integrative approach to document dispersal, gene flow and potential for local adaptation in anadromous Arctic Char from six rivers in the Canadian Arctic. Acoustic telemetry data from 124 tracked individuals indicated asymmetric dispersal, with a large proportion of fish (72%) tagged in three different rivers migrating up the same short river in the fall. Population genomics data from 6,136 SNP markers revealed weak, albeit significant, population differentiation (average pairwise FST = 0.011) and asymmetric dispersal was also revealed by population assignments. Approximate Bayesian computation simulations suggested the presence of asymmetric gene flow, although in the opposite direction to that observed from the telemetry data, suggesting that dispersal does not necessarily lead to gene flow. These observations suggested that Arctic Char home to their natal river to spawn, but may overwinter in rivers with the shortest migratory route to minimize the costs of migration in nonbreeding years. Genome scans and genetic–environment associations identified 90 outlier markers putatively under selection, 23 of which were in or near a gene. Of these, at least four were involved in muscle and cardiac function, consistent with the hypothesis that migratory harshness could drive local adaptation. Our study illustrates the power of integrating genomics and telemetry to study migrations in nonmodel organisms in logistically challenging environments such as the Arctic.","container-title":"Molecular Ecology","DOI":"10.1111/mec.14393","ISSN":"1365-294X","issue":"24","language":"en","note":"_eprint: https://onlinelibrary.wiley.com/doi/pdf/10.1111/mec.14393","page":"6784-6800","source":"Wiley Online Library","title":"Genomics and telemetry suggest a role for migration harshness in determining overwintering habitat choice, but not gene flow, in anadromous Arctic Char","volume":"26","author":[{"family":"Moore","given":"Jean-Sébastien"},{"family":"Harris","given":"Les N."},{"family":"Le Luyer","given":"Jérémy"},{"family":"Sutherland","given":"Ben J.G."},{"family":"Rougemont","given":"Quentin"},{"family":"Tallman","given":"Ross F."},{"family":"Fisk","given":"Aaron T."},{"family":"Bernatchez","given":"Louis"}],"issued":{"date-parts":[["2017"]]}}}],"schema":"https://github.com/citation-style-language/schema/raw/master/csl-citation.json"} </w:instrText>
      </w:r>
      <w:r w:rsidR="00865797" w:rsidRPr="006F1F4B">
        <w:fldChar w:fldCharType="separate"/>
      </w:r>
      <w:r w:rsidR="00A70399" w:rsidRPr="00A70399">
        <w:t>(Beddow et al. 1998; Jensen and Rikardsen 2008; Moore et al. 2017)</w:t>
      </w:r>
      <w:r w:rsidR="00865797" w:rsidRPr="006F1F4B">
        <w:fldChar w:fldCharType="end"/>
      </w:r>
      <w:r w:rsidR="03B7DCA8" w:rsidRPr="006F1F4B">
        <w:t xml:space="preserve">. </w:t>
      </w:r>
      <w:r w:rsidR="633814DA" w:rsidRPr="006F1F4B">
        <w:t>In contrast, sculpin</w:t>
      </w:r>
      <w:r w:rsidR="00C9430C" w:rsidRPr="006F1F4B">
        <w:t>s</w:t>
      </w:r>
      <w:r w:rsidR="633814DA" w:rsidRPr="006F1F4B">
        <w:t xml:space="preserve"> (family Cottidae) </w:t>
      </w:r>
      <w:bookmarkStart w:id="6" w:name="_Int_rFIJdzSH"/>
      <w:r w:rsidR="633814DA" w:rsidRPr="006F1F4B">
        <w:t>are</w:t>
      </w:r>
      <w:bookmarkEnd w:id="6"/>
      <w:r w:rsidR="633814DA" w:rsidRPr="006F1F4B">
        <w:t xml:space="preserve"> small to moderately sized benthic</w:t>
      </w:r>
      <w:r w:rsidR="74E671FE" w:rsidRPr="006F1F4B">
        <w:t xml:space="preserve"> fishes</w:t>
      </w:r>
      <w:r w:rsidR="00141F2D" w:rsidRPr="006F1F4B">
        <w:t xml:space="preserve"> with those of the genus </w:t>
      </w:r>
      <w:r w:rsidR="00141F2D" w:rsidRPr="006F1F4B">
        <w:rPr>
          <w:i/>
          <w:iCs/>
        </w:rPr>
        <w:t>Myoxocephalus</w:t>
      </w:r>
      <w:r w:rsidR="00141F2D" w:rsidRPr="006F1F4B">
        <w:t xml:space="preserve"> </w:t>
      </w:r>
      <w:r w:rsidR="00F434AB" w:rsidRPr="006F1F4B">
        <w:t>being cold</w:t>
      </w:r>
      <w:r w:rsidR="007D09DB" w:rsidRPr="006F1F4B">
        <w:t>-</w:t>
      </w:r>
      <w:r w:rsidR="00F434AB" w:rsidRPr="006F1F4B">
        <w:t>water</w:t>
      </w:r>
      <w:r w:rsidR="007D09DB" w:rsidRPr="006F1F4B">
        <w:t>,</w:t>
      </w:r>
      <w:r w:rsidR="00F434AB" w:rsidRPr="006F1F4B">
        <w:t xml:space="preserve"> </w:t>
      </w:r>
      <w:r w:rsidR="007D09DB" w:rsidRPr="006F1F4B">
        <w:t xml:space="preserve">Northern </w:t>
      </w:r>
      <w:r w:rsidR="00F434AB" w:rsidRPr="006F1F4B">
        <w:t>temperate-polar fishes</w:t>
      </w:r>
      <w:r w:rsidR="003B5322" w:rsidRPr="006F1F4B">
        <w:t xml:space="preserve"> of primarily marine environments</w:t>
      </w:r>
      <w:r w:rsidR="007D09DB" w:rsidRPr="006F1F4B">
        <w:t xml:space="preserve"> </w:t>
      </w:r>
      <w:r w:rsidRPr="006F1F4B">
        <w:fldChar w:fldCharType="begin"/>
      </w:r>
      <w:r w:rsidRPr="006F1F4B">
        <w:instrText xml:space="preserve"> ADDIN ZOTERO_ITEM CSL_CITATION {"citationID":"sy6xMnSf","properties":{"formattedCitation":"(Balakirev et al. 2020)","plainCitation":"(Balakirev et al. 2020)","noteIndex":0},"citationItems":[{"id":2016,"uris":["http://zotero.org/users/6698532/items/B32FE7MT"],"itemData":{"id":2016,"type":"article-journal","abstract":"Sculpin fishes belonging to the family Cottidae represent a large and complex group,\ninhabiting a wide range of freshwater, brackish-water, and marine environments. Numerous studies\nbased on analysis of their morphology and genetic makeup frequently provided controversial results.\nIn the present work, we sequenced complete mitochondrial (mt) genomes and fragments of nuclear\nribosomal DNA (rDNA) of the fourhorn sculpin Myoxocephalus quadricornis and some related cottids to\nincrease the power of phylogenetic and taxonomic analyses of this complex fish group. A comparison\nof the My. quadricornis mt genomes obtained by us with other complete mt genomes available in\nGenBank has revealed a surprisingly low divergence (3.06   0.12%) with Megalocottus platycephalus\nand, at the same time, a significantly higher divergence (7.89   0.16%) with the species of the genus\nMyoxocephalus. Correspondingly, phylogenetic analyses have shown that My. quadricornis is clustered\nwith Me. platycephalus but not with the Myoxocephalus species. Completely consistent patterns of\ndivergence and tree topologies have been obtained based on nuclear rDNA. Thus, the multi-gene data\nin the present work indicates obvious contradictions in the relationships between the Myoxocephalus\nand Megalocottus species studied. An extensive phylogenetic analysis has provided evidence for a\ncloser a nity of My. quadricornis with the species of the genus Megalocottus than with the species\nof the genus Myoxocephalus. A recombination analysis, along with the additional GenBank data,\nexcludes introgression and/or incorrect taxonomic identification as the possible causative factors\nresponsible for the observed closer a nity between the two species from di erent genera. The above\nfacts necessitate realignment of the genera Myoxocephalus and Megalocottus. The genetic data supports\nthe two recognized genera, Myoxocephalus and Megalocottus, but suggests changing their compositions\nthrough transferring My. quadricornis to the genus Megalocottus. The results of the present study\nresolve the relationships within a complex group of sculpin fishes and show a promising approach\nto phylogenetic systematics (as a key organizing principle in biodiversity research) for a better\nunderstanding of the taxonomy and evolution of fishes and for supplying relevant information to\naddress various fish biodiversity conservation and management issues.","container-title":"Genes","issue":"9","page":"1071-1085","title":"Genetic Evidence for a Mixed Composition of the Genus Myoxocephalus (Cottoidei: Cottidae) Necessitates Generic Realignment","volume":"11","author":[{"family":"Balakirev","given":"Evgeniy S."},{"family":"Kravchenko","given":"Alexandra Yu."},{"family":"Semenchenko","given":"Alexander A."}],"issued":{"date-parts":[["2020"]]}}}],"schema":"https://github.com/citation-style-language/schema/raw/master/csl-citation.json"} </w:instrText>
      </w:r>
      <w:r w:rsidRPr="006F1F4B">
        <w:fldChar w:fldCharType="separate"/>
      </w:r>
      <w:r w:rsidR="00A70399" w:rsidRPr="00A70399">
        <w:t>(Balakirev et al. 2020)</w:t>
      </w:r>
      <w:r w:rsidRPr="006F1F4B">
        <w:fldChar w:fldCharType="end"/>
      </w:r>
      <w:r w:rsidR="74E671FE" w:rsidRPr="006F1F4B">
        <w:t xml:space="preserve">. Sculpin are sit-and-wait ambush foragers </w:t>
      </w:r>
      <w:r w:rsidR="00F74B4E" w:rsidRPr="006F1F4B">
        <w:fldChar w:fldCharType="begin"/>
      </w:r>
      <w:r w:rsidR="00F74B4E" w:rsidRPr="006F1F4B">
        <w:instrText xml:space="preserve"> ADDIN ZOTERO_ITEM CSL_CITATION {"citationID":"xsJMyStp","properties":{"formattedCitation":"(Landry et al. 2019)","plainCitation":"(Landry et al. 2019)","noteIndex":0},"citationItems":[{"id":1473,"uris":["http://zotero.org/users/6698532/items/7I3FINPA"],"itemData":{"id":1473,"type":"article-journal","abstract":"Shorthorn Sculpin (Myoxocephalus scorpius) are among the most numerous consumers in the Arctic nearshore marine habitats. Despite this, little is known about their movement ecology or predator-prey interactions, particularly with Arctic Cod (Boreogadus saida), an important forage fish in the Arctic. Using acoustic telemetry, the movements of tagged Sculpin and Cod were quantified based on specific locations using a Vemco Positioning System during open water when both species were present in the nearshore. Movement trajectories of Sculpin distinguish three unique types, foraging and feeding behaviour and large transiting movements. The relative time of each of these movement types were correlated to biotic (presence of large numbers of acoustically tagged Arctic Cod) and abiotic factors (% ice coverage and temperature). This study provides unique data on the movement, feeding ecology and behaviour of an abundant arctic benthic fish that demonstrates similar movement types to temperate fish. However, furthe...","container-title":"Canadian Journal of Fisheries and Aquatic Sciences","DOI":"10.1139/cjfas-2017-0389","issue":"4","page":"626-635","title":"Movement types of an arctic benthic fish, shorthorn sculpin (&lt;i&gt;Myoxocephalus scorpius&lt;/i&gt;), during open-water periods in response to biotic and abiotic factors","volume":"76","author":[{"family":"Landry","given":"Justin J."},{"family":"Kessel","given":"Steve T."},{"family":"McLean","given":"Montana F."},{"family":"Ivanova","given":"Silviya V."},{"family":"Hussey","given":"Nigel E."},{"family":"O’neill","given":"Caitlin"},{"family":"Vagle","given":"Svein"},{"family":"Dick","given":"Terry A."},{"family":"Fisk","given":"Aaron T."}],"issued":{"date-parts":[["2019"]]}}}],"schema":"https://github.com/citation-style-language/schema/raw/master/csl-citation.json"} </w:instrText>
      </w:r>
      <w:r w:rsidR="00F74B4E" w:rsidRPr="006F1F4B">
        <w:fldChar w:fldCharType="separate"/>
      </w:r>
      <w:r w:rsidR="00A70399" w:rsidRPr="00A70399">
        <w:t>(Landry et al. 2019)</w:t>
      </w:r>
      <w:r w:rsidR="00F74B4E" w:rsidRPr="006F1F4B">
        <w:fldChar w:fldCharType="end"/>
      </w:r>
      <w:r w:rsidR="00733FC1" w:rsidRPr="006F1F4B">
        <w:t xml:space="preserve"> </w:t>
      </w:r>
      <w:r w:rsidR="74E671FE" w:rsidRPr="006F1F4B">
        <w:t xml:space="preserve">and </w:t>
      </w:r>
      <w:r w:rsidR="18C02E0B" w:rsidRPr="006F1F4B">
        <w:t>maintain small home ranges in coastal Arctic waters year-round</w:t>
      </w:r>
      <w:r w:rsidR="00733FC1" w:rsidRPr="006F1F4B">
        <w:t xml:space="preserve"> </w:t>
      </w:r>
      <w:r w:rsidR="00733FC1" w:rsidRPr="006F1F4B">
        <w:fldChar w:fldCharType="begin"/>
      </w:r>
      <w:r w:rsidR="00AD4D23">
        <w:instrText xml:space="preserve"> ADDIN ZOTERO_ITEM CSL_CITATION {"citationID":"iANEyBVT","properties":{"formattedCitation":"(Barton et al. 2020; Hermann et al. 2023)","plainCitation":"(Barton et al. 2020; Hermann et al. 2023)","noteIndex":0},"citationItems":[{"id":1931,"uris":["http://zotero.org/users/6698532/items/RFMRFMMQ"],"itemData":{"id":1931,"type":"article-journal","abstract":"The Arctic nearshore surrounding Point Barrow, Alaska, is a dynamic system with complex oceanographic and meteorological processes that drive community composition to change rapidly in space and time. Nearshore ﬁsh and zooplankton communities were sampled in the summers of 2013–2015. Spatial, temporal, environmental, and biological drivers of ﬁsh community structure in the Arctic nearshore surrounding Point Barrow were investigated using multivariate canonical correspondence analysis (CCA). A CCA model using the 13 most explanatory variables (three environmental, one spatial, four temporal, and ﬁve zooplankton abundances) explained 73% of the variance in community structure in this region. Distinct ﬁsh communities were identiﬁed within the three waterbodies that were studied (Chukchi Sea, Beaufort Sea, and Elson Lagoon), and these distinctions were largely driven by salinity. Species move into the nearshore at various times after landfast ice breaks up, creating an annual succession of species that can be found in these nearshore habitats. Low-latitude species tend to become abundant later in the summer season, whereas true Arctic species are present under the ice or move in shortly after breakup. Arctic species are also more abundant in colder years, whereas low-latitude species dominate during warmer years. The increasing abundance of low-latitude species in the Arctic nearshore may have serious implications for the food webs in these ecosystems as climate change continues.","container-title":"Canadian Journal of Fisheries and Aquatic Sciences","DOI":"dx.doi.org/10.1139/cjfas-2019-0068","language":"en","page":"1612-1624","source":"Zotero","title":"Spatiotemporal variation of environmental conditions and prey availability that drive Arctic nearshore fish community structure in the Point Barrow, Alaska, region","volume":"77","author":[{"family":"Barton","given":"Mark B"},{"family":"Vollenweider","given":"Johanna J"},{"family":"Heintz","given":"Ron A"},{"family":"Norcross","given":"Brenda L"},{"family":"Boswell","given":"Kevin M"}],"issued":{"date-parts":[["2020"]]}}},{"id":3861,"uris":["http://zotero.org/users/6698532/items/LQS8KWL6"],"itemData":{"id":3861,"type":"article-journal","abstract":"Environments change across space and time, often requiring organisms to exhibit behavioral responses. In the Arctic, migratory consumers are motivated by spring resources to follow receding ice; however, resident species’ responses to this ephemeral productivity are less well understood. We characterized the movement behaviors of relatively sedentary Arctic species of sculpin ( Myoxocephalus spp.) in Tremblay Sound, Nunavut, Canada. Movements of individuals ( n = 60) captured during the ice-free periods of 2017–2019 were monitored year-round via an array of acoustic telemetry receivers ( n = 37). Telemetry data confirmed year-round residency within the Sound, yet sculpins were consistently more active and wider ranging during the ice-free period versus the ice-covered winters. Sequence analysis revealed distinct patterns of activity differentiated primarily by regional associations. Together, these results indicate sculpins are highly sedentary, but move more during the ice-free season, suggesting the importance of the seasonal productivity pulse to these fishes. As resident species are adapted to exploit the conditions within their local environment, sculpins provide valuable indicator species to monitor coastal and benthic Arctic ecosystems that are experiencing rapid change.","container-title":"Canadian Journal of Fisheries and Aquatic Sciences","DOI":"10.1139/cjfas-2023-0042","ISSN":"0706-652X, 1205-7533","journalAbbreviation":"Can. J. Fish. Aquat. Sci.","language":"en","page":"cjfas-2023-0042","source":"DOI.org (Crossref)","title":"Year-round monitoring of Arctic species of sculpin to identify residency and seasonality of movement behavior","author":[{"family":"Hermann","given":"Nathan T."},{"family":"Hammer","given":"Lars J."},{"family":"Hussey","given":"Nigel E."},{"family":"Marcoux","given":"Marianne"},{"family":"Hedges","given":"Kevin J."},{"family":"Walter","given":"Ryan P."},{"family":"Furey","given":"Nathan B."}],"issued":{"date-parts":[["2023",8,3]]}}}],"schema":"https://github.com/citation-style-language/schema/raw/master/csl-citation.json"} </w:instrText>
      </w:r>
      <w:r w:rsidR="00733FC1" w:rsidRPr="006F1F4B">
        <w:fldChar w:fldCharType="separate"/>
      </w:r>
      <w:r w:rsidR="00A70399" w:rsidRPr="00A70399">
        <w:t>(Barton et al. 2020; Hermann et al. 2023)</w:t>
      </w:r>
      <w:r w:rsidR="00733FC1" w:rsidRPr="006F1F4B">
        <w:fldChar w:fldCharType="end"/>
      </w:r>
      <w:r w:rsidR="18C02E0B" w:rsidRPr="006F1F4B">
        <w:t xml:space="preserve">. </w:t>
      </w:r>
      <w:r w:rsidR="65C27542" w:rsidRPr="006F1F4B">
        <w:t>The summer resource pulse</w:t>
      </w:r>
      <w:r w:rsidR="00681DDE" w:rsidRPr="006F1F4B">
        <w:t xml:space="preserve"> occurring with ice-melt</w:t>
      </w:r>
      <w:r w:rsidR="65C27542" w:rsidRPr="006F1F4B">
        <w:t xml:space="preserve"> in Arctic systems provides abundant resources that both species can presumably exploit.</w:t>
      </w:r>
      <w:r w:rsidR="00681DDE" w:rsidRPr="006F1F4B">
        <w:t xml:space="preserve"> </w:t>
      </w:r>
    </w:p>
    <w:p w14:paraId="20186BDD" w14:textId="3E2CD627" w:rsidR="6EEDD490" w:rsidRPr="006F1F4B" w:rsidRDefault="00681DDE" w:rsidP="001A1DCF">
      <w:pPr>
        <w:ind w:firstLine="720"/>
      </w:pPr>
      <w:r w:rsidRPr="006F1F4B">
        <w:t xml:space="preserve">With both Arctic char and </w:t>
      </w:r>
      <w:r w:rsidR="00072D55" w:rsidRPr="006F1F4B">
        <w:t xml:space="preserve">sculpins present within </w:t>
      </w:r>
      <w:r w:rsidR="2196BDDE" w:rsidRPr="006F1F4B">
        <w:t>the</w:t>
      </w:r>
      <w:r w:rsidR="00072D55" w:rsidRPr="006F1F4B">
        <w:t xml:space="preserve"> shared ecosystem</w:t>
      </w:r>
      <w:r w:rsidR="05E56229" w:rsidRPr="006F1F4B">
        <w:t xml:space="preserve"> of</w:t>
      </w:r>
      <w:r w:rsidR="00AF2E44" w:rsidRPr="006F1F4B">
        <w:t xml:space="preserve"> Tremblay Sound</w:t>
      </w:r>
      <w:r w:rsidR="00072D55" w:rsidRPr="006F1F4B">
        <w:t xml:space="preserve">, we sought to use diet analyses to </w:t>
      </w:r>
      <w:r w:rsidR="007727AC" w:rsidRPr="006F1F4B">
        <w:t xml:space="preserve">understand their </w:t>
      </w:r>
      <w:r w:rsidR="00AF6EE9" w:rsidRPr="006F1F4B">
        <w:t xml:space="preserve">exploitation of this resource pulse. </w:t>
      </w:r>
      <w:r w:rsidR="0038324B">
        <w:t xml:space="preserve">Tremblay Sound was identified as a model system </w:t>
      </w:r>
      <w:r w:rsidR="00E239BB">
        <w:t xml:space="preserve">to achieve this objective as it experiences an annual ice-on/ice-off cycle </w:t>
      </w:r>
      <w:r w:rsidR="007043A2">
        <w:t>which produces a pulse of productivity</w:t>
      </w:r>
      <w:r w:rsidR="00922A69">
        <w:t xml:space="preserve">. Included as occupants of Tremblay Sound are Arctic char which </w:t>
      </w:r>
      <w:r w:rsidR="00255EC8">
        <w:t xml:space="preserve">are anadromous migrants in coordination with the sea-ice </w:t>
      </w:r>
      <w:r w:rsidR="00255EC8">
        <w:fldChar w:fldCharType="begin"/>
      </w:r>
      <w:r w:rsidR="00255EC8">
        <w:instrText xml:space="preserve"> ADDIN ZOTERO_ITEM CSL_CITATION {"citationID":"PX11zBCN","properties":{"formattedCitation":"(Hammer et al. 2022)","plainCitation":"(Hammer et al. 2022)","noteIndex":0},"citationItems":[{"id":2577,"uris":["http://zotero.org/users/6698532/items/C2KTA335"],"itemData":{"id":2577,"type":"article-journal","abstract":"Arctic waters are warming rapidly due to climate change, which is altering the timing of seasonal sea ice dynamics. Summer ice breakup provides a critical productivity bloom that consumers depend on. Arctic char Salvelinus alpinus undertake seasonal migrations to marine waters presumably to exploit this prey pulse. However, specific migratory timing and residency of char relative to breakup is largely unknown. To investigate char movement, individuals were tagged with acoustic transmitters in 2017 (n = 58) and 2018 (n = 52) within Tremblay Sound, Nunavut, Canada, resulting in 625 482 detections. Generalized linear models were used to relate multiple movement metrics to ice conditions as well as biological and temporal factors. Char exhibited multiple migratory patterns (chronologies), by which fish either migrated to/from rivers within Tremblay Sound (n = 67), rivers in external systems (n = 35), or a combination of both (n = 8). Fish that migrated exclusively from external systems were longer (~14 cm) than fish exhibiting other chronologies. Migration timing was related to chronology and preempted the specific ice-off date. Fish migrating from rivers within Tremblay Sound entered the marine environment ~7.5 d before the start of ice-off, while external migrants entered ~21 d after ice-off start. Differing migratory chronologies highlight the complexity of char migrations and may indicate the presence of subpopulations or potential ontogenetic shifts in migration behavior. Our study underscores the importance of the brief ice-free season, with potential implications for climate change resilience and management of this important resource in a changing Arctic.","container-title":"Marine Ecology Progress Series","DOI":"10.3354/meps13939","ISSN":"0171-8630, 1616-1599","journalAbbreviation":"Mar. Ecol. Prog. Ser.","language":"en","page":"221-236","source":"DOI.org (Crossref)","title":"Arctic char (Salvelinus alpinus) movement dynamics relative to ice breakup in a high Arctic embayment","volume":"682","author":[{"family":"Hammer","given":"Lj"},{"family":"Hussey","given":"Ne"},{"family":"Marcoux","given":"Mm"},{"family":"Pettitt-Wade","given":"H"},{"family":"Hedges","given":"K"},{"family":"Tallman","given":"R"},{"family":"Furey","given":"Nb"}],"issued":{"date-parts":[["2022"]]}}}],"schema":"https://github.com/citation-style-language/schema/raw/master/csl-citation.json"} </w:instrText>
      </w:r>
      <w:r w:rsidR="00255EC8">
        <w:fldChar w:fldCharType="separate"/>
      </w:r>
      <w:r w:rsidR="00A70399" w:rsidRPr="00A70399">
        <w:t>(Hammer et al. 2022)</w:t>
      </w:r>
      <w:r w:rsidR="00255EC8">
        <w:fldChar w:fldCharType="end"/>
      </w:r>
      <w:r w:rsidR="00B218DD">
        <w:t xml:space="preserve"> and sculpins that are year-round residents </w:t>
      </w:r>
      <w:r w:rsidR="005D7D81">
        <w:t xml:space="preserve">exhibiting </w:t>
      </w:r>
      <w:r w:rsidR="000A0DD4">
        <w:t xml:space="preserve">flexible behaviors across seasons </w:t>
      </w:r>
      <w:r w:rsidR="000A0DD4">
        <w:fldChar w:fldCharType="begin"/>
      </w:r>
      <w:r w:rsidR="000A0DD4">
        <w:instrText xml:space="preserve"> ADDIN ZOTERO_ITEM CSL_CITATION {"citationID":"tRKHBtjI","properties":{"formattedCitation":"(Hermann et al. 2023)","plainCitation":"(Hermann et al. 2023)","noteIndex":0},"citationItems":[{"id":3861,"uris":["http://zotero.org/users/6698532/items/LQS8KWL6"],"itemData":{"id":3861,"type":"article-journal","abstract":"Environments change across space and time, often requiring organisms to exhibit behavioral responses. In the Arctic, migratory consumers are motivated by spring resources to follow receding ice; however, resident species’ responses to this ephemeral productivity are less well understood. We characterized the movement behaviors of relatively sedentary Arctic species of sculpin ( Myoxocephalus spp.) in Tremblay Sound, Nunavut, Canada. Movements of individuals ( n = 60) captured during the ice-free periods of 2017–2019 were monitored year-round via an array of acoustic telemetry receivers ( n = 37). Telemetry data confirmed year-round residency within the Sound, yet sculpins were consistently more active and wider ranging during the ice-free period versus the ice-covered winters. Sequence analysis revealed distinct patterns of activity differentiated primarily by regional associations. Together, these results indicate sculpins are highly sedentary, but move more during the ice-free season, suggesting the importance of the seasonal productivity pulse to these fishes. As resident species are adapted to exploit the conditions within their local environment, sculpins provide valuable indicator species to monitor coastal and benthic Arctic ecosystems that are experiencing rapid change.","container-title":"Canadian Journal of Fisheries and Aquatic Sciences","DOI":"10.1139/cjfas-2023-0042","ISSN":"0706-652X, 1205-7533","journalAbbreviation":"Can. J. Fish. Aquat. Sci.","language":"en","page":"cjfas-2023-0042","source":"DOI.org (Crossref)","title":"Year-round monitoring of Arctic species of sculpin to identify residency and seasonality of movement behavior","author":[{"family":"Hermann","given":"Nathan T."},{"family":"Hammer","given":"Lars J."},{"family":"Hussey","given":"Nigel E."},{"family":"Marcoux","given":"Marianne"},{"family":"Hedges","given":"Kevin J."},{"family":"Walter","given":"Ryan P."},{"family":"Furey","given":"Nathan B."}],"issued":{"date-parts":[["2023",8,3]]}}}],"schema":"https://github.com/citation-style-language/schema/raw/master/csl-citation.json"} </w:instrText>
      </w:r>
      <w:r w:rsidR="000A0DD4">
        <w:fldChar w:fldCharType="separate"/>
      </w:r>
      <w:r w:rsidR="00A70399" w:rsidRPr="00A70399">
        <w:t>(Hermann et al. 2023)</w:t>
      </w:r>
      <w:r w:rsidR="000A0DD4">
        <w:fldChar w:fldCharType="end"/>
      </w:r>
      <w:r w:rsidR="004408FA">
        <w:t xml:space="preserve">. </w:t>
      </w:r>
      <w:r w:rsidR="00AF6EE9" w:rsidRPr="006F1F4B">
        <w:t>Specifically, the</w:t>
      </w:r>
      <w:r w:rsidR="65C27542" w:rsidRPr="006F1F4B">
        <w:t xml:space="preserve"> objective of this study was to compare the </w:t>
      </w:r>
      <w:r w:rsidR="24675A74" w:rsidRPr="006F1F4B">
        <w:t xml:space="preserve">feeding rates and diet composition of </w:t>
      </w:r>
      <w:r w:rsidR="631E7AD6" w:rsidRPr="006F1F4B">
        <w:t>a resident and migrant fish through the seasonal prey pulse.</w:t>
      </w:r>
      <w:r w:rsidR="00AF2E44" w:rsidRPr="006F1F4B">
        <w:t xml:space="preserve"> We hypothesize that </w:t>
      </w:r>
      <w:r w:rsidR="004408FA">
        <w:t>several metrics of</w:t>
      </w:r>
      <w:r w:rsidR="002F5B3E" w:rsidRPr="006F1F4B">
        <w:t xml:space="preserve"> diet will </w:t>
      </w:r>
      <w:r w:rsidR="005127EC">
        <w:t xml:space="preserve">differ between Arctic char and sculpins reflecting their contrasting behaviors surrounding the </w:t>
      </w:r>
      <w:r w:rsidR="00AE7F63">
        <w:t>pulse</w:t>
      </w:r>
      <w:r w:rsidR="00047F8E" w:rsidRPr="006F1F4B">
        <w:t xml:space="preserve">. We predict that while Arctic char will feed on </w:t>
      </w:r>
      <w:r w:rsidR="000F3B28" w:rsidRPr="006F1F4B">
        <w:t xml:space="preserve">energetically dense prey items at consistent rates, sculpins will </w:t>
      </w:r>
      <w:r w:rsidR="002A603E" w:rsidRPr="006F1F4B">
        <w:t>intermittently gorge on a broad, benthic diet.</w:t>
      </w:r>
    </w:p>
    <w:p w14:paraId="13424F1C" w14:textId="10723150" w:rsidR="521CBC1F" w:rsidRPr="006F1F4B" w:rsidRDefault="521CBC1F" w:rsidP="00D13D88"/>
    <w:p w14:paraId="0FA1E394" w14:textId="3C6D2343" w:rsidR="00484AE9" w:rsidRPr="006F1F4B" w:rsidRDefault="0370CE80" w:rsidP="00D13D88">
      <w:pPr>
        <w:pStyle w:val="Heading1"/>
      </w:pPr>
      <w:r w:rsidRPr="006F1F4B">
        <w:t>Methods</w:t>
      </w:r>
    </w:p>
    <w:p w14:paraId="6FAB34D8" w14:textId="4E047EF5" w:rsidR="4736811B" w:rsidRPr="006F1F4B" w:rsidRDefault="50726BF8" w:rsidP="002760C0">
      <w:pPr>
        <w:ind w:firstLine="720"/>
      </w:pPr>
      <w:r w:rsidRPr="006F1F4B">
        <w:lastRenderedPageBreak/>
        <w:t>Fish were captured in Tremblay Sound, Nunavut, Canada (72.357° N, 81.108° W)</w:t>
      </w:r>
      <w:r w:rsidR="198FAF37" w:rsidRPr="006F1F4B">
        <w:t xml:space="preserve"> in the summers of 2017, 2018, and 2019</w:t>
      </w:r>
      <w:r w:rsidRPr="006F1F4B">
        <w:t>. Arctic char were primarily captured using</w:t>
      </w:r>
      <w:r w:rsidR="27E19F74" w:rsidRPr="006F1F4B">
        <w:t xml:space="preserve"> gillnets with a ~15 cm stretched mesh between </w:t>
      </w:r>
      <w:r w:rsidR="21A04982" w:rsidRPr="006F1F4B">
        <w:t>19</w:t>
      </w:r>
      <w:r w:rsidR="00902ECF">
        <w:t>-</w:t>
      </w:r>
      <w:r w:rsidR="21A04982" w:rsidRPr="006F1F4B">
        <w:t>Jul</w:t>
      </w:r>
      <w:r w:rsidR="00A7707E">
        <w:t>-2017</w:t>
      </w:r>
      <w:r w:rsidR="21A04982" w:rsidRPr="006F1F4B">
        <w:t xml:space="preserve"> and 4</w:t>
      </w:r>
      <w:r w:rsidR="00902ECF">
        <w:t>-</w:t>
      </w:r>
      <w:r w:rsidR="21A04982" w:rsidRPr="006F1F4B">
        <w:t>Sep</w:t>
      </w:r>
      <w:r w:rsidR="00A7707E">
        <w:t>-</w:t>
      </w:r>
      <w:r w:rsidR="21A04982" w:rsidRPr="006F1F4B">
        <w:t>2017, 20</w:t>
      </w:r>
      <w:r w:rsidR="00A7707E">
        <w:t>-</w:t>
      </w:r>
      <w:r w:rsidR="21A04982" w:rsidRPr="006F1F4B">
        <w:t>Jul</w:t>
      </w:r>
      <w:r w:rsidR="00A7707E">
        <w:t>-2018</w:t>
      </w:r>
      <w:r w:rsidR="21A04982" w:rsidRPr="006F1F4B">
        <w:t xml:space="preserve"> and 28</w:t>
      </w:r>
      <w:r w:rsidR="00A7707E">
        <w:t>-</w:t>
      </w:r>
      <w:r w:rsidR="21A04982" w:rsidRPr="006F1F4B">
        <w:t>Aug</w:t>
      </w:r>
      <w:r w:rsidR="00A7707E">
        <w:t>-</w:t>
      </w:r>
      <w:r w:rsidR="21A04982" w:rsidRPr="006F1F4B">
        <w:t>2018, and</w:t>
      </w:r>
      <w:r w:rsidR="653FB333" w:rsidRPr="006F1F4B">
        <w:t xml:space="preserve"> 8</w:t>
      </w:r>
      <w:r w:rsidR="00A7707E">
        <w:t>-</w:t>
      </w:r>
      <w:r w:rsidR="653FB333" w:rsidRPr="006F1F4B">
        <w:t>Aug</w:t>
      </w:r>
      <w:r w:rsidR="00A7707E">
        <w:t>-2019</w:t>
      </w:r>
      <w:r w:rsidR="653FB333" w:rsidRPr="006F1F4B">
        <w:t xml:space="preserve"> and 14</w:t>
      </w:r>
      <w:r w:rsidR="00A7707E">
        <w:t>-</w:t>
      </w:r>
      <w:r w:rsidR="653FB333" w:rsidRPr="006F1F4B">
        <w:t>Aug</w:t>
      </w:r>
      <w:r w:rsidR="00A7707E">
        <w:t>-</w:t>
      </w:r>
      <w:r w:rsidR="653FB333" w:rsidRPr="006F1F4B">
        <w:t xml:space="preserve">2019. </w:t>
      </w:r>
      <w:r w:rsidR="24770E92" w:rsidRPr="006F1F4B">
        <w:t xml:space="preserve">Nets were carefully watched during deployment and any fish that hit were immediately removed from the net. </w:t>
      </w:r>
      <w:r w:rsidR="653FB333" w:rsidRPr="006F1F4B">
        <w:t>Sculpin species</w:t>
      </w:r>
      <w:r w:rsidR="00623552">
        <w:t xml:space="preserve"> </w:t>
      </w:r>
      <w:commentRangeStart w:id="7"/>
      <w:r w:rsidR="00623552">
        <w:t>(</w:t>
      </w:r>
      <w:r w:rsidR="00623552">
        <w:rPr>
          <w:i/>
          <w:iCs/>
        </w:rPr>
        <w:t xml:space="preserve">Myoxocephalus </w:t>
      </w:r>
      <w:r w:rsidR="00623552">
        <w:t>spp.)</w:t>
      </w:r>
      <w:commentRangeEnd w:id="7"/>
      <w:r w:rsidR="00BA05C4">
        <w:rPr>
          <w:rStyle w:val="CommentReference"/>
        </w:rPr>
        <w:commentReference w:id="7"/>
      </w:r>
      <w:r w:rsidR="653FB333" w:rsidRPr="006F1F4B">
        <w:t xml:space="preserve"> were captured using a fyke net deployed </w:t>
      </w:r>
      <w:r w:rsidR="1356A481" w:rsidRPr="006F1F4B">
        <w:t>between 23</w:t>
      </w:r>
      <w:r w:rsidR="00A7707E">
        <w:t>-</w:t>
      </w:r>
      <w:r w:rsidR="1356A481" w:rsidRPr="006F1F4B">
        <w:t>July</w:t>
      </w:r>
      <w:r w:rsidR="00A7707E">
        <w:t>-2017</w:t>
      </w:r>
      <w:r w:rsidR="1356A481" w:rsidRPr="006F1F4B">
        <w:t xml:space="preserve"> and 26</w:t>
      </w:r>
      <w:r w:rsidR="00A7707E">
        <w:t>-</w:t>
      </w:r>
      <w:r w:rsidR="1356A481" w:rsidRPr="006F1F4B">
        <w:t>Aug</w:t>
      </w:r>
      <w:r w:rsidR="00A7707E">
        <w:t>-</w:t>
      </w:r>
      <w:r w:rsidR="1356A481" w:rsidRPr="006F1F4B">
        <w:t xml:space="preserve">2017, </w:t>
      </w:r>
      <w:r w:rsidR="1041B378" w:rsidRPr="006F1F4B">
        <w:t>31</w:t>
      </w:r>
      <w:r w:rsidR="00A7707E">
        <w:t>-</w:t>
      </w:r>
      <w:r w:rsidR="1041B378" w:rsidRPr="006F1F4B">
        <w:t>Jul</w:t>
      </w:r>
      <w:r w:rsidR="00A7707E">
        <w:t>-2018</w:t>
      </w:r>
      <w:r w:rsidR="1041B378" w:rsidRPr="006F1F4B">
        <w:t xml:space="preserve"> and </w:t>
      </w:r>
      <w:r w:rsidR="002A51E2">
        <w:t>11</w:t>
      </w:r>
      <w:r w:rsidR="00A7707E">
        <w:t>-</w:t>
      </w:r>
      <w:r w:rsidR="1041B378" w:rsidRPr="006F1F4B">
        <w:t>Sep</w:t>
      </w:r>
      <w:r w:rsidR="00A7707E">
        <w:t>-</w:t>
      </w:r>
      <w:r w:rsidR="00EF58C6">
        <w:t>2</w:t>
      </w:r>
      <w:r w:rsidR="1041B378" w:rsidRPr="006F1F4B">
        <w:t>018, and 12</w:t>
      </w:r>
      <w:r w:rsidR="00A7707E">
        <w:t>-</w:t>
      </w:r>
      <w:r w:rsidR="1041B378" w:rsidRPr="006F1F4B">
        <w:t>Aug</w:t>
      </w:r>
      <w:r w:rsidR="00A7707E">
        <w:t>-2019</w:t>
      </w:r>
      <w:r w:rsidR="1041B378" w:rsidRPr="006F1F4B">
        <w:t xml:space="preserve"> and 21</w:t>
      </w:r>
      <w:r w:rsidR="00A7707E">
        <w:t>-</w:t>
      </w:r>
      <w:r w:rsidR="1041B378" w:rsidRPr="006F1F4B">
        <w:t>Aug</w:t>
      </w:r>
      <w:r w:rsidR="00A7707E">
        <w:t>-</w:t>
      </w:r>
      <w:r w:rsidR="1041B378" w:rsidRPr="006F1F4B">
        <w:t xml:space="preserve">2019. The fyke net was checked </w:t>
      </w:r>
      <w:r w:rsidR="005F41F1">
        <w:t xml:space="preserve">and fish and other organisms were collected </w:t>
      </w:r>
      <w:r w:rsidR="1041B378" w:rsidRPr="006F1F4B">
        <w:t>at every low tide</w:t>
      </w:r>
      <w:r w:rsidR="00220D09">
        <w:t xml:space="preserve"> </w:t>
      </w:r>
      <w:r w:rsidR="007F7473">
        <w:t xml:space="preserve">resulting in </w:t>
      </w:r>
      <w:r w:rsidR="0078111C">
        <w:t>85</w:t>
      </w:r>
      <w:r w:rsidR="00EA126C">
        <w:t xml:space="preserve">, </w:t>
      </w:r>
      <w:r w:rsidR="002A51E2">
        <w:t xml:space="preserve">79, and </w:t>
      </w:r>
      <w:r w:rsidR="00FB7332">
        <w:t>18 collections in 2017, 2018, and 2019, respectively</w:t>
      </w:r>
      <w:r w:rsidR="1041B378" w:rsidRPr="006F1F4B">
        <w:t>.</w:t>
      </w:r>
      <w:r w:rsidR="1175DB48" w:rsidRPr="006F1F4B">
        <w:t xml:space="preserve"> </w:t>
      </w:r>
    </w:p>
    <w:p w14:paraId="183919FF" w14:textId="77777777" w:rsidR="00AA7687" w:rsidRDefault="760BD253" w:rsidP="00AA7687">
      <w:pPr>
        <w:ind w:firstLine="720"/>
      </w:pPr>
      <w:r w:rsidRPr="006F1F4B">
        <w:t xml:space="preserve">Captured </w:t>
      </w:r>
      <w:r w:rsidR="61774EC1" w:rsidRPr="006F1F4B">
        <w:t xml:space="preserve">fish were euthanized and were measured for total length (TL) and </w:t>
      </w:r>
      <w:r w:rsidR="00896526">
        <w:t>weight</w:t>
      </w:r>
      <w:r w:rsidR="61774EC1" w:rsidRPr="006F1F4B">
        <w:t>. Additionally, a Fulton’s condition factor</w:t>
      </w:r>
      <w:r w:rsidR="75342688" w:rsidRPr="006F1F4B">
        <w:t xml:space="preserve"> </w:t>
      </w:r>
      <w:r w:rsidR="10AABE23" w:rsidRPr="006F1F4B">
        <w:t>(</w:t>
      </w:r>
      <w:r w:rsidR="10AABE23" w:rsidRPr="006F1F4B">
        <w:rPr>
          <w:rFonts w:ascii="Cambria Math" w:hAnsi="Cambria Math" w:cs="Cambria Math"/>
        </w:rPr>
        <w:t>𝐾</w:t>
      </w:r>
      <w:r w:rsidR="10AABE23" w:rsidRPr="006F1F4B">
        <w:t xml:space="preserve"> = 100</w:t>
      </w:r>
      <w:r w:rsidR="00C9430C" w:rsidRPr="006F1F4B">
        <w:t>*</w:t>
      </w:r>
      <w:r w:rsidR="00C521F1" w:rsidRPr="006F1F4B">
        <w:t>(</w:t>
      </w:r>
      <m:oMath>
        <m:f>
          <m:fPr>
            <m:type m:val="lin"/>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TL</m:t>
                </m:r>
              </m:e>
              <m:sup>
                <m:r>
                  <w:rPr>
                    <w:rFonts w:ascii="Cambria Math" w:hAnsi="Cambria Math"/>
                  </w:rPr>
                  <m:t>3</m:t>
                </m:r>
              </m:sup>
            </m:sSup>
          </m:den>
        </m:f>
      </m:oMath>
      <w:r w:rsidR="00C521F1" w:rsidRPr="006F1F4B">
        <w:t>)</w:t>
      </w:r>
      <w:r w:rsidR="10AABE23" w:rsidRPr="006F1F4B">
        <w:t>; where W = weight;</w:t>
      </w:r>
      <w:r w:rsidR="00733FC1" w:rsidRPr="006F1F4B">
        <w:t xml:space="preserve"> </w:t>
      </w:r>
      <w:r w:rsidR="00803271" w:rsidRPr="006F1F4B">
        <w:fldChar w:fldCharType="begin"/>
      </w:r>
      <w:r w:rsidR="00DD1BFE" w:rsidRPr="006F1F4B">
        <w:instrText xml:space="preserve"> ADDIN ZOTERO_ITEM CSL_CITATION {"citationID":"SPBi7ATI","properties":{"formattedCitation":"(Ricker 1975)","plainCitation":"(Ricker 1975)","dontUpdate":true,"noteIndex":0},"citationItems":[{"id":3471,"uris":["http://zotero.org/users/6698532/items/YSMQYWHT"],"itemData":{"id":3471,"type":"report","language":"en","number":"Bulletin 191","page":"1-367","publisher":"Environment Canada","source":"Zotero","title":"Computation and Interpretation of Biological Statistics of Fish Populations","author":[{"family":"Ricker","given":"W E"}],"issued":{"date-parts":[["1975"]]}}}],"schema":"https://github.com/citation-style-language/schema/raw/master/csl-citation.json"} </w:instrText>
      </w:r>
      <w:r w:rsidR="00803271" w:rsidRPr="006F1F4B">
        <w:fldChar w:fldCharType="separate"/>
      </w:r>
      <w:r w:rsidR="004B5E9B" w:rsidRPr="006F1F4B">
        <w:t>Ricker 1975)</w:t>
      </w:r>
      <w:r w:rsidR="00803271" w:rsidRPr="006F1F4B">
        <w:fldChar w:fldCharType="end"/>
      </w:r>
      <w:r w:rsidR="10AABE23" w:rsidRPr="006F1F4B">
        <w:t xml:space="preserve"> was calculated for each fish. </w:t>
      </w:r>
      <w:r w:rsidR="4E5E683D" w:rsidRPr="006F1F4B">
        <w:t>Measured fish were then dissected and their stomachs were removed</w:t>
      </w:r>
      <w:r w:rsidR="149CD82E" w:rsidRPr="006F1F4B">
        <w:t>.</w:t>
      </w:r>
      <w:r w:rsidR="4FD4A7A6" w:rsidRPr="006F1F4B">
        <w:t xml:space="preserve"> In 2017, stomach contents were picked at the field site without a microscope</w:t>
      </w:r>
      <w:r w:rsidR="014F36BE" w:rsidRPr="006F1F4B">
        <w:t xml:space="preserve"> and were not weighed</w:t>
      </w:r>
      <w:r w:rsidR="4FD4A7A6" w:rsidRPr="006F1F4B">
        <w:t>.</w:t>
      </w:r>
      <w:r w:rsidR="149CD82E" w:rsidRPr="006F1F4B">
        <w:t xml:space="preserve"> </w:t>
      </w:r>
      <w:r w:rsidR="1FC51791" w:rsidRPr="006F1F4B">
        <w:t>In 2018, stomachs were weighed in the field, frozen, and shipped whole to the University of Windsor for storage.</w:t>
      </w:r>
      <w:r w:rsidR="7A883B1F" w:rsidRPr="006F1F4B">
        <w:t xml:space="preserve"> One 2018 char sample was not relocated after shipping.</w:t>
      </w:r>
      <w:r w:rsidR="1FC51791" w:rsidRPr="006F1F4B">
        <w:t xml:space="preserve"> In 2019, stomach content</w:t>
      </w:r>
      <w:r w:rsidR="74F0F9B5" w:rsidRPr="006F1F4B">
        <w:t>s were removed from the stomach, weighed, frozen, and shipped to the University of New Hampshire.</w:t>
      </w:r>
      <w:r w:rsidR="225479A6" w:rsidRPr="006F1F4B">
        <w:t xml:space="preserve"> Empty stomachs were weighed and discarded in 2019.</w:t>
      </w:r>
      <w:r w:rsidR="74F0F9B5" w:rsidRPr="006F1F4B">
        <w:t xml:space="preserve"> </w:t>
      </w:r>
      <w:r w:rsidR="006F3E32">
        <w:t>Fresh diet items from 2017 and t</w:t>
      </w:r>
      <w:r w:rsidR="00D0185F">
        <w:t>hawed diet items from 2018 and 2019</w:t>
      </w:r>
      <w:r w:rsidR="006B7333" w:rsidRPr="006F1F4B">
        <w:t xml:space="preserve"> were sorted to the lowest taxonomic level and each taxa present was enumerated and massed. </w:t>
      </w:r>
      <w:r w:rsidR="27F7DE99" w:rsidRPr="006F1F4B">
        <w:t>All capture and dissection methods were approved by the University of Windsor (AUPP: #17-12) and the University of New Hampshire</w:t>
      </w:r>
      <w:r w:rsidR="58C145DC" w:rsidRPr="006F1F4B">
        <w:t xml:space="preserve"> (IACUC:#180602).</w:t>
      </w:r>
      <w:r w:rsidR="616FD2A3" w:rsidRPr="006F1F4B">
        <w:t xml:space="preserve"> </w:t>
      </w:r>
      <w:r w:rsidR="580FE8BE" w:rsidRPr="006F1F4B">
        <w:t>Sampling protocols also followed a quota set by the local Pond Inlet Hunters and Trappers Organization, which defined the maximum number of individuals that could be sacrificed for dissection.</w:t>
      </w:r>
      <w:r w:rsidR="00AA7687" w:rsidRPr="00AA7687">
        <w:t xml:space="preserve"> </w:t>
      </w:r>
    </w:p>
    <w:p w14:paraId="75A4A1DE" w14:textId="3021B568" w:rsidR="00AA7687" w:rsidRPr="006F1F4B" w:rsidRDefault="00AA7687" w:rsidP="00AA7687">
      <w:pPr>
        <w:ind w:firstLine="720"/>
      </w:pPr>
      <w:r w:rsidRPr="006F1F4B">
        <w:t xml:space="preserve">Feeding intensity was expressed for both species as relative consumption, calculated as the wet mass of the diet contents divided by the wet mass of the fish (g/g). The wet mass of diet contents was calculated as the weight of the full stomach divided by the weight of the empty stomach. Diet content mass was not measured for 2017 fish, so a relative consumption could not be calculated, and they </w:t>
      </w:r>
      <w:r>
        <w:t>were</w:t>
      </w:r>
      <w:r w:rsidRPr="006F1F4B">
        <w:t xml:space="preserve"> removed from further analyses of feeding intensity. </w:t>
      </w:r>
    </w:p>
    <w:p w14:paraId="194D5E0D" w14:textId="415F92E6" w:rsidR="4736811B" w:rsidRPr="006F1F4B" w:rsidRDefault="4F7ADE61" w:rsidP="4F7ADE61">
      <w:pPr>
        <w:ind w:firstLine="720"/>
      </w:pPr>
      <w:r>
        <w:lastRenderedPageBreak/>
        <w:t xml:space="preserve">A generalized linear model (GLM) framework was used to analyze factors contributing to relative consumption. Explanatory variables in the models included species (char, sculpin), year (2018, 2019), and month (July, August, September). The </w:t>
      </w:r>
      <w:bookmarkStart w:id="8" w:name="_Int_T9zNTMws"/>
      <w:r>
        <w:t>initial</w:t>
      </w:r>
      <w:bookmarkEnd w:id="8"/>
      <w:r>
        <w:t xml:space="preserve"> GLM was constructed with a binomial distribution to </w:t>
      </w:r>
      <w:bookmarkStart w:id="9" w:name="_Int_2nRi8PBK"/>
      <w:r>
        <w:t>determine</w:t>
      </w:r>
      <w:bookmarkEnd w:id="9"/>
      <w:r>
        <w:t xml:space="preserve"> the factors contributing to empty (0) or not-empty (1) stomachs. A second GLM </w:t>
      </w:r>
      <w:bookmarkStart w:id="10" w:name="_Int_buq47ftV"/>
      <w:r>
        <w:t>containing</w:t>
      </w:r>
      <w:bookmarkEnd w:id="10"/>
      <w:r>
        <w:t xml:space="preserve"> the same explanatory variables was run with a gamma distribution for only those fish that fed (i.e., relative consumption &gt; 0). This hurdle GLM allowed the determination of variable importance to whether individuals fed (binomial model) and when they had, the </w:t>
      </w:r>
      <w:bookmarkStart w:id="11" w:name="_Int_s0ApIAUU"/>
      <w:r>
        <w:t>magnitude</w:t>
      </w:r>
      <w:bookmarkEnd w:id="11"/>
      <w:r>
        <w:t xml:space="preserve"> of their consumption (Gamma model;</w:t>
      </w:r>
      <w:r w:rsidR="00AA7687">
        <w:fldChar w:fldCharType="begin"/>
      </w:r>
      <w:r w:rsidR="00AA7687">
        <w:instrText xml:space="preserve"> ADDIN ZOTERO_ITEM CSL_CITATION {"citationID":"DNc7OmMb","properties":{"formattedCitation":"(Bolker et al. 2009)","plainCitation":"(Bolker et al. 2009)","dontUpdate":true,"noteIndex":0},"citationItems":[{"id":348,"uris":["http://zotero.org/users/6698532/items/PN84WLDJ"],"itemData":{"id":348,"type":"article-journal","abstract":"How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 © 2008 Elsevier Ltd. All rights reserved.","container-title":"Trends in Ecology and Evolution","DOI":"10.1016/j.tree.2008.10.008","issue":"3","page":"127-135","title":"Generalized linear mixed models: a practical guide for ecology and evolution","volume":"24","author":[{"family":"Bolker","given":"Benjamin M."},{"family":"Brooks","given":"Mollie E."},{"family":"Clark","given":"Connie J."},{"family":"Geange","given":"Shane W."},{"family":"Poulsen","given":"John R."},{"family":"Stevens","given":"M. Henry H."},{"family":"White","given":"Jada Simone S."}],"issued":{"date-parts":[["2009"]]}}}],"schema":"https://github.com/citation-style-language/schema/raw/master/csl-citation.json"} </w:instrText>
      </w:r>
      <w:r w:rsidR="00AA7687">
        <w:fldChar w:fldCharType="separate"/>
      </w:r>
      <w:r>
        <w:t xml:space="preserve"> Bolker et al. 2009)</w:t>
      </w:r>
      <w:r w:rsidR="00AA7687">
        <w:fldChar w:fldCharType="end"/>
      </w:r>
      <w:r>
        <w:t xml:space="preserve">. All subsets regression was performed using the </w:t>
      </w:r>
      <w:r w:rsidRPr="4F7ADE61">
        <w:rPr>
          <w:i/>
          <w:iCs/>
        </w:rPr>
        <w:t>dredge</w:t>
      </w:r>
      <w:r>
        <w:t xml:space="preserve"> function from the </w:t>
      </w:r>
      <w:r w:rsidRPr="4F7ADE61">
        <w:rPr>
          <w:i/>
          <w:iCs/>
        </w:rPr>
        <w:t>MuMIn</w:t>
      </w:r>
      <w:r>
        <w:t xml:space="preserve"> package </w:t>
      </w:r>
      <w:r w:rsidR="00AA7687">
        <w:fldChar w:fldCharType="begin"/>
      </w:r>
      <w:r w:rsidR="00AA7687">
        <w:instrText xml:space="preserve"> ADDIN ZOTERO_ITEM CSL_CITATION {"citationID":"AGUDueT6","properties":{"formattedCitation":"(Barto\\uc0\\u324{} 2020)","plainCitation":"(Bartoń 2020)","noteIndex":0},"citationItems":[{"id":1713,"uris":["http://zotero.org/users/6698532/items/8IFU2BDK"],"itemData":{"id":1713,"type":"report","abstract":"Tools for performing model selection and model averaging. Automated model selection through subsetting the maximum model, with optional constraints for model inclusion. Model parameter and prediction averaging based on model weights derived from information criteria (AICc and alike) or custom model weighting schemes.","page":"1-75","title":"MuMIn: Multi-Model Inference","URL":"https://cran.r-project.org/web/packages/MuMIn/MuMIn.pdf","author":[{"family":"Bartoń","given":"Kamil"}],"issued":{"date-parts":[["2020",4,15]]}}}],"schema":"https://github.com/citation-style-language/schema/raw/master/csl-citation.json"} </w:instrText>
      </w:r>
      <w:r w:rsidR="00AA7687">
        <w:fldChar w:fldCharType="separate"/>
      </w:r>
      <w:r w:rsidR="00A70399" w:rsidRPr="00A70399">
        <w:rPr>
          <w:szCs w:val="24"/>
        </w:rPr>
        <w:t>(Bartoń 2020)</w:t>
      </w:r>
      <w:r w:rsidR="00AA7687">
        <w:fldChar w:fldCharType="end"/>
      </w:r>
      <w:r>
        <w:t xml:space="preserve"> in R (v4.0.2; R Core Team 2020). The model with the lowest Akaike Information Criterion with a correction for small sample size, AICc, was selected as the most parsimonious model. Akaike weights (W</w:t>
      </w:r>
      <w:r w:rsidRPr="4F7ADE61">
        <w:rPr>
          <w:vertAlign w:val="subscript"/>
        </w:rPr>
        <w:t>i</w:t>
      </w:r>
      <w:r w:rsidRPr="4F7ADE61">
        <w:t xml:space="preserve">) were used to determine the models with highest likelyhood, where higher weights indicate higher relative likelyhood. </w:t>
      </w:r>
    </w:p>
    <w:p w14:paraId="055B8379" w14:textId="1B31713A" w:rsidR="00472F1A" w:rsidRPr="006F1F4B" w:rsidRDefault="2BB49630" w:rsidP="00FF3E37">
      <w:pPr>
        <w:ind w:firstLine="720"/>
      </w:pPr>
      <w:r w:rsidRPr="006F1F4B">
        <w:t>Diet composition was assessed using frequency of occurrence (FOO</w:t>
      </w:r>
      <w:r w:rsidR="006F3E32">
        <w:t xml:space="preserve">; </w:t>
      </w:r>
      <w:r w:rsidR="003F7136" w:rsidRPr="006F1F4B">
        <w:fldChar w:fldCharType="begin"/>
      </w:r>
      <w:r w:rsidR="0062474E">
        <w:instrText xml:space="preserve"> ADDIN ZOTERO_ITEM CSL_CITATION {"citationID":"QggxJ1on","properties":{"formattedCitation":"(Garvey and Chipps 2013)","plainCitation":"(Garvey and Chipps 2013)","dontUpdate":true,"noteIndex":0},"citationItems":[{"id":861,"uris":["http://zotero.org/users/6698532/items/FHB7SGFR"],"itemData":{"id":861,"type":"chapter","container-title":"Fisheries Techniques","edition":"3","event-place":"Bethesda, USA","page":"1-48","publisher":"American Fisheries Society","publisher-place":"Bethesda, USA","title":"Diets and Energy Flow","author":[{"family":"Garvey","given":"James E."},{"family":"Chipps","given":"Steven R."}],"editor":[{"family":"Zale","given":"Alexander V."},{"family":"Parrish","given":"Donna L."},{"family":"Sutton","given":"Trent M."}],"issued":{"date-parts":[["2013"]]}}}],"schema":"https://github.com/citation-style-language/schema/raw/master/csl-citation.json"} </w:instrText>
      </w:r>
      <w:r w:rsidR="003F7136" w:rsidRPr="006F1F4B">
        <w:fldChar w:fldCharType="separate"/>
      </w:r>
      <w:r w:rsidR="006948B6" w:rsidRPr="006948B6">
        <w:t>Garvey and Chipps 2013)</w:t>
      </w:r>
      <w:r w:rsidR="003F7136" w:rsidRPr="006F1F4B">
        <w:fldChar w:fldCharType="end"/>
      </w:r>
      <w:r w:rsidRPr="006F1F4B">
        <w:t xml:space="preserve">. </w:t>
      </w:r>
      <w:r w:rsidR="005E2DB1" w:rsidRPr="006F1F4B">
        <w:t>FOO for</w:t>
      </w:r>
      <w:r w:rsidR="0A51B3A0" w:rsidRPr="006F1F4B">
        <w:t xml:space="preserve"> each prey type (lowest taxonomic level) was calculated for each</w:t>
      </w:r>
      <w:r w:rsidR="008D32DE">
        <w:t xml:space="preserve"> species (Arctic char and sculpins) and</w:t>
      </w:r>
      <w:r w:rsidR="0A51B3A0" w:rsidRPr="006F1F4B">
        <w:t xml:space="preserve"> year as the p</w:t>
      </w:r>
      <w:r w:rsidR="0403FD1D" w:rsidRPr="006F1F4B">
        <w:t>ercentage</w:t>
      </w:r>
      <w:r w:rsidR="0A51B3A0" w:rsidRPr="006F1F4B">
        <w:t xml:space="preserve"> of </w:t>
      </w:r>
      <w:r w:rsidR="67A6D82D" w:rsidRPr="006F1F4B">
        <w:t>diets</w:t>
      </w:r>
      <w:r w:rsidR="0A51B3A0" w:rsidRPr="006F1F4B">
        <w:t xml:space="preserve"> that contained a specified prey item.</w:t>
      </w:r>
      <w:r w:rsidR="2B0578A1" w:rsidRPr="006F1F4B">
        <w:t xml:space="preserve"> </w:t>
      </w:r>
      <w:r w:rsidR="6A37CB2C" w:rsidRPr="006F1F4B">
        <w:t>Other common diet analysis metrics (percent numeric abundance and percent mass</w:t>
      </w:r>
      <w:r w:rsidR="004A334F" w:rsidRPr="006F1F4B">
        <w:t xml:space="preserve">; </w:t>
      </w:r>
      <w:r w:rsidR="00697D4C" w:rsidRPr="006F1F4B">
        <w:fldChar w:fldCharType="begin"/>
      </w:r>
      <w:r w:rsidR="001759DF" w:rsidRPr="006F1F4B">
        <w:instrText xml:space="preserve"> ADDIN ZOTERO_ITEM CSL_CITATION {"citationID":"gOkqUzWc","properties":{"formattedCitation":"(Garvey and Chipps 2013)","plainCitation":"(Garvey and Chipps 2013)","dontUpdate":true,"noteIndex":0},"citationItems":[{"id":861,"uris":["http://zotero.org/users/6698532/items/FHB7SGFR"],"itemData":{"id":861,"type":"chapter","container-title":"Fisheries Techniques","edition":"3","event-place":"Bethesda, USA","page":"1-48","publisher":"American Fisheries Society","publisher-place":"Bethesda, USA","title":"Diets and Energy Flow","author":[{"family":"Garvey","given":"James E."},{"family":"Chipps","given":"Steven R."}],"editor":[{"family":"Zale","given":"Alexander V."},{"family":"Parrish","given":"Donna L."},{"family":"Sutton","given":"Trent M."}],"issued":{"date-parts":[["2013"]]}}}],"schema":"https://github.com/citation-style-language/schema/raw/master/csl-citation.json"} </w:instrText>
      </w:r>
      <w:r w:rsidR="00697D4C" w:rsidRPr="006F1F4B">
        <w:fldChar w:fldCharType="separate"/>
      </w:r>
      <w:r w:rsidR="00697D4C" w:rsidRPr="006F1F4B">
        <w:t>Garvey and Chipps 2013)</w:t>
      </w:r>
      <w:r w:rsidR="00697D4C" w:rsidRPr="006F1F4B">
        <w:fldChar w:fldCharType="end"/>
      </w:r>
      <w:r w:rsidR="6A37CB2C" w:rsidRPr="006F1F4B">
        <w:t xml:space="preserve"> were not included in this study due to </w:t>
      </w:r>
      <w:r w:rsidR="45896AAE" w:rsidRPr="006F1F4B">
        <w:t>procedural variations (i.e., diet contents were not consistently counted or massed in 2017) and inconsistencies in identifiability across diets (</w:t>
      </w:r>
      <w:r w:rsidR="0B1203B8" w:rsidRPr="006F1F4B">
        <w:t>i.e., percent numeric abundance and percent mass could not be calculated</w:t>
      </w:r>
      <w:r w:rsidR="71436C67" w:rsidRPr="006F1F4B">
        <w:t xml:space="preserve"> for diets with unidentifiable prey).</w:t>
      </w:r>
      <w:r w:rsidR="00472F1A" w:rsidRPr="006F1F4B">
        <w:t xml:space="preserve"> </w:t>
      </w:r>
      <w:r w:rsidR="000B0F8F">
        <w:t xml:space="preserve">Presence-absence data was </w:t>
      </w:r>
      <w:r w:rsidR="00A7089D">
        <w:t xml:space="preserve">ordinated by </w:t>
      </w:r>
      <w:r w:rsidR="002760C0">
        <w:t>NMDS</w:t>
      </w:r>
      <w:r w:rsidR="00A7089D">
        <w:t xml:space="preserve"> to assess diet composition </w:t>
      </w:r>
      <w:r w:rsidR="00332040">
        <w:t>differences between species and years</w:t>
      </w:r>
      <w:r w:rsidR="00442540" w:rsidRPr="006F1F4B">
        <w:t>. Distance matrix created using Bray-</w:t>
      </w:r>
      <w:bookmarkStart w:id="12" w:name="_Int_v0C1cJz2"/>
      <w:r w:rsidR="00442540" w:rsidRPr="006F1F4B">
        <w:t>Curtis</w:t>
      </w:r>
      <w:bookmarkEnd w:id="12"/>
      <w:r w:rsidR="00442540" w:rsidRPr="006F1F4B">
        <w:t xml:space="preserve"> distance, 250 random starts for axes 1-6 with </w:t>
      </w:r>
      <w:r w:rsidR="00442540" w:rsidRPr="006F1F4B">
        <w:rPr>
          <w:i/>
          <w:iCs/>
        </w:rPr>
        <w:t xml:space="preserve">metaMDS </w:t>
      </w:r>
      <w:r w:rsidR="00442540" w:rsidRPr="006F1F4B">
        <w:t xml:space="preserve">function </w:t>
      </w:r>
      <w:r w:rsidR="004C7730">
        <w:t xml:space="preserve">from the </w:t>
      </w:r>
      <w:r w:rsidR="004C7730">
        <w:rPr>
          <w:i/>
          <w:iCs/>
        </w:rPr>
        <w:t xml:space="preserve">vegan </w:t>
      </w:r>
      <w:r w:rsidR="004C7730">
        <w:t xml:space="preserve">package </w:t>
      </w:r>
      <w:r w:rsidR="004C7730" w:rsidRPr="006F1F4B">
        <w:t xml:space="preserve">in R (v4.0.2; </w:t>
      </w:r>
      <w:r w:rsidR="004C7730" w:rsidRPr="006F1F4B">
        <w:fldChar w:fldCharType="begin"/>
      </w:r>
      <w:r w:rsidR="004C7730" w:rsidRPr="006F1F4B">
        <w:instrText xml:space="preserve"> ADDIN ZOTERO_ITEM CSL_CITATION {"citationID":"UaCsXXSO","properties":{"formattedCitation":"(R Core Team 2020)","plainCitation":"(R Core Team 2020)","dontUpdate":true,"noteIndex":0},"citationItems":[{"id":2099,"uris":["http://zotero.org/users/6698532/items/9UMJWH8C"],"itemData":{"id":2099,"type":"book","event-place":"Vienna,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sidR="004C7730" w:rsidRPr="006F1F4B">
        <w:fldChar w:fldCharType="separate"/>
      </w:r>
      <w:r w:rsidR="004C7730" w:rsidRPr="006F1F4B">
        <w:t>R Core Team 2020)</w:t>
      </w:r>
      <w:r w:rsidR="004C7730" w:rsidRPr="006F1F4B">
        <w:fldChar w:fldCharType="end"/>
      </w:r>
      <w:r w:rsidR="004C7730">
        <w:t xml:space="preserve"> </w:t>
      </w:r>
      <w:r w:rsidR="00442540" w:rsidRPr="006F1F4B">
        <w:t>then selecting the best based on being &lt;</w:t>
      </w:r>
      <w:r w:rsidR="00332040">
        <w:t xml:space="preserve"> </w:t>
      </w:r>
      <w:r w:rsidR="00442540" w:rsidRPr="006F1F4B">
        <w:t xml:space="preserve">20 stress and not </w:t>
      </w:r>
      <w:r w:rsidR="00571C76">
        <w:t>reducing by</w:t>
      </w:r>
      <w:r w:rsidR="00442540" w:rsidRPr="006F1F4B">
        <w:t xml:space="preserve"> &gt;</w:t>
      </w:r>
      <w:r w:rsidR="00571C76">
        <w:t xml:space="preserve"> </w:t>
      </w:r>
      <w:r w:rsidR="00442540" w:rsidRPr="006F1F4B">
        <w:t xml:space="preserve">5 </w:t>
      </w:r>
      <w:r w:rsidR="00571C76">
        <w:t>with an</w:t>
      </w:r>
      <w:r w:rsidR="00442540" w:rsidRPr="006F1F4B">
        <w:t xml:space="preserve"> </w:t>
      </w:r>
      <w:bookmarkStart w:id="13" w:name="_Int_yqXLAgpK"/>
      <w:r w:rsidR="00442540" w:rsidRPr="006F1F4B">
        <w:t>additional</w:t>
      </w:r>
      <w:bookmarkEnd w:id="13"/>
      <w:r w:rsidR="00442540" w:rsidRPr="006F1F4B">
        <w:t xml:space="preserve"> axis. Selected ordination is then visualized </w:t>
      </w:r>
      <w:r w:rsidR="00362993">
        <w:t>with functions from the</w:t>
      </w:r>
      <w:r w:rsidR="00442540" w:rsidRPr="006F1F4B">
        <w:t xml:space="preserve"> </w:t>
      </w:r>
      <w:bookmarkStart w:id="14" w:name="_Int_O1yOjypd"/>
      <w:r w:rsidR="00442540" w:rsidRPr="006F1F4B">
        <w:rPr>
          <w:i/>
          <w:iCs/>
        </w:rPr>
        <w:t>ggplot2</w:t>
      </w:r>
      <w:bookmarkEnd w:id="14"/>
      <w:r w:rsidR="00362993">
        <w:t xml:space="preserve"> package</w:t>
      </w:r>
      <w:r w:rsidR="00442540" w:rsidRPr="006F1F4B">
        <w:t xml:space="preserve"> </w:t>
      </w:r>
      <w:r w:rsidR="001C471D" w:rsidRPr="006F1F4B">
        <w:fldChar w:fldCharType="begin"/>
      </w:r>
      <w:r w:rsidR="001C471D" w:rsidRPr="006F1F4B">
        <w:instrText xml:space="preserve"> ADDIN ZOTERO_ITEM CSL_CITATION {"citationID":"STqlDmlJ","properties":{"formattedCitation":"(Wickham 2016)","plainCitation":"(Wickham 2016)","noteIndex":0},"citationItems":[{"id":2500,"uris":["http://zotero.org/users/6698532/items/PLFXUWJL"],"itemData":{"id":2500,"type":"report","publisher":"Springer-Verlag New York","title":"ggplot2: Elegant Graphics for Data Analysis","URL":"https://ggplot2.tidyverse.org","author":[{"family":"Wickham","given":"Hadley"}],"issued":{"date-parts":[["2016"]]}}}],"schema":"https://github.com/citation-style-language/schema/raw/master/csl-citation.json"} </w:instrText>
      </w:r>
      <w:r w:rsidR="001C471D" w:rsidRPr="006F1F4B">
        <w:fldChar w:fldCharType="separate"/>
      </w:r>
      <w:r w:rsidR="00A70399" w:rsidRPr="00A70399">
        <w:t>(Wickham 2016)</w:t>
      </w:r>
      <w:r w:rsidR="001C471D" w:rsidRPr="006F1F4B">
        <w:fldChar w:fldCharType="end"/>
      </w:r>
      <w:r w:rsidR="00C83360" w:rsidRPr="00C83360">
        <w:t xml:space="preserve"> </w:t>
      </w:r>
      <w:r w:rsidR="00C83360" w:rsidRPr="006F1F4B">
        <w:t xml:space="preserve">in R (v4.0.2; </w:t>
      </w:r>
      <w:r w:rsidR="00C83360" w:rsidRPr="006F1F4B">
        <w:fldChar w:fldCharType="begin"/>
      </w:r>
      <w:r w:rsidR="0062474E">
        <w:instrText xml:space="preserve"> ADDIN ZOTERO_ITEM CSL_CITATION {"citationID":"tFqvNzBF","properties":{"formattedCitation":"(R Core Team 2020)","plainCitation":"(R Core Team 2020)","dontUpdate":true,"noteIndex":0},"citationItems":[{"id":2099,"uris":["http://zotero.org/users/6698532/items/9UMJWH8C"],"itemData":{"id":2099,"type":"book","event-place":"Vienna,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sidR="00C83360" w:rsidRPr="006F1F4B">
        <w:fldChar w:fldCharType="separate"/>
      </w:r>
      <w:r w:rsidR="00C83360" w:rsidRPr="006F1F4B">
        <w:t>R Core Team 2020)</w:t>
      </w:r>
      <w:r w:rsidR="00C83360" w:rsidRPr="006F1F4B">
        <w:fldChar w:fldCharType="end"/>
      </w:r>
      <w:r w:rsidR="003C758D" w:rsidRPr="006F1F4B">
        <w:t xml:space="preserve"> </w:t>
      </w:r>
      <w:r w:rsidR="00442540" w:rsidRPr="006F1F4B">
        <w:t xml:space="preserve">and each point is labeled according to species (Arctic char and </w:t>
      </w:r>
      <w:r w:rsidR="00C83360">
        <w:t>s</w:t>
      </w:r>
      <w:r w:rsidR="00442540" w:rsidRPr="006F1F4B">
        <w:t>culpin) and year (2017, 2018, and 2019) with convex hulls built around those points</w:t>
      </w:r>
      <w:r w:rsidR="003661B1" w:rsidRPr="006F1F4B">
        <w:t>.</w:t>
      </w:r>
      <w:r w:rsidR="009F4332" w:rsidRPr="006F1F4B">
        <w:t xml:space="preserve"> The consistency of composition for each group (combination of </w:t>
      </w:r>
      <w:r w:rsidR="001E36CE" w:rsidRPr="006F1F4B">
        <w:t xml:space="preserve">taxa and year) was tested using </w:t>
      </w:r>
      <w:r w:rsidR="001E36CE" w:rsidRPr="006F1F4B">
        <w:lastRenderedPageBreak/>
        <w:t>Per</w:t>
      </w:r>
      <w:r w:rsidR="00061434">
        <w:t xml:space="preserve">mutational </w:t>
      </w:r>
      <w:r w:rsidR="001E36CE" w:rsidRPr="006F1F4B">
        <w:t>M</w:t>
      </w:r>
      <w:r w:rsidR="006E68A7">
        <w:t xml:space="preserve">ultivariate </w:t>
      </w:r>
      <w:r w:rsidR="001E36CE" w:rsidRPr="006F1F4B">
        <w:t>A</w:t>
      </w:r>
      <w:r w:rsidR="006E68A7">
        <w:t xml:space="preserve">nalysis of </w:t>
      </w:r>
      <w:r w:rsidR="001E36CE" w:rsidRPr="006F1F4B">
        <w:t>V</w:t>
      </w:r>
      <w:r w:rsidR="006E68A7">
        <w:t>ariance (PerMANOVA)</w:t>
      </w:r>
      <w:r w:rsidR="001E36CE" w:rsidRPr="006F1F4B">
        <w:t xml:space="preserve"> with the </w:t>
      </w:r>
      <w:r w:rsidR="001E36CE" w:rsidRPr="006F1F4B">
        <w:rPr>
          <w:i/>
          <w:iCs/>
        </w:rPr>
        <w:t xml:space="preserve">adonis </w:t>
      </w:r>
      <w:r w:rsidR="001E36CE" w:rsidRPr="006F1F4B">
        <w:t xml:space="preserve">function from the </w:t>
      </w:r>
      <w:r w:rsidR="001E36CE" w:rsidRPr="006F1F4B">
        <w:rPr>
          <w:i/>
          <w:iCs/>
        </w:rPr>
        <w:t xml:space="preserve">vegan </w:t>
      </w:r>
      <w:r w:rsidR="001E36CE" w:rsidRPr="006F1F4B">
        <w:t xml:space="preserve">package </w:t>
      </w:r>
      <w:r w:rsidR="004C7730" w:rsidRPr="006F1F4B">
        <w:t xml:space="preserve">in R (v4.0.2; </w:t>
      </w:r>
      <w:r w:rsidR="004C7730" w:rsidRPr="006F1F4B">
        <w:fldChar w:fldCharType="begin"/>
      </w:r>
      <w:r w:rsidR="0062474E">
        <w:instrText xml:space="preserve"> ADDIN ZOTERO_ITEM CSL_CITATION {"citationID":"WchpTu2A","properties":{"formattedCitation":"(R Core Team 2020)","plainCitation":"(R Core Team 2020)","dontUpdate":true,"noteIndex":0},"citationItems":[{"id":2099,"uris":["http://zotero.org/users/6698532/items/9UMJWH8C"],"itemData":{"id":2099,"type":"book","event-place":"Vienna,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sidR="004C7730" w:rsidRPr="006F1F4B">
        <w:fldChar w:fldCharType="separate"/>
      </w:r>
      <w:r w:rsidR="004C7730" w:rsidRPr="006F1F4B">
        <w:t>R Core Team 2020)</w:t>
      </w:r>
      <w:r w:rsidR="004C7730" w:rsidRPr="006F1F4B">
        <w:fldChar w:fldCharType="end"/>
      </w:r>
      <w:r w:rsidR="004C7730">
        <w:t xml:space="preserve"> </w:t>
      </w:r>
      <w:r w:rsidR="001E36CE" w:rsidRPr="006F1F4B">
        <w:t xml:space="preserve">with any significant factors being tested pairwise with </w:t>
      </w:r>
      <w:r w:rsidR="00AF6E76">
        <w:t xml:space="preserve">the function </w:t>
      </w:r>
      <w:r w:rsidR="00AE0243" w:rsidRPr="006F1F4B">
        <w:rPr>
          <w:i/>
          <w:iCs/>
        </w:rPr>
        <w:t>pairwise.perm.manova</w:t>
      </w:r>
      <w:r w:rsidR="00991671" w:rsidRPr="006F1F4B">
        <w:rPr>
          <w:i/>
          <w:iCs/>
        </w:rPr>
        <w:t xml:space="preserve"> </w:t>
      </w:r>
      <w:r w:rsidR="00366446" w:rsidRPr="006F1F4B">
        <w:t xml:space="preserve">from </w:t>
      </w:r>
      <w:r w:rsidR="00AF6E76">
        <w:t xml:space="preserve">the </w:t>
      </w:r>
      <w:r w:rsidR="00366446" w:rsidRPr="006F1F4B">
        <w:rPr>
          <w:i/>
          <w:iCs/>
        </w:rPr>
        <w:t>RVAideMemoire</w:t>
      </w:r>
      <w:r w:rsidR="00AF6E76">
        <w:t xml:space="preserve"> package</w:t>
      </w:r>
      <w:r w:rsidR="004C7730" w:rsidRPr="004C7730">
        <w:t xml:space="preserve"> </w:t>
      </w:r>
      <w:r w:rsidR="004C7730" w:rsidRPr="006F1F4B">
        <w:t xml:space="preserve">in R (v4.0.2; </w:t>
      </w:r>
      <w:r w:rsidR="004C7730" w:rsidRPr="006F1F4B">
        <w:fldChar w:fldCharType="begin"/>
      </w:r>
      <w:r w:rsidR="0062474E">
        <w:instrText xml:space="preserve"> ADDIN ZOTERO_ITEM CSL_CITATION {"citationID":"W7zEbCQ5","properties":{"formattedCitation":"(R Core Team 2020)","plainCitation":"(R Core Team 2020)","dontUpdate":true,"noteIndex":0},"citationItems":[{"id":2099,"uris":["http://zotero.org/users/6698532/items/9UMJWH8C"],"itemData":{"id":2099,"type":"book","event-place":"Vienna,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sidR="004C7730" w:rsidRPr="006F1F4B">
        <w:fldChar w:fldCharType="separate"/>
      </w:r>
      <w:r w:rsidR="004C7730" w:rsidRPr="006F1F4B">
        <w:t>R Core Team 2020)</w:t>
      </w:r>
      <w:r w:rsidR="004C7730" w:rsidRPr="006F1F4B">
        <w:fldChar w:fldCharType="end"/>
      </w:r>
      <w:r w:rsidR="00AE0243" w:rsidRPr="006F1F4B">
        <w:t>.</w:t>
      </w:r>
      <w:r w:rsidR="00366446" w:rsidRPr="006F1F4B">
        <w:t xml:space="preserve"> </w:t>
      </w:r>
      <w:r w:rsidR="00D5561A" w:rsidRPr="006F1F4B">
        <w:t xml:space="preserve">As </w:t>
      </w:r>
      <w:r w:rsidR="00887570" w:rsidRPr="006F1F4B">
        <w:t xml:space="preserve">PerMANOVA significance can be driven by differences in </w:t>
      </w:r>
      <w:r w:rsidR="00DC348A">
        <w:t xml:space="preserve">both </w:t>
      </w:r>
      <w:r w:rsidR="00FA3A94" w:rsidRPr="006F1F4B">
        <w:t xml:space="preserve">position (centroid </w:t>
      </w:r>
      <w:r w:rsidR="00022BFE" w:rsidRPr="006F1F4B">
        <w:t>values in multivariate space) and dispersion (</w:t>
      </w:r>
      <w:r w:rsidR="008046CA" w:rsidRPr="006F1F4B">
        <w:t xml:space="preserve">variance in </w:t>
      </w:r>
      <w:r w:rsidR="004543AE" w:rsidRPr="006F1F4B">
        <w:t>individual positions</w:t>
      </w:r>
      <w:r w:rsidR="00F8033C">
        <w:t xml:space="preserve"> within a group</w:t>
      </w:r>
      <w:r w:rsidR="004543AE" w:rsidRPr="006F1F4B">
        <w:t xml:space="preserve">) a </w:t>
      </w:r>
      <w:r w:rsidR="004543AE" w:rsidRPr="006F1F4B">
        <w:rPr>
          <w:i/>
          <w:iCs/>
        </w:rPr>
        <w:t xml:space="preserve">post-hoc </w:t>
      </w:r>
      <w:r w:rsidR="005941E7" w:rsidRPr="006F1F4B">
        <w:t xml:space="preserve">estimation of both values was made for each group to compare their influence </w:t>
      </w:r>
      <w:r w:rsidR="00EC60DF" w:rsidRPr="006F1F4B">
        <w:t>on inter-group differences as well as identify those groups which are most different.</w:t>
      </w:r>
      <w:r w:rsidR="001A7D9B" w:rsidRPr="006F1F4B">
        <w:t xml:space="preserve"> </w:t>
      </w:r>
      <w:r w:rsidR="00471A69" w:rsidRPr="006F1F4B">
        <w:t>Inter-group centroid distances are calculated using</w:t>
      </w:r>
      <w:r w:rsidR="00AF6E76">
        <w:t xml:space="preserve"> the function</w:t>
      </w:r>
      <w:r w:rsidR="00471A69" w:rsidRPr="006F1F4B">
        <w:t xml:space="preserve"> </w:t>
      </w:r>
      <w:r w:rsidR="00471A69" w:rsidRPr="006F1F4B">
        <w:rPr>
          <w:i/>
          <w:iCs/>
        </w:rPr>
        <w:t>dist_multi_centroids</w:t>
      </w:r>
      <w:r w:rsidR="00471A69" w:rsidRPr="006F1F4B">
        <w:t xml:space="preserve"> from the package </w:t>
      </w:r>
      <w:r w:rsidR="00471A69" w:rsidRPr="006F1F4B">
        <w:rPr>
          <w:i/>
          <w:iCs/>
        </w:rPr>
        <w:t>usedist</w:t>
      </w:r>
      <w:r w:rsidR="00471A69" w:rsidRPr="006F1F4B">
        <w:t xml:space="preserve"> </w:t>
      </w:r>
      <w:r w:rsidR="004C7730" w:rsidRPr="006F1F4B">
        <w:t xml:space="preserve">in R (v4.0.2; </w:t>
      </w:r>
      <w:r w:rsidR="004C7730" w:rsidRPr="006F1F4B">
        <w:fldChar w:fldCharType="begin"/>
      </w:r>
      <w:r w:rsidR="0062474E">
        <w:instrText xml:space="preserve"> ADDIN ZOTERO_ITEM CSL_CITATION {"citationID":"Up7atRKP","properties":{"formattedCitation":"(R Core Team 2020)","plainCitation":"(R Core Team 2020)","dontUpdate":true,"noteIndex":0},"citationItems":[{"id":2099,"uris":["http://zotero.org/users/6698532/items/9UMJWH8C"],"itemData":{"id":2099,"type":"book","event-place":"Vienna,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sidR="004C7730" w:rsidRPr="006F1F4B">
        <w:fldChar w:fldCharType="separate"/>
      </w:r>
      <w:r w:rsidR="004C7730" w:rsidRPr="006F1F4B">
        <w:t>R Core Team 2020)</w:t>
      </w:r>
      <w:r w:rsidR="004C7730" w:rsidRPr="006F1F4B">
        <w:fldChar w:fldCharType="end"/>
      </w:r>
      <w:r w:rsidR="004C7730">
        <w:t xml:space="preserve"> </w:t>
      </w:r>
      <w:r w:rsidR="00471A69" w:rsidRPr="006F1F4B">
        <w:t xml:space="preserve">resulting in a </w:t>
      </w:r>
      <w:r w:rsidR="005B7747" w:rsidRPr="006F1F4B">
        <w:t xml:space="preserve">6x6 symmetrical matrix. Dispersion is calculated by </w:t>
      </w:r>
      <w:r w:rsidR="0081784D" w:rsidRPr="006F1F4B">
        <w:t>calculating</w:t>
      </w:r>
      <w:r w:rsidR="005B7747" w:rsidRPr="006F1F4B">
        <w:t xml:space="preserve"> the distance between each individual </w:t>
      </w:r>
      <w:r w:rsidR="0081784D" w:rsidRPr="006F1F4B">
        <w:t xml:space="preserve">and its group centroid and estimating the average, in this case a median was used to </w:t>
      </w:r>
      <w:r w:rsidR="000E079C" w:rsidRPr="006F1F4B">
        <w:t xml:space="preserve">mitigate the effects of outliers. As dispersion is calculated in multivariate space, </w:t>
      </w:r>
      <w:r w:rsidR="00A36216" w:rsidRPr="006F1F4B">
        <w:t>units are meaningless but are restricted to values ≥</w:t>
      </w:r>
      <w:r w:rsidR="006E68A7">
        <w:t xml:space="preserve"> </w:t>
      </w:r>
      <w:r w:rsidR="00A36216" w:rsidRPr="006F1F4B">
        <w:t>0.</w:t>
      </w:r>
    </w:p>
    <w:p w14:paraId="5DB9896F" w14:textId="279D5F14" w:rsidR="00DB6F03" w:rsidRDefault="00F744B5" w:rsidP="00AA7687">
      <w:pPr>
        <w:ind w:firstLine="720"/>
      </w:pPr>
      <w:r w:rsidRPr="00F744B5">
        <w:t>To assess how well our sampling of Arctic char and sculpins stomachs captured variability in prey items, we used prey accumulation curves</w:t>
      </w:r>
      <w:r>
        <w:t xml:space="preserve">. </w:t>
      </w:r>
      <w:r w:rsidR="0DE77EB2" w:rsidRPr="006F1F4B">
        <w:t>Prey accumulation curves were constructed for both species in each year, and c</w:t>
      </w:r>
      <w:r w:rsidR="07E515E6" w:rsidRPr="006F1F4B">
        <w:t>ombined</w:t>
      </w:r>
      <w:r w:rsidR="0DE77EB2" w:rsidRPr="006F1F4B">
        <w:t xml:space="preserve"> across study years (2017, 2018, and 2019)</w:t>
      </w:r>
      <w:r w:rsidR="47D2AB97" w:rsidRPr="006F1F4B">
        <w:t>. The analysis was designed to calculate the expected (mean) species richness within diets</w:t>
      </w:r>
      <w:r w:rsidR="4B5D8FBC" w:rsidRPr="006F1F4B">
        <w:t xml:space="preserve"> using the </w:t>
      </w:r>
      <w:r w:rsidR="4B5D8FBC" w:rsidRPr="006F1F4B">
        <w:rPr>
          <w:i/>
          <w:iCs/>
        </w:rPr>
        <w:t>accumcomp</w:t>
      </w:r>
      <w:r w:rsidR="4B5D8FBC" w:rsidRPr="006F1F4B">
        <w:t xml:space="preserve"> function from the </w:t>
      </w:r>
      <w:r w:rsidR="4B5D8FBC" w:rsidRPr="006F1F4B">
        <w:rPr>
          <w:i/>
          <w:iCs/>
        </w:rPr>
        <w:t>BiodiversityR</w:t>
      </w:r>
      <w:r w:rsidR="4B5D8FBC" w:rsidRPr="006F1F4B">
        <w:t xml:space="preserve"> package</w:t>
      </w:r>
      <w:r w:rsidR="00CD32EB" w:rsidRPr="006F1F4B">
        <w:t xml:space="preserve"> </w:t>
      </w:r>
      <w:r w:rsidR="00CD32EB" w:rsidRPr="006F1F4B">
        <w:fldChar w:fldCharType="begin"/>
      </w:r>
      <w:r w:rsidR="00CD32EB" w:rsidRPr="006F1F4B">
        <w:instrText xml:space="preserve"> ADDIN ZOTERO_ITEM CSL_CITATION {"citationID":"VFPowhe0","properties":{"formattedCitation":"(Kindt 2023)","plainCitation":"(Kindt 2023)","noteIndex":0},"citationItems":[{"id":3447,"uris":["http://zotero.org/users/6698532/items/MN76DX8C"],"itemData":{"id":3447,"type":"report","abstract":"Graphical User Interface (via the R-Commander) and utility functions (often based on the vegan package) for statistical analysis of biodiversity and ecological communities, including species accumulation curves, diversity indices, Renyi profiles, GLMs for analysis of species abundance and presence-absence, distance matrices, Mantel tests, and cluster, constrained and unconstrained ordination analysis. A book on biodiversity and community ecology analysis is available for free download from the website. In 2012, methods for (ensemble) suitability modelling and mapping were expanded in the package.","page":"1-178","title":"BiodiversityR: Package for Community Ecology and Suitability Analysis","URL":"https://cran.r-project.org/web/packages/BiodiversityR/BiodiversityR.pdf","author":[{"family":"Kindt","given":"Roeland"}],"accessed":{"date-parts":[["2023",7,5]]},"issued":{"date-parts":[["2023",5,27]]}}}],"schema":"https://github.com/citation-style-language/schema/raw/master/csl-citation.json"} </w:instrText>
      </w:r>
      <w:r w:rsidR="00CD32EB" w:rsidRPr="006F1F4B">
        <w:fldChar w:fldCharType="separate"/>
      </w:r>
      <w:r w:rsidR="00A70399" w:rsidRPr="00A70399">
        <w:t>(Kindt 2023)</w:t>
      </w:r>
      <w:r w:rsidR="00CD32EB" w:rsidRPr="006F1F4B">
        <w:fldChar w:fldCharType="end"/>
      </w:r>
      <w:r w:rsidR="4B5D8FBC" w:rsidRPr="006F1F4B">
        <w:t xml:space="preserve"> </w:t>
      </w:r>
      <w:r w:rsidR="00CD32EB" w:rsidRPr="006F1F4B">
        <w:t>i</w:t>
      </w:r>
      <w:r w:rsidR="4B5D8FBC" w:rsidRPr="006F1F4B">
        <w:t>n R (</w:t>
      </w:r>
      <w:r w:rsidR="1122F76E" w:rsidRPr="006F1F4B">
        <w:t>v4.0.2</w:t>
      </w:r>
      <w:r w:rsidR="003C758D" w:rsidRPr="006F1F4B">
        <w:t xml:space="preserve">; </w:t>
      </w:r>
      <w:r w:rsidR="003C758D" w:rsidRPr="006F1F4B">
        <w:fldChar w:fldCharType="begin"/>
      </w:r>
      <w:r w:rsidR="0062474E">
        <w:instrText xml:space="preserve"> ADDIN ZOTERO_ITEM CSL_CITATION {"citationID":"QlgHjkl0","properties":{"formattedCitation":"(R Core Team 2020)","plainCitation":"(R Core Team 2020)","dontUpdate":true,"noteIndex":0},"citationItems":[{"id":2099,"uris":["http://zotero.org/users/6698532/items/9UMJWH8C"],"itemData":{"id":2099,"type":"book","event-place":"Vienna,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sidR="003C758D" w:rsidRPr="006F1F4B">
        <w:fldChar w:fldCharType="separate"/>
      </w:r>
      <w:r w:rsidR="003C758D" w:rsidRPr="006F1F4B">
        <w:t>R Core Team 2020)</w:t>
      </w:r>
      <w:r w:rsidR="003C758D" w:rsidRPr="006F1F4B">
        <w:fldChar w:fldCharType="end"/>
      </w:r>
      <w:r w:rsidR="4B400837" w:rsidRPr="006F1F4B">
        <w:t>.</w:t>
      </w:r>
    </w:p>
    <w:p w14:paraId="54433AFE" w14:textId="77777777" w:rsidR="00FA694F" w:rsidRPr="006F1F4B" w:rsidRDefault="00FA694F" w:rsidP="00AA7687">
      <w:pPr>
        <w:ind w:firstLine="720"/>
      </w:pPr>
    </w:p>
    <w:p w14:paraId="0BE6A705" w14:textId="4173D0D6" w:rsidR="00484AE9" w:rsidRPr="006F1F4B" w:rsidRDefault="6C653122" w:rsidP="00D13D88">
      <w:pPr>
        <w:pStyle w:val="Heading1"/>
      </w:pPr>
      <w:r w:rsidRPr="006F1F4B">
        <w:t>Results</w:t>
      </w:r>
    </w:p>
    <w:p w14:paraId="722FB8C7" w14:textId="44D1E2EC" w:rsidR="26435B00" w:rsidRDefault="35398AB5" w:rsidP="007354C8">
      <w:pPr>
        <w:ind w:firstLine="720"/>
      </w:pPr>
      <w:r w:rsidRPr="006F1F4B">
        <w:t xml:space="preserve">A total of 91 Arctic char and 190 sculpin </w:t>
      </w:r>
      <w:r w:rsidR="61A48A43" w:rsidRPr="006F1F4B">
        <w:t>were captured for diet analysis from 2017</w:t>
      </w:r>
      <w:r w:rsidR="6E2E72E8" w:rsidRPr="006F1F4B">
        <w:t>–</w:t>
      </w:r>
      <w:r w:rsidR="61A48A43" w:rsidRPr="006F1F4B">
        <w:t xml:space="preserve">2019 </w:t>
      </w:r>
      <w:r w:rsidR="6AE68247" w:rsidRPr="006F1F4B">
        <w:t xml:space="preserve">(Table </w:t>
      </w:r>
      <w:r w:rsidR="005E1247" w:rsidRPr="006F1F4B">
        <w:t>1</w:t>
      </w:r>
      <w:r w:rsidR="6AE68247" w:rsidRPr="006F1F4B">
        <w:t>)</w:t>
      </w:r>
      <w:r w:rsidR="61A48A43" w:rsidRPr="006F1F4B">
        <w:t>.</w:t>
      </w:r>
      <w:r w:rsidR="6C13E804" w:rsidRPr="006F1F4B">
        <w:t xml:space="preserve"> Char samples were distributed relatively evenly across the three years (n</w:t>
      </w:r>
      <w:r w:rsidR="2599B40A" w:rsidRPr="006F1F4B">
        <w:rPr>
          <w:vertAlign w:val="subscript"/>
        </w:rPr>
        <w:t>2017-2019</w:t>
      </w:r>
      <w:r w:rsidR="7F045AF2" w:rsidRPr="006F1F4B">
        <w:t>:37, 23, 31</w:t>
      </w:r>
      <w:r w:rsidR="6C13E804" w:rsidRPr="006F1F4B">
        <w:t>), while sculpin samples were</w:t>
      </w:r>
      <w:r w:rsidR="1C46A5B0" w:rsidRPr="006F1F4B">
        <w:t xml:space="preserve"> </w:t>
      </w:r>
      <w:r w:rsidR="6C13E804" w:rsidRPr="006F1F4B">
        <w:t xml:space="preserve">mostly </w:t>
      </w:r>
      <w:r w:rsidR="165D44B3" w:rsidRPr="006F1F4B">
        <w:t xml:space="preserve">collected </w:t>
      </w:r>
      <w:r w:rsidR="6C13E804" w:rsidRPr="006F1F4B">
        <w:t xml:space="preserve">in 2017 and 2018 </w:t>
      </w:r>
      <w:r w:rsidR="4C8D632B" w:rsidRPr="006F1F4B">
        <w:t>(n</w:t>
      </w:r>
      <w:r w:rsidR="4C8D632B" w:rsidRPr="006F1F4B">
        <w:rPr>
          <w:vertAlign w:val="subscript"/>
        </w:rPr>
        <w:t>2017-2019</w:t>
      </w:r>
      <w:r w:rsidR="4C8D632B" w:rsidRPr="006F1F4B">
        <w:t>:</w:t>
      </w:r>
      <w:r w:rsidR="0EC3BB87" w:rsidRPr="006F1F4B">
        <w:t>114</w:t>
      </w:r>
      <w:r w:rsidR="4C8D632B" w:rsidRPr="006F1F4B">
        <w:t xml:space="preserve">, </w:t>
      </w:r>
      <w:r w:rsidR="6DAEF31A" w:rsidRPr="006F1F4B">
        <w:t>59</w:t>
      </w:r>
      <w:r w:rsidR="4C8D632B" w:rsidRPr="006F1F4B">
        <w:t xml:space="preserve">, </w:t>
      </w:r>
      <w:r w:rsidR="3187D6A1" w:rsidRPr="006F1F4B">
        <w:t>17</w:t>
      </w:r>
      <w:r w:rsidR="00EB30AF">
        <w:t>; Table 1</w:t>
      </w:r>
      <w:r w:rsidR="4C8D632B" w:rsidRPr="006F1F4B">
        <w:t>)</w:t>
      </w:r>
      <w:r w:rsidR="411DD5D8" w:rsidRPr="006F1F4B">
        <w:t>.</w:t>
      </w:r>
      <w:r w:rsidR="2F2D7147" w:rsidRPr="006F1F4B">
        <w:t xml:space="preserve"> </w:t>
      </w:r>
      <w:r w:rsidR="00C64635">
        <w:t xml:space="preserve">Sampled </w:t>
      </w:r>
      <w:r w:rsidR="409BF77F" w:rsidRPr="006F1F4B">
        <w:t>Arctic char had an average TL of 62.1 cm and an average mass of 2,609.2 g</w:t>
      </w:r>
      <w:r w:rsidR="1CAF7A79" w:rsidRPr="006F1F4B">
        <w:t xml:space="preserve"> (Table </w:t>
      </w:r>
      <w:r w:rsidR="5F5C709A" w:rsidRPr="006F1F4B">
        <w:t>1)</w:t>
      </w:r>
      <w:r w:rsidR="409BF77F" w:rsidRPr="006F1F4B">
        <w:t>. Sculpin were smaller than char at</w:t>
      </w:r>
      <w:r w:rsidR="1402438F" w:rsidRPr="006F1F4B">
        <w:t xml:space="preserve"> an average of</w:t>
      </w:r>
      <w:r w:rsidR="409BF77F" w:rsidRPr="006F1F4B">
        <w:t xml:space="preserve"> 18.5 cm and 78.</w:t>
      </w:r>
      <w:r w:rsidR="72295EAE" w:rsidRPr="006F1F4B">
        <w:t xml:space="preserve">9 g (Table </w:t>
      </w:r>
      <w:r w:rsidR="005E1247" w:rsidRPr="006F1F4B">
        <w:t>1</w:t>
      </w:r>
      <w:r w:rsidR="72295EAE" w:rsidRPr="006F1F4B">
        <w:t>).</w:t>
      </w:r>
      <w:r w:rsidR="26C188FA" w:rsidRPr="006F1F4B">
        <w:t xml:space="preserve"> </w:t>
      </w:r>
      <w:r w:rsidR="130466F6" w:rsidRPr="006F1F4B">
        <w:t>Char had an average Fulton’s K of 914.1</w:t>
      </w:r>
      <w:r w:rsidR="00065D47">
        <w:t xml:space="preserve"> </w:t>
      </w:r>
      <w:r w:rsidR="00065D47" w:rsidRPr="006F1F4B">
        <w:t>(±</w:t>
      </w:r>
      <w:r w:rsidR="007354C8">
        <w:t>176.5)</w:t>
      </w:r>
      <w:r w:rsidR="130466F6" w:rsidRPr="006F1F4B">
        <w:t xml:space="preserve">, with sculpin being </w:t>
      </w:r>
      <w:r w:rsidR="6E7BCB24" w:rsidRPr="006F1F4B">
        <w:t xml:space="preserve">slightly </w:t>
      </w:r>
      <w:r w:rsidR="130466F6" w:rsidRPr="006F1F4B">
        <w:t>better conditioned (</w:t>
      </w:r>
      <w:r w:rsidR="195E1C13" w:rsidRPr="006F1F4B">
        <w:t>mean = 1</w:t>
      </w:r>
      <w:r w:rsidR="5E4C391A" w:rsidRPr="006F1F4B">
        <w:t>,</w:t>
      </w:r>
      <w:r w:rsidR="195E1C13" w:rsidRPr="006F1F4B">
        <w:t>062.1</w:t>
      </w:r>
      <w:r w:rsidR="00FA6EF7">
        <w:t xml:space="preserve">; </w:t>
      </w:r>
      <w:r w:rsidR="007354C8">
        <w:t xml:space="preserve">SD = </w:t>
      </w:r>
      <w:r w:rsidR="0024044C">
        <w:t>572.3</w:t>
      </w:r>
      <w:r w:rsidR="195E1C13" w:rsidRPr="006F1F4B">
        <w:t xml:space="preserve">; Table </w:t>
      </w:r>
      <w:r w:rsidR="005E1247" w:rsidRPr="006F1F4B">
        <w:t>1</w:t>
      </w:r>
      <w:r w:rsidR="195E1C13" w:rsidRPr="006F1F4B">
        <w:t>)</w:t>
      </w:r>
      <w:r w:rsidR="7119573D" w:rsidRPr="006F1F4B">
        <w:t>.</w:t>
      </w:r>
    </w:p>
    <w:p w14:paraId="11C08391" w14:textId="77777777" w:rsidR="00AD4D41" w:rsidRPr="006F1F4B" w:rsidRDefault="00AD4D41" w:rsidP="00AD4D41">
      <w:pPr>
        <w:ind w:firstLine="720"/>
      </w:pPr>
      <w:r w:rsidRPr="006F1F4B">
        <w:lastRenderedPageBreak/>
        <w:t>A total of 51 char and 75 sculpin from 2018–2019 were available for analysis of feeding intensity. The initial GLM examining factors related to whether a fish consumed prey or had an empty stomach only retained the species variable (Table 3). Eleven sculpin (14.67%) had empty stomachs, while only a single char (1.96%) was found with an empty stomach. The second model investigating factors relating to feeding intensity retained the species and year variables (Table 3). In general, sculpin (mean = 2.88%; max = 10.5%) fed more intensely than char (mean = 1.92%; max = 4.63%). Both predators fed more intensely in 2019 (mean</w:t>
      </w:r>
      <w:r w:rsidRPr="006F1F4B">
        <w:rPr>
          <w:vertAlign w:val="subscript"/>
        </w:rPr>
        <w:t>sculpin</w:t>
      </w:r>
      <w:r w:rsidRPr="006F1F4B">
        <w:t xml:space="preserve"> = 3.19%; mean</w:t>
      </w:r>
      <w:r w:rsidRPr="006F1F4B">
        <w:rPr>
          <w:vertAlign w:val="subscript"/>
        </w:rPr>
        <w:t>char</w:t>
      </w:r>
      <w:r w:rsidRPr="006F1F4B">
        <w:t xml:space="preserve"> = 2.42%) than in 2018 (mean</w:t>
      </w:r>
      <w:r w:rsidRPr="006F1F4B">
        <w:rPr>
          <w:vertAlign w:val="subscript"/>
        </w:rPr>
        <w:t>sculpin</w:t>
      </w:r>
      <w:r w:rsidRPr="006F1F4B">
        <w:t xml:space="preserve"> = 2.79%; mean</w:t>
      </w:r>
      <w:r w:rsidRPr="006F1F4B">
        <w:rPr>
          <w:vertAlign w:val="subscript"/>
        </w:rPr>
        <w:t>char</w:t>
      </w:r>
      <w:r w:rsidRPr="006F1F4B">
        <w:t xml:space="preserve"> = 1.16%).</w:t>
      </w:r>
    </w:p>
    <w:p w14:paraId="39F32E51" w14:textId="21FD2651" w:rsidR="7EEAA3EE" w:rsidRPr="00F87B45" w:rsidRDefault="00FA6EF7" w:rsidP="002760C0">
      <w:pPr>
        <w:ind w:firstLine="720"/>
      </w:pPr>
      <w:r>
        <w:t>Between the two predators there</w:t>
      </w:r>
      <w:r w:rsidR="7EBAD6AA" w:rsidRPr="006F1F4B">
        <w:t xml:space="preserve"> were 15 identifiable prey types among all stomachs</w:t>
      </w:r>
      <w:r w:rsidR="005F21FC">
        <w:t xml:space="preserve"> and 19 total categories. Both</w:t>
      </w:r>
      <w:r w:rsidR="64D0A1BC" w:rsidRPr="006F1F4B">
        <w:t xml:space="preserve"> char and sculpin each consum</w:t>
      </w:r>
      <w:r w:rsidR="005F21FC">
        <w:t xml:space="preserve">ed </w:t>
      </w:r>
      <w:r w:rsidR="64D0A1BC" w:rsidRPr="006F1F4B">
        <w:t xml:space="preserve">12 </w:t>
      </w:r>
      <w:r w:rsidR="00AB4977">
        <w:t>distinct</w:t>
      </w:r>
      <w:r w:rsidR="64D0A1BC" w:rsidRPr="006F1F4B">
        <w:t xml:space="preserve"> prey types</w:t>
      </w:r>
      <w:r w:rsidR="00AB4977">
        <w:t xml:space="preserve"> with 10 </w:t>
      </w:r>
      <w:r w:rsidR="002B3322">
        <w:t>common between the two predators</w:t>
      </w:r>
      <w:r w:rsidR="7EBAD6AA" w:rsidRPr="006F1F4B">
        <w:t xml:space="preserve"> (</w:t>
      </w:r>
      <w:r w:rsidR="005F21FC">
        <w:t xml:space="preserve">52.6%; </w:t>
      </w:r>
      <w:r w:rsidR="009C087A" w:rsidRPr="006F1F4B">
        <w:t>Figure 1</w:t>
      </w:r>
      <w:r w:rsidR="7EBAD6AA" w:rsidRPr="006F1F4B">
        <w:t xml:space="preserve">). </w:t>
      </w:r>
      <w:r w:rsidR="004E020C" w:rsidRPr="006F1F4B">
        <w:t xml:space="preserve">Of the prey items consumed, frequencies ranged from </w:t>
      </w:r>
      <w:r w:rsidR="008F4A16" w:rsidRPr="006F1F4B">
        <w:t>&lt;1%</w:t>
      </w:r>
      <w:r w:rsidR="00122420" w:rsidRPr="006F1F4B">
        <w:t xml:space="preserve"> to 93.3% for a </w:t>
      </w:r>
      <w:r w:rsidR="000E62AC" w:rsidRPr="006F1F4B">
        <w:t>tax</w:t>
      </w:r>
      <w:r w:rsidR="00F32FAA">
        <w:t>on</w:t>
      </w:r>
      <w:r w:rsidR="000E62AC" w:rsidRPr="006F1F4B">
        <w:t xml:space="preserve"> in a given year. The most </w:t>
      </w:r>
      <w:r w:rsidR="00BF2A92" w:rsidRPr="006F1F4B">
        <w:t xml:space="preserve">commonly consumed prey items were </w:t>
      </w:r>
      <w:r w:rsidR="00672DDE" w:rsidRPr="006F1F4B">
        <w:t>Amphipods (n = 1</w:t>
      </w:r>
      <w:r w:rsidR="00F9668F">
        <w:t>9</w:t>
      </w:r>
      <w:r w:rsidR="00672DDE" w:rsidRPr="006F1F4B">
        <w:t xml:space="preserve">9, </w:t>
      </w:r>
      <w:r w:rsidR="0030056C">
        <w:t>75.6</w:t>
      </w:r>
      <w:r w:rsidR="00672DDE" w:rsidRPr="006F1F4B">
        <w:t xml:space="preserve">%) </w:t>
      </w:r>
      <w:r w:rsidR="00872FA3" w:rsidRPr="006F1F4B">
        <w:t xml:space="preserve">with the most common among those identified more specifically being </w:t>
      </w:r>
      <w:r w:rsidR="00872FA3" w:rsidRPr="006F1F4B">
        <w:rPr>
          <w:i/>
          <w:iCs/>
        </w:rPr>
        <w:t>Onisimus</w:t>
      </w:r>
      <w:r w:rsidR="00872FA3" w:rsidRPr="006F1F4B">
        <w:t xml:space="preserve"> sp. </w:t>
      </w:r>
      <w:r w:rsidR="00BA13B5" w:rsidRPr="006F1F4B">
        <w:t>that were</w:t>
      </w:r>
      <w:r w:rsidR="005D6928" w:rsidRPr="006F1F4B">
        <w:t xml:space="preserve"> found in 81 stomachs (30.7%).</w:t>
      </w:r>
      <w:r w:rsidR="00BA13B5" w:rsidRPr="006F1F4B">
        <w:t xml:space="preserve"> </w:t>
      </w:r>
      <w:r w:rsidR="00D47803" w:rsidRPr="006F1F4B">
        <w:t xml:space="preserve">The </w:t>
      </w:r>
      <w:r w:rsidR="00566152" w:rsidRPr="006F1F4B">
        <w:t>prevalence of amphipods as a top prey item was consistent across years</w:t>
      </w:r>
      <w:r w:rsidR="002B3B9E" w:rsidRPr="006F1F4B">
        <w:t xml:space="preserve"> for sculpins</w:t>
      </w:r>
      <w:r w:rsidR="00A23FF2" w:rsidRPr="006F1F4B">
        <w:t xml:space="preserve"> </w:t>
      </w:r>
      <w:r w:rsidR="000D10A4" w:rsidRPr="006F1F4B">
        <w:t xml:space="preserve">(2017: FOO = </w:t>
      </w:r>
      <w:r w:rsidR="006E5BE2">
        <w:t>81.0</w:t>
      </w:r>
      <w:r w:rsidR="000D10A4" w:rsidRPr="006F1F4B">
        <w:t xml:space="preserve">%; 2018: </w:t>
      </w:r>
      <w:r w:rsidR="000F1179" w:rsidRPr="006F1F4B">
        <w:t xml:space="preserve">FOO = </w:t>
      </w:r>
      <w:r w:rsidR="009D2CD5">
        <w:t>53.0</w:t>
      </w:r>
      <w:r w:rsidR="000F1179" w:rsidRPr="006F1F4B">
        <w:t xml:space="preserve">%; 2019: FOO = </w:t>
      </w:r>
      <w:r w:rsidR="009D2CD5">
        <w:t>75.0</w:t>
      </w:r>
      <w:r w:rsidR="00090884" w:rsidRPr="006F1F4B">
        <w:t>%)</w:t>
      </w:r>
      <w:r w:rsidR="00D47803" w:rsidRPr="006F1F4B">
        <w:t xml:space="preserve"> </w:t>
      </w:r>
      <w:r w:rsidR="002B3B9E" w:rsidRPr="006F1F4B">
        <w:t xml:space="preserve">and for Arctic char (2017: FOO = </w:t>
      </w:r>
      <w:r w:rsidR="00D35C6F">
        <w:t>71.4</w:t>
      </w:r>
      <w:r w:rsidR="002B3B9E" w:rsidRPr="006F1F4B">
        <w:t xml:space="preserve">%; 2018: </w:t>
      </w:r>
      <w:r w:rsidR="0062603F" w:rsidRPr="006F1F4B">
        <w:t xml:space="preserve">FOO = </w:t>
      </w:r>
      <w:r w:rsidR="00D35C6F">
        <w:t>77.2</w:t>
      </w:r>
      <w:r w:rsidR="0062603F" w:rsidRPr="006F1F4B">
        <w:t xml:space="preserve">%; 2019: FOO = </w:t>
      </w:r>
      <w:r w:rsidR="00D35C6F">
        <w:t>96.6</w:t>
      </w:r>
      <w:r w:rsidR="0062603F" w:rsidRPr="006F1F4B">
        <w:t>%</w:t>
      </w:r>
      <w:r w:rsidR="003F527D" w:rsidRPr="006F1F4B">
        <w:t>; Figure 1</w:t>
      </w:r>
      <w:r w:rsidR="0062603F" w:rsidRPr="006F1F4B">
        <w:t>).</w:t>
      </w:r>
      <w:r w:rsidR="00B17CA6" w:rsidRPr="006F1F4B">
        <w:t xml:space="preserve"> The largest difference </w:t>
      </w:r>
      <w:r w:rsidR="000E7343" w:rsidRPr="006F1F4B">
        <w:t>of</w:t>
      </w:r>
      <w:r w:rsidR="00B17CA6" w:rsidRPr="006F1F4B">
        <w:t xml:space="preserve"> the</w:t>
      </w:r>
      <w:r w:rsidR="000E7343" w:rsidRPr="006F1F4B">
        <w:t xml:space="preserve"> </w:t>
      </w:r>
      <w:r w:rsidR="000416E8" w:rsidRPr="006F1F4B">
        <w:t xml:space="preserve">total </w:t>
      </w:r>
      <w:r w:rsidR="000E7343" w:rsidRPr="006F1F4B">
        <w:t xml:space="preserve">FOO for a prey item between the two predator taxa was </w:t>
      </w:r>
      <w:r w:rsidR="00D93D19" w:rsidRPr="006F1F4B">
        <w:t>for</w:t>
      </w:r>
      <w:r w:rsidR="002A2F1F">
        <w:t xml:space="preserve"> total fish that were consumed more often by Arctic char </w:t>
      </w:r>
      <w:r w:rsidR="00B14BE2" w:rsidRPr="006F1F4B">
        <w:t>(</w:t>
      </w:r>
      <w:r w:rsidR="002A2F1F">
        <w:t>57.4</w:t>
      </w:r>
      <w:r w:rsidR="00B14BE2" w:rsidRPr="006F1F4B">
        <w:t xml:space="preserve">% </w:t>
      </w:r>
      <w:r w:rsidR="003A7067">
        <w:t xml:space="preserve">FOO </w:t>
      </w:r>
      <w:r w:rsidR="00B14BE2" w:rsidRPr="006F1F4B">
        <w:t xml:space="preserve">vs </w:t>
      </w:r>
      <w:r w:rsidR="002A2F1F">
        <w:t>sculpins 21.0</w:t>
      </w:r>
      <w:r w:rsidR="00B14BE2" w:rsidRPr="006F1F4B">
        <w:t>%</w:t>
      </w:r>
      <w:r w:rsidR="003A7067">
        <w:t xml:space="preserve"> FOO</w:t>
      </w:r>
      <w:r w:rsidR="00B14BE2" w:rsidRPr="006F1F4B">
        <w:t>)</w:t>
      </w:r>
      <w:r w:rsidR="1C8E107B" w:rsidRPr="006F1F4B">
        <w:t>.</w:t>
      </w:r>
      <w:r w:rsidR="00B14BE2" w:rsidRPr="006F1F4B">
        <w:t xml:space="preserve"> </w:t>
      </w:r>
      <w:r w:rsidR="00E37034">
        <w:t xml:space="preserve">Other taxa consumed more often by Arctic char include </w:t>
      </w:r>
      <w:r w:rsidR="00F87B45">
        <w:rPr>
          <w:i/>
          <w:iCs/>
        </w:rPr>
        <w:t xml:space="preserve">Themisto </w:t>
      </w:r>
      <w:r w:rsidR="00F87B45">
        <w:t>sp. (32.1% FOO vs 0%</w:t>
      </w:r>
      <w:r w:rsidR="004718D2">
        <w:t xml:space="preserve"> FOO</w:t>
      </w:r>
      <w:r w:rsidR="00F87B45">
        <w:t>)</w:t>
      </w:r>
      <w:r w:rsidR="007E0AEE">
        <w:t xml:space="preserve"> and</w:t>
      </w:r>
      <w:r w:rsidR="00F87B45">
        <w:t xml:space="preserve"> copepods (</w:t>
      </w:r>
      <w:r w:rsidR="004718D2">
        <w:t>35.6% FOO vs 10.7% FOO)</w:t>
      </w:r>
      <w:r w:rsidR="007E0AEE">
        <w:t xml:space="preserve"> whereas sculpins </w:t>
      </w:r>
      <w:r w:rsidR="006603AE">
        <w:t xml:space="preserve">consumed unidentified amphipods more often (47.7% FOO vs </w:t>
      </w:r>
      <w:r w:rsidR="008B194B">
        <w:t>28.7% FOO).</w:t>
      </w:r>
    </w:p>
    <w:p w14:paraId="4F42AED3" w14:textId="5E6B3B80" w:rsidR="7A44D51A" w:rsidRPr="006F1F4B" w:rsidRDefault="000416E8" w:rsidP="00AD4D41">
      <w:pPr>
        <w:ind w:firstLine="720"/>
      </w:pPr>
      <w:r w:rsidRPr="006F1F4B">
        <w:t>Diets were successfully ordinate</w:t>
      </w:r>
      <w:r w:rsidR="00345D74" w:rsidRPr="006F1F4B">
        <w:t>d on three axes through NMDS</w:t>
      </w:r>
      <w:r w:rsidR="00210179" w:rsidRPr="006F1F4B">
        <w:t xml:space="preserve"> with a stress of 9.04</w:t>
      </w:r>
      <w:r w:rsidR="00864667" w:rsidRPr="006F1F4B">
        <w:t xml:space="preserve"> (Figure 2)</w:t>
      </w:r>
      <w:r w:rsidR="00C93F39" w:rsidRPr="006F1F4B">
        <w:t xml:space="preserve">. </w:t>
      </w:r>
      <w:r w:rsidR="00CA07A9" w:rsidRPr="006F1F4B">
        <w:t>The majority of the ordination space for a predator tax</w:t>
      </w:r>
      <w:r w:rsidR="00AD4D41">
        <w:t>on</w:t>
      </w:r>
      <w:r w:rsidR="00CA07A9" w:rsidRPr="006F1F4B">
        <w:t xml:space="preserve"> in a sampling year was overlapping across taxa and years</w:t>
      </w:r>
      <w:r w:rsidR="00957CC6" w:rsidRPr="006F1F4B">
        <w:t xml:space="preserve"> with differences being driven by the inclusion of </w:t>
      </w:r>
      <w:r w:rsidR="007F4A84" w:rsidRPr="006F1F4B">
        <w:t xml:space="preserve">variably abundant prey items, e.g., </w:t>
      </w:r>
      <w:r w:rsidR="007F4A84" w:rsidRPr="006F1F4B">
        <w:rPr>
          <w:i/>
          <w:iCs/>
        </w:rPr>
        <w:t>Themisto</w:t>
      </w:r>
      <w:r w:rsidR="007F4A84" w:rsidRPr="006F1F4B">
        <w:t xml:space="preserve"> sp. by Arctic char in 2019</w:t>
      </w:r>
      <w:r w:rsidR="00864667" w:rsidRPr="006F1F4B">
        <w:t xml:space="preserve"> (Figure 2).</w:t>
      </w:r>
      <w:r w:rsidR="009B212F" w:rsidRPr="006F1F4B">
        <w:t xml:space="preserve"> I</w:t>
      </w:r>
      <w:r w:rsidR="000C136E" w:rsidRPr="006F1F4B">
        <w:t>SA revealed stronger associations between Arctic char and their prey than those by sculpins</w:t>
      </w:r>
      <w:r w:rsidR="00074445" w:rsidRPr="006F1F4B">
        <w:t xml:space="preserve">. Arctic char </w:t>
      </w:r>
      <w:r w:rsidR="00AA7A84" w:rsidRPr="006F1F4B">
        <w:t xml:space="preserve">possessed 6 significant </w:t>
      </w:r>
      <w:r w:rsidR="00D32E97">
        <w:t>prey types</w:t>
      </w:r>
      <w:r w:rsidR="00AA7A84" w:rsidRPr="006F1F4B">
        <w:t xml:space="preserve"> </w:t>
      </w:r>
      <w:r w:rsidR="006204C5" w:rsidRPr="006F1F4B">
        <w:t xml:space="preserve">(Arctic cod, Sand lance, Fish, </w:t>
      </w:r>
      <w:r w:rsidR="006204C5" w:rsidRPr="006F1F4B">
        <w:rPr>
          <w:i/>
          <w:iCs/>
        </w:rPr>
        <w:t xml:space="preserve">Onisimus </w:t>
      </w:r>
      <w:r w:rsidR="006204C5" w:rsidRPr="006F1F4B">
        <w:t xml:space="preserve">sp., </w:t>
      </w:r>
      <w:r w:rsidR="006204C5" w:rsidRPr="006F1F4B">
        <w:rPr>
          <w:i/>
          <w:iCs/>
        </w:rPr>
        <w:t>Themisto</w:t>
      </w:r>
      <w:r w:rsidR="006204C5" w:rsidRPr="006F1F4B">
        <w:t xml:space="preserve"> sp., and Copepods) whereas sculpins had just two (</w:t>
      </w:r>
      <w:r w:rsidR="008D7314" w:rsidRPr="006F1F4B">
        <w:t xml:space="preserve">Amphipods and Mysids) as </w:t>
      </w:r>
      <w:r w:rsidR="008D7314" w:rsidRPr="006F1F4B">
        <w:lastRenderedPageBreak/>
        <w:t xml:space="preserve">well as an association with Digested materials (Table 2). </w:t>
      </w:r>
      <w:r w:rsidR="008131DB" w:rsidRPr="006F1F4B">
        <w:t xml:space="preserve">All groups (combination of predator taxa and year) were significantly different </w:t>
      </w:r>
      <w:r w:rsidR="00AD4D41">
        <w:t>via</w:t>
      </w:r>
      <w:r w:rsidR="008131DB" w:rsidRPr="006F1F4B">
        <w:t xml:space="preserve"> PerMANOVA (</w:t>
      </w:r>
      <w:r w:rsidR="00656206" w:rsidRPr="006F1F4B">
        <w:t xml:space="preserve">p </w:t>
      </w:r>
      <w:r w:rsidR="007B302B" w:rsidRPr="006F1F4B">
        <w:t>= 0.0015 – 0.0310</w:t>
      </w:r>
      <w:r w:rsidR="008131DB" w:rsidRPr="006F1F4B">
        <w:t>)</w:t>
      </w:r>
      <w:r w:rsidR="004F64C0" w:rsidRPr="006F1F4B">
        <w:t xml:space="preserve"> with centroid distances ranging between 0.220 and </w:t>
      </w:r>
      <w:r w:rsidR="00051A9E" w:rsidRPr="006F1F4B">
        <w:t>0.664</w:t>
      </w:r>
      <w:r w:rsidR="005510F6" w:rsidRPr="006F1F4B">
        <w:t xml:space="preserve">. Typically, </w:t>
      </w:r>
      <w:r w:rsidR="005819EE" w:rsidRPr="006F1F4B">
        <w:t xml:space="preserve">centroid distances between the predator taxa within the same year were smaller (mean = </w:t>
      </w:r>
      <w:r w:rsidR="001E4B06" w:rsidRPr="006F1F4B">
        <w:t xml:space="preserve">0.364, range = 0.220 – 0.571) </w:t>
      </w:r>
      <w:r w:rsidR="003E23CF" w:rsidRPr="006F1F4B">
        <w:t xml:space="preserve">than for </w:t>
      </w:r>
      <w:r w:rsidR="00EA5062" w:rsidRPr="006F1F4B">
        <w:t xml:space="preserve">the same predator </w:t>
      </w:r>
      <w:r w:rsidR="0011070F" w:rsidRPr="006F1F4B">
        <w:t>taxa across years (mean = 0.456, range = 0.228 – 0.638</w:t>
      </w:r>
      <w:r w:rsidR="002F2C24" w:rsidRPr="006F1F4B">
        <w:t>; Figure 5</w:t>
      </w:r>
      <w:r w:rsidR="00757EF6" w:rsidRPr="006F1F4B">
        <w:t>a</w:t>
      </w:r>
      <w:r w:rsidR="002F2C24" w:rsidRPr="006F1F4B">
        <w:t>).</w:t>
      </w:r>
      <w:r w:rsidR="009A6776" w:rsidRPr="006F1F4B">
        <w:t xml:space="preserve"> Dispersion </w:t>
      </w:r>
      <w:r w:rsidR="00285BE7" w:rsidRPr="006F1F4B">
        <w:t xml:space="preserve">values for individuals ranged from 0 </w:t>
      </w:r>
      <w:r w:rsidR="00143362" w:rsidRPr="006F1F4B">
        <w:t>–</w:t>
      </w:r>
      <w:r w:rsidR="00285BE7" w:rsidRPr="006F1F4B">
        <w:t xml:space="preserve"> </w:t>
      </w:r>
      <w:r w:rsidR="00143362" w:rsidRPr="006F1F4B">
        <w:t>0.879 (</w:t>
      </w:r>
      <w:r w:rsidR="00562850" w:rsidRPr="006F1F4B">
        <w:t>a Sculpin from 2018) with groups showing variation</w:t>
      </w:r>
      <w:r w:rsidR="00757EF6" w:rsidRPr="006F1F4B">
        <w:t xml:space="preserve"> in their averages (Figure 5b)</w:t>
      </w:r>
      <w:r w:rsidR="00614D42" w:rsidRPr="006F1F4B">
        <w:t xml:space="preserve"> but no c</w:t>
      </w:r>
      <w:r w:rsidR="006D6232" w:rsidRPr="006F1F4B">
        <w:t>onsistent effect of predator taxa nor of year was observed</w:t>
      </w:r>
      <w:r w:rsidR="00757EF6" w:rsidRPr="006F1F4B">
        <w:t>.</w:t>
      </w:r>
    </w:p>
    <w:p w14:paraId="5190DF19" w14:textId="5889E935" w:rsidR="0D40CEC3" w:rsidRPr="006F1F4B" w:rsidRDefault="0D40CEC3" w:rsidP="00D13D88">
      <w:pPr>
        <w:pStyle w:val="Heading1"/>
      </w:pPr>
      <w:r w:rsidRPr="006F1F4B">
        <w:t>Discussion</w:t>
      </w:r>
    </w:p>
    <w:p w14:paraId="7351CB22" w14:textId="7E2B62BC" w:rsidR="007912B6" w:rsidRPr="006F1F4B" w:rsidRDefault="1537C3E2" w:rsidP="002760C0">
      <w:pPr>
        <w:ind w:firstLine="720"/>
      </w:pPr>
      <w:r>
        <w:t xml:space="preserve">Both sculpin and char exploited the brief prey pulse, with few individuals exhibiting empty stomachs, and many feeding intensely. The percentage of empty stomachs (char = 1.96%; sculpin = 14.67%) was lower than the average for fishes analyzed worldwide (16.2%), but was within the range of other fish populations, particularly in North America </w:t>
      </w:r>
      <w:r w:rsidR="2199FF39">
        <w:fldChar w:fldCharType="begin"/>
      </w:r>
      <w:r w:rsidR="2199FF39">
        <w:instrText xml:space="preserve"> ADDIN ZOTERO_ITEM CSL_CITATION {"citationID":"qPsxXdDh","properties":{"formattedCitation":"(Arrington et al. 2002)","plainCitation":"(Arrington et al. 2002)","noteIndex":0},"citationItems":[{"id":1682,"uris":["http://zotero.org/users/6698532/items/7E69U623"],"itemData":{"id":1682,"type":"article-journal","abstract":"We used a large data set of African, Neotropical, and North American fishes to examine the frequency with which fishes have empty stomachs (n&lt;sub&gt;species&lt;/sub&gt; = 254; n&lt;sub&gt;individuals&lt;/sub&gt; = 36 875). Mean percentage of empty stomachs was low across all fishes (16.2 ± 1.2%) but varied from 0% to 79.4% among individual species. Nocturnal fishes had empty stomachs more frequently than diurnal fishes. Trophic classification was strongly associated with the percentage of empty stomachs, a pattern also revealed from an intraspecific analysis. Fishes appear to adjust their feeding intervals relative to the energy density, conversion efficiency, and particle size of their food. Piscivorous fishes seem to be the only trophic group that regularly experience long periods of empty stomachs, with species that consume prey whole and those that provide extended parental care having the highest proportions of empty stomachs. Activity patterns and life histories of some piscivorous species probably have evolved in partial response to energetic benefits of large, energy-rich food resources.","archive":"JSTOR","container-title":"Ecology","DOI":"10.2307/3072046","ISSN":"0012-9658","issue":"8","note":"publisher: Ecological Society of America","page":"2145-2151","source":"JSTOR","title":"How Often Do Fishes \"Run on Empty\"?","volume":"83","author":[{"family":"Arrington","given":"D. Albrey"},{"family":"Winemiller","given":"Kirk O."},{"family":"Loftus","given":"William F."},{"family":"Akin","given":"Senol"}],"issued":{"date-parts":[["2002"]]}}}],"schema":"https://github.com/citation-style-language/schema/raw/master/csl-citation.json"} </w:instrText>
      </w:r>
      <w:r w:rsidR="2199FF39">
        <w:fldChar w:fldCharType="separate"/>
      </w:r>
      <w:r w:rsidR="00A70399" w:rsidRPr="00A70399">
        <w:t>(Arrington et al. 2002)</w:t>
      </w:r>
      <w:r w:rsidR="2199FF39">
        <w:fldChar w:fldCharType="end"/>
      </w:r>
      <w:r>
        <w:t xml:space="preserve">. Levels of consumption were high on average for both Arctic char (1.92% ± 0.19%) and sculpins (2.88% ± 0.33%) with individuals reaching 4.63% for Arctic char and 10.50% for sculpins. Previously, definitions of binge-feeding have been made for fishes based on their capacity for digestion and assimilation based on detailed bioenergetics models </w:t>
      </w:r>
      <w:r w:rsidR="2199FF39">
        <w:fldChar w:fldCharType="begin"/>
      </w:r>
      <w:r w:rsidR="2199FF39">
        <w:instrText xml:space="preserve"> ADDIN ZOTERO_ITEM CSL_CITATION {"citationID":"A34GqsQo","properties":{"formattedCitation":"(Hanson et al. 1997; Furey et al. 2016)","plainCitation":"(Hanson et al. 1997; Furey et al. 2016)","noteIndex":0},"citationItems":[{"id":1632,"uris":["http://zotero.org/users/6698532/items/2E22ADCN"],"itemData":{"id":1632,"type":"report","event-place":"Madison, WI","note":"container-title: University of Wisconsin-Madison Center for Limnology and and University of Wisconsin, Sea Grant Institute.","number":"WISCU-T-97-001","publisher-place":"Madison, WI","title":"Fish Bioenergetics 3.0","author":[{"family":"Hanson","given":"P"},{"family":"Johnson","given":"T B"},{"family":"Schindler","given":"D E"},{"family":"Kitchell","given":"J F"}],"issued":{"date-parts":[["1997"]]}}},{"id":1640,"uris":["http://zotero.org/users/6698532/items/5FF9MTGT"],"itemData":{"id":1640,"type":"article-journal","abstract":"© 2016 The Authors. Journal of Animal Ecology © 2016 British Ecological Society Understanding the limits of consumption is important for determining trophic influences on ecosystems and predator adaptations to inconsistent prey availability. Fishes have been observed to consume beyond what is sustainable (i.e. digested on a daily basis), but this phenomenon of hyperphagia (or binge-feeding) is largely overlooked. We expect hyperphagia to be a short-term (1-day) event that is facilitated by gut volume providing capacity to store consumed food during periods of high prey availability to be later digested. We define how temperature, body size and food availability influence the degree of binge-feeding by comparing field observations with laboratory experiments of bull trout (Salvelinus confluentus), a large freshwater piscivore that experiences highly variable prey pulses. We also simulated bull trout consumption and growth during salmon smolt outmigrations under two scenarios: 1) daily consumption being dependent upon bioenergetically sustainable rates and 2) daily consumption being dependent upon available gut volume (i.e. consumption is equal to gut volume when empty and otherwise ‘topping off’ based on sustainable digestion rates). One-day consumption by laboratory-held bull trout during the first day of feeding experiments after fasting exceeded bioenergetically sustainable rates by 12- to 87-fold at low temperatures (3 °C) and by ˜1·3-fold at 20 °C. The degree of binge-feeding by bull trout in the field was slightly reduced but largely in agreement with laboratory estimates, especially when prey availability was extremely high [during a sockeye salmon (Oncorhynchus nerka) smolt outmigration and at a counting fence where smolts are funnelled into high densities]. Consumption by bull trout at other settings were lower and more variable, but still regularly hyperphagic. Simulations demonstrated the ability to binge-feed increased cumulative consumption (16–32%) and cumulative growth (19–110%) relative to only feeding at bioenergetically sustainable rates during the ˜1-month smolt outmigration period. Our results indicate the ability for predators to maximize  short-term consumption when prey are available can be extreme and is limited primarily by gut volume, then mediated by temperature; thus, predator–prey relationships may be more dependent upon prey availability than traditional bioenergetic models suggest. Binge-feeding has important implications for energy budgets of consumers as well as acute predation impacts on prey.","container-title":"The Journal of animal ecology","DOI":"10.1111/1365-2656.12565","issue":"5","page":"1307-1317","title":"Piscivorous fish exhibit temperature-influenced binge feeding during an annual prey pulse","volume":"85","author":[{"family":"Furey","given":"Nathan B."},{"family":"Hinch","given":"Scott G."},{"family":"Mesa","given":"Matthew G."},{"family":"Beauchamp","given":"David A."}],"issued":{"date-parts":[["2016"]]}}}],"schema":"https://github.com/citation-style-language/schema/raw/master/csl-citation.json"} </w:instrText>
      </w:r>
      <w:r w:rsidR="2199FF39">
        <w:fldChar w:fldCharType="separate"/>
      </w:r>
      <w:r w:rsidR="00A70399" w:rsidRPr="00A70399">
        <w:t>(Hanson et al. 1997; Furey et al. 2016)</w:t>
      </w:r>
      <w:r w:rsidR="2199FF39">
        <w:fldChar w:fldCharType="end"/>
      </w:r>
      <w:r>
        <w:t xml:space="preserve">. Unfortunately, </w:t>
      </w:r>
      <w:r w:rsidR="00FE04D1">
        <w:t xml:space="preserve">as </w:t>
      </w:r>
      <w:r>
        <w:t xml:space="preserve">neither Arctic char nor any </w:t>
      </w:r>
      <w:r w:rsidRPr="1537C3E2">
        <w:rPr>
          <w:i/>
          <w:iCs/>
        </w:rPr>
        <w:t xml:space="preserve">Myoxocephalus </w:t>
      </w:r>
      <w:r>
        <w:t xml:space="preserve">sculpins </w:t>
      </w:r>
      <w:r w:rsidR="0092433E">
        <w:t xml:space="preserve">have had such models </w:t>
      </w:r>
      <w:r w:rsidR="003F0D91">
        <w:t>parameterized</w:t>
      </w:r>
      <w:r>
        <w:t xml:space="preserve"> </w:t>
      </w:r>
      <w:r w:rsidR="00192D08">
        <w:t>we rely</w:t>
      </w:r>
      <w:r w:rsidR="003F0D91">
        <w:t xml:space="preserve"> on observations from similar species, </w:t>
      </w:r>
      <w:r w:rsidR="0070252B">
        <w:t>especially</w:t>
      </w:r>
      <w:r>
        <w:t xml:space="preserve"> Bull trout (</w:t>
      </w:r>
      <w:r w:rsidRPr="1537C3E2">
        <w:rPr>
          <w:i/>
          <w:iCs/>
        </w:rPr>
        <w:t>Salvelinus confluentus</w:t>
      </w:r>
      <w:r w:rsidR="004C76B1">
        <w:t xml:space="preserve">; </w:t>
      </w:r>
      <w:r w:rsidR="004C76B1">
        <w:fldChar w:fldCharType="begin"/>
      </w:r>
      <w:r w:rsidR="004C76B1">
        <w:instrText xml:space="preserve"> ADDIN ZOTERO_ITEM CSL_CITATION {"citationID":"dnxeDSGS","properties":{"formattedCitation":"(Mesa et al. 2013)","plainCitation":"(Mesa et al. 2013)","noteIndex":0},"citationItems":[{"id":318,"uris":["http://zotero.org/users/6698532/items/7KRAK64P"],"itemData":{"id":318,"type":"article-journal","abstract":"We conducted laboratory experiments to parameterize a bioenergetics model for wild Bull Trout Salvelinus confluentus, estimating the effects of body mass (12-1,117 g) and temperature (3-20°C) on maximum consumption (Cmax) and standard metabolic rates. The temperature associated with the highest Cmax was 16°C, and Cmax showed the characteristic dome-shaped temperature-dependent response. Mass-dependent values of Cmax (N = 28) at 16°C ranged from 0.03 to 0.13 g·g-1 ·d-1. The standard metabolic rates of fish (N = 110) ranged from 0.0005 to 0.003 g·O2·g-1·d-1 and increased with increasing temperature but declined with increasing body mass. In two separate evaluation experiments, which were conducted at only one ration level (40% of estimated Cmax), the model predicted final weights that were, on average, within 1.2 ± 2.5% (mean ± SD) of observed values for fish ranging from 119 to 573 g and within 3.5 ± 4.9% of values for 31-65 g fish. Model-predicted consumption was within 5.5 ± 10.9% of observed values for larger fish and within 12.4 ± 16.0% for smaller fish. Our model should be useful to those dealing with issues currently faced by Bull Trout, such as climate change or alterations in prey availability. © American Fisheries Society 2013.","container-title":"Transactions of the American Fisheries Society","DOI":"10.1080/00028487.2012.720628","issue":"1","page":"41-49","title":"Development and evaluation of a bioenergetics model for Bull Trout","volume":"142","author":[{"family":"Mesa","given":"Matthew G."},{"family":"Weiland","given":"Lisa K."},{"family":"Christiansen","given":"Helena E."},{"family":"Sauter","given":"Sally T."},{"family":"Beauchamp","given":"David A."}],"issued":{"date-parts":[["2013"]]}}}],"schema":"https://github.com/citation-style-language/schema/raw/master/csl-citation.json"} </w:instrText>
      </w:r>
      <w:r w:rsidR="004C76B1">
        <w:fldChar w:fldCharType="separate"/>
      </w:r>
      <w:r w:rsidR="00A70399" w:rsidRPr="00A70399">
        <w:t>Mesa et al. 2013)</w:t>
      </w:r>
      <w:r w:rsidR="004C76B1">
        <w:fldChar w:fldCharType="end"/>
      </w:r>
      <w:r>
        <w:t xml:space="preserve"> and Prickly sculpin (</w:t>
      </w:r>
      <w:r w:rsidRPr="1537C3E2">
        <w:rPr>
          <w:i/>
          <w:iCs/>
        </w:rPr>
        <w:t>Cottus asper</w:t>
      </w:r>
      <w:r w:rsidR="004C76B1">
        <w:t xml:space="preserve">; </w:t>
      </w:r>
      <w:r w:rsidR="004C76B1">
        <w:fldChar w:fldCharType="begin"/>
      </w:r>
      <w:r w:rsidR="004C76B1">
        <w:instrText xml:space="preserve"> ADDIN ZOTERO_ITEM CSL_CITATION {"citationID":"9WUl3zm1","properties":{"formattedCitation":"(Moss 2001)","plainCitation":"(Moss 2001)","noteIndex":0},"citationItems":[{"id":532,"uris":["http://zotero.org/users/6698532/items/H99M5Y6E"],"itemData":{"id":532,"type":"thesis","genre":"Master of Science","number-of-pages":"70","publisher":"University of Washington","title":"Development and Application of a Bioenergetics Model for Lake Washington Prickly Sculpin (Cottus asper).","author":[{"family":"Moss","given":"Jamal Hasan Henry"}],"issued":{"date-parts":[["2001"]]}}}],"schema":"https://github.com/citation-style-language/schema/raw/master/csl-citation.json"} </w:instrText>
      </w:r>
      <w:r w:rsidR="004C76B1">
        <w:fldChar w:fldCharType="separate"/>
      </w:r>
      <w:r w:rsidR="00A70399" w:rsidRPr="00A70399">
        <w:t>Moss 2001)</w:t>
      </w:r>
      <w:r w:rsidR="004C76B1">
        <w:fldChar w:fldCharType="end"/>
      </w:r>
      <w:r w:rsidR="00192D08">
        <w:t>,</w:t>
      </w:r>
      <w:r w:rsidR="00F035E2">
        <w:t xml:space="preserve"> that suggest binge-feeding may occur with consumption rates between </w:t>
      </w:r>
      <w:r w:rsidR="00BD6A30">
        <w:t xml:space="preserve">1.5-3.5%. </w:t>
      </w:r>
      <w:r>
        <w:t>Compared to these estimates, excessive consumption occurred</w:t>
      </w:r>
      <w:r w:rsidR="002C427E">
        <w:t xml:space="preserve"> often</w:t>
      </w:r>
      <w:r>
        <w:t xml:space="preserve"> in both predator groups (15.4% of Arctic char; 52.0% of sculpins). Both the regular and intense feeding observed here has been found as characteristic fish responses to other large resource pulses </w:t>
      </w:r>
      <w:r w:rsidR="2199FF39">
        <w:fldChar w:fldCharType="begin"/>
      </w:r>
      <w:r w:rsidR="2199FF39">
        <w:instrText xml:space="preserve"> ADDIN ZOTERO_ITEM CSL_CITATION {"citationID":"xxR7tBnH","properties":{"formattedCitation":"(Furey et al. 2016; Hermann et al. 2020)","plainCitation":"(Furey et al. 2016; Hermann et al. 2020)","noteIndex":0},"citationItems":[{"id":1640,"uris":["http://zotero.org/users/6698532/items/5FF9MTGT"],"itemData":{"id":1640,"type":"article-journal","abstract":"© 2016 The Authors. Journal of Animal Ecology © 2016 British Ecological Society Understanding the limits of consumption is important for determining trophic influences on ecosystems and predator adaptations to inconsistent prey availability. Fishes have been observed to consume beyond what is sustainable (i.e. digested on a daily basis), but this phenomenon of hyperphagia (or binge-feeding) is largely overlooked. We expect hyperphagia to be a short-term (1-day) event that is facilitated by gut volume providing capacity to store consumed food during periods of high prey availability to be later digested. We define how temperature, body size and food availability influence the degree of binge-feeding by comparing field observations with laboratory experiments of bull trout (Salvelinus confluentus), a large freshwater piscivore that experiences highly variable prey pulses. We also simulated bull trout consumption and growth during salmon smolt outmigrations under two scenarios: 1) daily consumption being dependent upon bioenergetically sustainable rates and 2) daily consumption being dependent upon available gut volume (i.e. consumption is equal to gut volume when empty and otherwise ‘topping off’ based on sustainable digestion rates). One-day consumption by laboratory-held bull trout during the first day of feeding experiments after fasting exceeded bioenergetically sustainable rates by 12- to 87-fold at low temperatures (3 °C) and by ˜1·3-fold at 20 °C. The degree of binge-feeding by bull trout in the field was slightly reduced but largely in agreement with laboratory estimates, especially when prey availability was extremely high [during a sockeye salmon (Oncorhynchus nerka) smolt outmigration and at a counting fence where smolts are funnelled into high densities]. Consumption by bull trout at other settings were lower and more variable, but still regularly hyperphagic. Simulations demonstrated the ability to binge-feed increased cumulative consumption (16–32%) and cumulative growth (19–110%) relative to only feeding at bioenergetically sustainable rates during the ˜1-month smolt outmigration period. Our results indicate the ability for predators to maximize  short-term consumption when prey are available can be extreme and is limited primarily by gut volume, then mediated by temperature; thus, predator–prey relationships may be more dependent upon prey availability than traditional bioenergetic models suggest. Binge-feeding has important implications for energy budgets of consumers as well as acute predation impacts on prey.","container-title":"The Journal of animal ecology","DOI":"10.1111/1365-2656.12565","issue":"5","page":"1307-1317","title":"Piscivorous fish exhibit temperature-influenced binge feeding during an annual prey pulse","volume":"85","author":[{"family":"Furey","given":"Nathan B."},{"family":"Hinch","given":"Scott G."},{"family":"Mesa","given":"Matthew G."},{"family":"Beauchamp","given":"David A."}],"issued":{"date-parts":[["2016"]]}}},{"id":1992,"uris":["http://zotero.org/users/6698532/items/8ETW536U"],"itemData":{"id":1992,"type":"article-journal","abstract":"Introduced Paciﬁc salmon (Oncorhynchus spp.) deliver novel, pulsed resource subsidies to Great Lakes streams. We explored interactions between native brook trout (Salvelinus fontinalis) and non-native brown trout (Salmo trutta) in the context of this resource pulse. Diets surveyed before and during salmon spawning showed that, regardless of species, trout consumed 4.5-fold more biomass during than before salmon runs. Brook trout grew more quickly than brown trout under controlled feeding regimes due, in part, to their higher food conversion efﬁciency of 36% compared with 21%. Bioenergetics model simulations explored the inﬂuence of temperature on the exploitation of resource pulses and found 35% lower growth rates and increased gorging at colder temperatures. Overall, we found evidence that brook trout and brown trout foraging and growth are modulated by the salmon resource pulse, especially through gorging on eggs. However, these species exhibit distinct physiological adaptations and environmental preferences that may inﬂuence their ultimate capacity to exploit resource pulses. The effects of environmental conditions and salmon subsidies on stream-resident trout have broader consequences for ﬁsheries management and conservation efforts.","container-title":"Canadian Journal of Fisheries and Aquatic Sciences","DOI":"10.1139/cjfas-2020-0086","ISSN":"0706-652X, 1205-7533","issue":"11","journalAbbreviation":"Can. J. Fish. Aquat. Sci.","language":"en","page":"1758-1771","source":"DOI.org (Crossref)","title":"Ecological consequences of Great Lakes salmon subsidies for stream-resident brook and brown trout","volume":"77","author":[{"family":"Hermann","given":"Nathan T."},{"family":"Chaloner","given":"Dominic T."},{"family":"Gerig","given":"Brandon S."},{"family":"Lamberti","given":"Gary A."}],"issued":{"date-parts":[["2020",11]]}}}],"schema":"https://github.com/citation-style-language/schema/raw/master/csl-citation.json"} </w:instrText>
      </w:r>
      <w:r w:rsidR="2199FF39">
        <w:fldChar w:fldCharType="separate"/>
      </w:r>
      <w:r w:rsidR="00A70399" w:rsidRPr="00A70399">
        <w:t>(Furey et al. 2016; Hermann et al. 2020)</w:t>
      </w:r>
      <w:r w:rsidR="2199FF39">
        <w:fldChar w:fldCharType="end"/>
      </w:r>
      <w:r>
        <w:t xml:space="preserve">. </w:t>
      </w:r>
      <w:r w:rsidR="000A32D3">
        <w:t xml:space="preserve">Despite </w:t>
      </w:r>
      <w:r w:rsidR="001C0EBC">
        <w:t>using a definition of</w:t>
      </w:r>
      <w:r>
        <w:t xml:space="preserve"> binge-feeding </w:t>
      </w:r>
      <w:r w:rsidR="001C0EBC">
        <w:t>not specific to</w:t>
      </w:r>
      <w:r>
        <w:t xml:space="preserve"> Arctic char </w:t>
      </w:r>
      <w:r w:rsidR="001C0EBC">
        <w:t>or</w:t>
      </w:r>
      <w:r>
        <w:t xml:space="preserve"> </w:t>
      </w:r>
      <w:r w:rsidRPr="1537C3E2">
        <w:rPr>
          <w:i/>
          <w:iCs/>
        </w:rPr>
        <w:t xml:space="preserve">Myoxocephalus </w:t>
      </w:r>
      <w:r>
        <w:t xml:space="preserve">spp. sculpins, the relatively intense feeding by both predators during the short ice-off season is likely to be important to their year-round energy budgets and success. </w:t>
      </w:r>
    </w:p>
    <w:p w14:paraId="051817B6" w14:textId="4BAA613B" w:rsidR="007912B6" w:rsidRPr="006F1F4B" w:rsidRDefault="1537C3E2" w:rsidP="002760C0">
      <w:pPr>
        <w:ind w:firstLine="720"/>
      </w:pPr>
      <w:r>
        <w:lastRenderedPageBreak/>
        <w:t xml:space="preserve">Though both Arctic char and sculpins fed intensively, their diets differ in ways which may reflect differences in their mobility and migratory behavior. Mobility may explain the higher presence of more mobile or pelagic prey items in the diets of Arctic char such as fish and copepods. Conversely, sculpins are primarily benthic predators with prey items being dominated by small benthic invertebrates </w:t>
      </w:r>
      <w:r w:rsidR="634A7CCB">
        <w:fldChar w:fldCharType="begin"/>
      </w:r>
      <w:r w:rsidR="634A7CCB">
        <w:instrText xml:space="preserve"> ADDIN ZOTERO_ITEM CSL_CITATION {"citationID":"DJkK5PHu","properties":{"formattedCitation":"(Moore and Moore 1974)","plainCitation":"(Moore and Moore 1974)","noteIndex":0},"citationItems":[{"id":1593,"uris":["http://zotero.org/users/6698532/items/FN6887Y8"],"itemData":{"id":1593,"type":"article-journal","container-title":"Journal of Fisheries Research Board of Canada","issue":"3","page":"355-359","title":"Food of Shorthorn Sculpin, &lt;i&gt;Myoxocephalus scorpius&lt;/i&gt;, in the Cumberland Sound Area of Baffin Island","volume":"31","author":[{"family":"Moore","given":"I. A."},{"family":"Moore","given":"J. W."}],"issued":{"date-parts":[["1974"]]}}}],"schema":"https://github.com/citation-style-language/schema/raw/master/csl-citation.json"} </w:instrText>
      </w:r>
      <w:r w:rsidR="634A7CCB">
        <w:fldChar w:fldCharType="separate"/>
      </w:r>
      <w:r w:rsidR="00A70399" w:rsidRPr="00A70399">
        <w:t>(Moore and Moore 1974)</w:t>
      </w:r>
      <w:r w:rsidR="634A7CCB">
        <w:fldChar w:fldCharType="end"/>
      </w:r>
      <w:r>
        <w:t xml:space="preserve">, consistent with our observations across years. Similarly, the higher percentage of empty stomachs by sculpins may suggest they are less capable of seeking consistent feeding opportunities and, as such, when they do feed do so at rates that are generally higher. This would be accurately reflective of their lie-in-wait foraging style and general sedentary lifestyle </w:t>
      </w:r>
      <w:r w:rsidR="634A7CCB">
        <w:fldChar w:fldCharType="begin"/>
      </w:r>
      <w:r w:rsidR="634A7CCB">
        <w:instrText xml:space="preserve"> ADDIN ZOTERO_ITEM CSL_CITATION {"citationID":"rPk1W6LS","properties":{"formattedCitation":"(Moore and Moore 1974; Breen et al. 2009)","plainCitation":"(Moore and Moore 1974; Breen et al. 2009)","noteIndex":0},"citationItems":[{"id":1593,"uris":["http://zotero.org/users/6698532/items/FN6887Y8"],"itemData":{"id":1593,"type":"article-journal","container-title":"Journal of Fisheries Research Board of Canada","issue":"3","page":"355-359","title":"Food of Shorthorn Sculpin, &lt;i&gt;Myoxocephalus scorpius&lt;/i&gt;, in the Cumberland Sound Area of Baffin Island","volume":"31","author":[{"family":"Moore","given":"I. A."},{"family":"Moore","given":"J. W."}],"issued":{"date-parts":[["1974"]]}}},{"id":723,"uris":["http://zotero.org/users/6698532/items/YAZ5W9T7"],"itemData":{"id":723,"type":"article-journal","abstract":"We monitored 94 mottled sculpins (Cottus bairdii) marked with passive integrated transponder (PIT) tags to examine seasonal movement patterns. High detection efficiency (mean ± standard error = 0.76 ± 0.03) of PIT-tagged fish was obtained with a portable antenna. Nighttime searches were more effective than daytime relocations in summer, and smaller fish (&lt;65 mm) were detected more readily than larger fish (≥65 mm). Sculpins used erosional habitats more than depositional habitats, particularly during summer and nighttime. Search attempts within a 150 m reach showed that displacement, mean movement distance, and home range did not differ significantly between summer and winter, suggesting that season did not strongly influence movement. Additionally, movement metrics were unrelated to sculpin size. However, supplementary searches of a larger reach (700 m) showed that 16% of PIT-tagged fish moved more than 100 m over 1 year, with a maximum displacement of 511 m, and mobile fish typically displayed upstream bias. Although most mottled sculpins in our system were relatively sedentary, a small proportion of individuals moved further than previously reported for other systems.","container-title":"Canadian Journal of Fisheries and Aquatic Sciences","DOI":"10.1139/F08-189","issue":"1","page":"31-41","title":"Movements of mottled sculpins (&lt;i&gt;Cottus bairdii&lt;/i&gt;) in a Michigan stream: How restricted are they?","volume":"66","author":[{"family":"Breen","given":"Matthew J."},{"family":"Ruetz","given":"Carl R."},{"family":"Thompson","given":"Kurt J."},{"family":"Kohler","given":"Steven L."}],"issued":{"date-parts":[["2009"]]}}}],"schema":"https://github.com/citation-style-language/schema/raw/master/csl-citation.json"} </w:instrText>
      </w:r>
      <w:r w:rsidR="634A7CCB">
        <w:fldChar w:fldCharType="separate"/>
      </w:r>
      <w:r w:rsidR="00A70399" w:rsidRPr="00A70399">
        <w:t>(Moore and Moore 1974; Breen et al. 2009)</w:t>
      </w:r>
      <w:r w:rsidR="634A7CCB">
        <w:fldChar w:fldCharType="end"/>
      </w:r>
      <w:r>
        <w:t xml:space="preserve">. These two observations help contrast the foraging strategies of Arctic char and sculpins, the former moving quickly </w:t>
      </w:r>
      <w:r w:rsidR="634A7CCB">
        <w:fldChar w:fldCharType="begin"/>
      </w:r>
      <w:r w:rsidR="634A7CCB">
        <w:instrText xml:space="preserve"> ADDIN ZOTERO_ITEM CSL_CITATION {"citationID":"cnqzCvsY","properties":{"formattedCitation":"(Hammer et al. 2022)","plainCitation":"(Hammer et al. 2022)","noteIndex":0},"citationItems":[{"id":2577,"uris":["http://zotero.org/users/6698532/items/C2KTA335"],"itemData":{"id":2577,"type":"article-journal","abstract":"Arctic waters are warming rapidly due to climate change, which is altering the timing of seasonal sea ice dynamics. Summer ice breakup provides a critical productivity bloom that consumers depend on. Arctic char Salvelinus alpinus undertake seasonal migrations to marine waters presumably to exploit this prey pulse. However, specific migratory timing and residency of char relative to breakup is largely unknown. To investigate char movement, individuals were tagged with acoustic transmitters in 2017 (n = 58) and 2018 (n = 52) within Tremblay Sound, Nunavut, Canada, resulting in 625 482 detections. Generalized linear models were used to relate multiple movement metrics to ice conditions as well as biological and temporal factors. Char exhibited multiple migratory patterns (chronologies), by which fish either migrated to/from rivers within Tremblay Sound (n = 67), rivers in external systems (n = 35), or a combination of both (n = 8). Fish that migrated exclusively from external systems were longer (~14 cm) than fish exhibiting other chronologies. Migration timing was related to chronology and preempted the specific ice-off date. Fish migrating from rivers within Tremblay Sound entered the marine environment ~7.5 d before the start of ice-off, while external migrants entered ~21 d after ice-off start. Differing migratory chronologies highlight the complexity of char migrations and may indicate the presence of subpopulations or potential ontogenetic shifts in migration behavior. Our study underscores the importance of the brief ice-free season, with potential implications for climate change resilience and management of this important resource in a changing Arctic.","container-title":"Marine Ecology Progress Series","DOI":"10.3354/meps13939","ISSN":"0171-8630, 1616-1599","journalAbbreviation":"Mar. Ecol. Prog. Ser.","language":"en","page":"221-236","source":"DOI.org (Crossref)","title":"Arctic char (Salvelinus alpinus) movement dynamics relative to ice breakup in a high Arctic embayment","volume":"682","author":[{"family":"Hammer","given":"Lj"},{"family":"Hussey","given":"Ne"},{"family":"Marcoux","given":"Mm"},{"family":"Pettitt-Wade","given":"H"},{"family":"Hedges","given":"K"},{"family":"Tallman","given":"R"},{"family":"Furey","given":"Nb"}],"issued":{"date-parts":[["2022"]]}}}],"schema":"https://github.com/citation-style-language/schema/raw/master/csl-citation.json"} </w:instrText>
      </w:r>
      <w:r w:rsidR="634A7CCB">
        <w:fldChar w:fldCharType="separate"/>
      </w:r>
      <w:r w:rsidR="00A70399" w:rsidRPr="00A70399">
        <w:t>(Hammer et al. 2022)</w:t>
      </w:r>
      <w:r w:rsidR="634A7CCB">
        <w:fldChar w:fldCharType="end"/>
      </w:r>
      <w:r>
        <w:t xml:space="preserve"> between patches of productivity within Tremblay Sound to feed consistently whereas sculpins occupy one area and consume the resources opportunistically available and only being able to slowly move between patches </w:t>
      </w:r>
      <w:r w:rsidR="634A7CCB">
        <w:fldChar w:fldCharType="begin"/>
      </w:r>
      <w:r w:rsidR="634A7CCB">
        <w:instrText xml:space="preserve"> ADDIN ZOTERO_ITEM CSL_CITATION {"citationID":"3ThSrzBL","properties":{"formattedCitation":"(Hermann et al. 2023)","plainCitation":"(Hermann et al. 2023)","noteIndex":0},"citationItems":[{"id":3861,"uris":["http://zotero.org/users/6698532/items/LQS8KWL6"],"itemData":{"id":3861,"type":"article-journal","abstract":"Environments change across space and time, often requiring organisms to exhibit behavioral responses. In the Arctic, migratory consumers are motivated by spring resources to follow receding ice; however, resident species’ responses to this ephemeral productivity are less well understood. We characterized the movement behaviors of relatively sedentary Arctic species of sculpin ( Myoxocephalus spp.) in Tremblay Sound, Nunavut, Canada. Movements of individuals ( n = 60) captured during the ice-free periods of 2017–2019 were monitored year-round via an array of acoustic telemetry receivers ( n = 37). Telemetry data confirmed year-round residency within the Sound, yet sculpins were consistently more active and wider ranging during the ice-free period versus the ice-covered winters. Sequence analysis revealed distinct patterns of activity differentiated primarily by regional associations. Together, these results indicate sculpins are highly sedentary, but move more during the ice-free season, suggesting the importance of the seasonal productivity pulse to these fishes. As resident species are adapted to exploit the conditions within their local environment, sculpins provide valuable indicator species to monitor coastal and benthic Arctic ecosystems that are experiencing rapid change.","container-title":"Canadian Journal of Fisheries and Aquatic Sciences","DOI":"10.1139/cjfas-2023-0042","ISSN":"0706-652X, 1205-7533","journalAbbreviation":"Can. J. Fish. Aquat. Sci.","language":"en","page":"cjfas-2023-0042","source":"DOI.org (Crossref)","title":"Year-round monitoring of Arctic species of sculpin to identify residency and seasonality of movement behavior","author":[{"family":"Hermann","given":"Nathan T."},{"family":"Hammer","given":"Lars J."},{"family":"Hussey","given":"Nigel E."},{"family":"Marcoux","given":"Marianne"},{"family":"Hedges","given":"Kevin J."},{"family":"Walter","given":"Ryan P."},{"family":"Furey","given":"Nathan B."}],"issued":{"date-parts":[["2023",8,3]]}}}],"schema":"https://github.com/citation-style-language/schema/raw/master/csl-citation.json"} </w:instrText>
      </w:r>
      <w:r w:rsidR="634A7CCB">
        <w:fldChar w:fldCharType="separate"/>
      </w:r>
      <w:r w:rsidR="00A70399" w:rsidRPr="00A70399">
        <w:t>(Hermann et al. 2023)</w:t>
      </w:r>
      <w:r w:rsidR="634A7CCB">
        <w:fldChar w:fldCharType="end"/>
      </w:r>
      <w:r>
        <w:t xml:space="preserve">. Perhaps, these differences position the two predators within the two categories of predatory responses to resource pulses defined by </w:t>
      </w:r>
      <w:r w:rsidR="634A7CCB">
        <w:fldChar w:fldCharType="begin"/>
      </w:r>
      <w:r w:rsidR="634A7CCB">
        <w:instrText xml:space="preserve"> ADDIN ZOTERO_ITEM CSL_CITATION {"citationID":"nsHALck9","properties":{"formattedCitation":"(Yang et al. 2008)","plainCitation":"(Yang et al. 2008)","dontUpdate":true,"noteIndex":0},"citationItems":[{"id":708,"uris":["http://zotero.org/users/6698532/items/9FQHAL3P"],"itemData":{"id":708,"type":"article-journal","abstract":"n increasing number of studies in a wide range of natural systems have investigated how pulses of resource availability influence ecological processes at individual, population, and community levels. Taken together, these studies suggest that some common processes may underlie pulsed resource dynamics in a wide diversity of systems. Developing a common framework of terms and concepts for the study of resource pulses may facilitate greater synthesis among these apparently disparate systems. Here, we propose a general definition of the resource pulse concept, outline some common patterns in the causes and consequences of resource pulses, and suggest a few key questions for future investigations. We define resource pulses as episodes of increased resource availability in space and time that combine low frequency (rarity), large magnitude (intensity), and short duration (brevity), and emphasize the importance of considering resource pulses at spatial and temporal scales relevant to specific resource-consumer interactions. Although resource pulses are uncommon events for consumers in specific systems, our review of the existing literature suggests that pulsed resource dynamics are actually widespread phenomena in nature. Resource pulses often result from climatic and environmental factors, processes of spatiotemporal accumulation and release, outbreak population dynamics, or a combination of these factors. These events can affect life history traits and behavior at the level of individual consumers, numerical responses at the population level, and indirect effects at the community level. Consumers show strategies for utilizing ephemeral resources opportunistically, reducing resource variability by averaging over larger spatial scales, and tolerating extended interpulse periods of reduced resource availability. Resource pulses can also create persistent effects in communities through several mechanisms. We suggest that the study of resource pulses provides opportunities to understand the dynamics of many specific systems, and may also contribute to broader ecological questions at individual, population, and community levels","container-title":"Ecology","issue":"3","page":"621-634","title":"What Can We Learn from Resource Pulses?","volume":"89","author":[{"family":"Yang","given":"Louie H"},{"family":"Bastow","given":"Justin L"},{"family":"Spence","given":"Kenneth O"},{"family":"Wright","given":"Amber N"}],"issued":{"date-parts":[["2008"]]}}}],"schema":"https://github.com/citation-style-language/schema/raw/master/csl-citation.json"} </w:instrText>
      </w:r>
      <w:r w:rsidR="634A7CCB">
        <w:fldChar w:fldCharType="separate"/>
      </w:r>
      <w:r>
        <w:t>Yang et al. (2008)</w:t>
      </w:r>
      <w:r w:rsidR="634A7CCB">
        <w:fldChar w:fldCharType="end"/>
      </w:r>
      <w:r>
        <w:t>: mobile specialists (Arctic char) and opportunistic residents (sculpins). However, it is possible that Arctic predators require additional plasticity (e.g., digestive capacity flexibility in Dolly Varden (</w:t>
      </w:r>
      <w:r w:rsidRPr="1537C3E2">
        <w:rPr>
          <w:i/>
          <w:iCs/>
        </w:rPr>
        <w:t>Salvelinus malma</w:t>
      </w:r>
      <w:r>
        <w:t xml:space="preserve">); </w:t>
      </w:r>
      <w:r w:rsidR="634A7CCB">
        <w:fldChar w:fldCharType="begin"/>
      </w:r>
      <w:r w:rsidR="004C76B1">
        <w:instrText xml:space="preserve"> ADDIN ZOTERO_ITEM CSL_CITATION {"citationID":"mg8iFAD9","properties":{"formattedCitation":"(Armstrong and Bond 2013)","plainCitation":"(Armstrong and Bond 2013)","dontUpdate":true,"noteIndex":0},"citationItems":[{"id":1079,"uris":["http://zotero.org/users/6698532/items/NAX3KYNQ"],"itemData":{"id":1079,"type":"article-journal","abstract":"Large digestive organs increase rates of energy gain when food is plentiful but are costly to maintain and increase rates of energy loss when food is scarce. The physiological adaptations to this trade-off differ depending on the scale and predictability of variation in food abundance. Currently, there is little understanding of how animals balance trade-offs between the cost and capacity of the digestive system in response to resource pulses: rare, ephemeral periods of resource superabundance. We investigated the physiological and behavioural tactics of the fish Dolly Varden (Salvelinus malma) that rear in watersheds with low in situ productivity, but experience annual resource pulses from the spawning migrations of Pacific salmon. The eggs of Pacific salmon provide high-energy food for Dolly Varden. Dolly Varden sampled 6 weeks prior to the resource pulse exhibited atrophy of the stomach, pyloric caeca, intestine and liver. Throughout the portion of the growing season prior to the resource pulse, fish exhibited empty stomachs, low indices of energy condition and muscle isotope signatures reflecting the previous resource pulse. During the resource pulse, Dolly Varden exhibited large digestive machinery, gorged on salmon eggs and rapidly stored energy in fat reserves, somatic growth and gonad development. Dolly Varden appeared to achieve nearly their entire annual energy surplus during the ~5-week period when sockeye salmon spawn. Digestive flexibility provides Dolly Varden the energy efficiency required to survive and reproduce when resource abundance is concentrated into an annual pulse that is predictable, yet highly ephemeral. Although fish are known to incur extremely variable energy budgets, our study is one of the first to document digestive flexibility in wild fish. Our study emphasizes that fish can rely heavily on rare, high-magnitude foraging opportunities. Human actions that attenuate spikes in food abundance may have stronger than anticipated effects on consumer energy budgets. © 2013 British Ecological Society.","container-title":"Journal of Animal Ecology","DOI":"10.1111/1365-2656.12066","issue":"5","page":"966-975","title":"Phenotype flexibility in wild fish: Dolly Varden regulate assimilative capacity to capitalize on annual pulsed subsidies","volume":"82","author":[{"family":"Armstrong","given":"Jonathan B."},{"family":"Bond","given":"Morgan H."}],"issued":{"date-parts":[["2013"]]}}}],"schema":"https://github.com/citation-style-language/schema/raw/master/csl-citation.json"} </w:instrText>
      </w:r>
      <w:r w:rsidR="634A7CCB">
        <w:fldChar w:fldCharType="separate"/>
      </w:r>
      <w:r>
        <w:t>Armstrong and Bond 2013)</w:t>
      </w:r>
      <w:r w:rsidR="634A7CCB">
        <w:fldChar w:fldCharType="end"/>
      </w:r>
      <w:r>
        <w:t xml:space="preserve"> and, as such, may not fit neatly into categories defined primarily from temperate environments </w:t>
      </w:r>
      <w:r w:rsidR="634A7CCB">
        <w:fldChar w:fldCharType="begin"/>
      </w:r>
      <w:r w:rsidR="634A7CCB">
        <w:instrText xml:space="preserve"> ADDIN ZOTERO_ITEM CSL_CITATION {"citationID":"p1DHX6tF","properties":{"formattedCitation":"(Yang et al. 2008)","plainCitation":"(Yang et al. 2008)","noteIndex":0},"citationItems":[{"id":708,"uris":["http://zotero.org/users/6698532/items/9FQHAL3P"],"itemData":{"id":708,"type":"article-journal","abstract":"n increasing number of studies in a wide range of natural systems have investigated how pulses of resource availability influence ecological processes at individual, population, and community levels. Taken together, these studies suggest that some common processes may underlie pulsed resource dynamics in a wide diversity of systems. Developing a common framework of terms and concepts for the study of resource pulses may facilitate greater synthesis among these apparently disparate systems. Here, we propose a general definition of the resource pulse concept, outline some common patterns in the causes and consequences of resource pulses, and suggest a few key questions for future investigations. We define resource pulses as episodes of increased resource availability in space and time that combine low frequency (rarity), large magnitude (intensity), and short duration (brevity), and emphasize the importance of considering resource pulses at spatial and temporal scales relevant to specific resource-consumer interactions. Although resource pulses are uncommon events for consumers in specific systems, our review of the existing literature suggests that pulsed resource dynamics are actually widespread phenomena in nature. Resource pulses often result from climatic and environmental factors, processes of spatiotemporal accumulation and release, outbreak population dynamics, or a combination of these factors. These events can affect life history traits and behavior at the level of individual consumers, numerical responses at the population level, and indirect effects at the community level. Consumers show strategies for utilizing ephemeral resources opportunistically, reducing resource variability by averaging over larger spatial scales, and tolerating extended interpulse periods of reduced resource availability. Resource pulses can also create persistent effects in communities through several mechanisms. We suggest that the study of resource pulses provides opportunities to understand the dynamics of many specific systems, and may also contribute to broader ecological questions at individual, population, and community levels","container-title":"Ecology","issue":"3","page":"621-634","title":"What Can We Learn from Resource Pulses?","volume":"89","author":[{"family":"Yang","given":"Louie H"},{"family":"Bastow","given":"Justin L"},{"family":"Spence","given":"Kenneth O"},{"family":"Wright","given":"Amber N"}],"issued":{"date-parts":[["2008"]]}}}],"schema":"https://github.com/citation-style-language/schema/raw/master/csl-citation.json"} </w:instrText>
      </w:r>
      <w:r w:rsidR="634A7CCB">
        <w:fldChar w:fldCharType="separate"/>
      </w:r>
      <w:r w:rsidR="00A70399" w:rsidRPr="00A70399">
        <w:t>(Yang et al. 2008)</w:t>
      </w:r>
      <w:r w:rsidR="634A7CCB">
        <w:fldChar w:fldCharType="end"/>
      </w:r>
      <w:r>
        <w:t>. Future studies should investigate whether there is a limit to diet plasticity to further inform how Arctic predators will respond to continued and more severe impacts of climate change, including shifts in the timing of summer ice-off, changes in overall ice distribution, and resultant impacts on the prey community. Additional adaptations include the migration behavior which is in addition to the marine mobility of Arctic char.</w:t>
      </w:r>
    </w:p>
    <w:p w14:paraId="17E12AC2" w14:textId="68CAB30D" w:rsidR="000372EE" w:rsidRPr="006F1F4B" w:rsidRDefault="000372EE" w:rsidP="4F7ADE61">
      <w:r w:rsidRPr="006F1F4B">
        <w:tab/>
      </w:r>
      <w:r w:rsidR="475E9C21" w:rsidRPr="006F1F4B">
        <w:t xml:space="preserve">The migratory behavior of Arctic char and high activity levels within </w:t>
      </w:r>
      <w:r w:rsidR="4F7ADE61">
        <w:t>Tremblay Sound</w:t>
      </w:r>
      <w:r w:rsidR="475E9C21" w:rsidRPr="006F1F4B">
        <w:t xml:space="preserve"> (Hammer et al. 2022) presents a </w:t>
      </w:r>
      <w:r w:rsidR="1982CB5E" w:rsidRPr="006F1F4B">
        <w:t xml:space="preserve">significant undertaking </w:t>
      </w:r>
      <w:r w:rsidR="2DEA94FB" w:rsidRPr="006F1F4B">
        <w:t xml:space="preserve">which their summer feeding must </w:t>
      </w:r>
      <w:r w:rsidR="0BC93B22" w:rsidRPr="006F1F4B">
        <w:t xml:space="preserve">be capable of supporting. Brief summer feeding opportunities are so important that char have been shown to arrive in marine waters prior to the initiation of ice-off (Hammer et al. 2022b). </w:t>
      </w:r>
      <w:r w:rsidR="33FB9077" w:rsidRPr="006F1F4B">
        <w:t xml:space="preserve">The energetic expense of migration is well </w:t>
      </w:r>
      <w:r w:rsidR="33FB9077" w:rsidRPr="006F1F4B">
        <w:lastRenderedPageBreak/>
        <w:t xml:space="preserve">understood </w:t>
      </w:r>
      <w:r w:rsidR="6683C9B3" w:rsidRPr="006F1F4B">
        <w:t>for many taxa</w:t>
      </w:r>
      <w:r w:rsidR="187A2A39" w:rsidRPr="006F1F4B">
        <w:t xml:space="preserve"> (birds, </w:t>
      </w:r>
      <w:r w:rsidR="00B32492" w:rsidRPr="006F1F4B">
        <w:fldChar w:fldCharType="begin"/>
      </w:r>
      <w:r w:rsidR="00B72BA0" w:rsidRPr="006F1F4B">
        <w:instrText xml:space="preserve"> ADDIN ZOTERO_ITEM CSL_CITATION {"citationID":"U5v0tMMA","properties":{"formattedCitation":"(McWilliams and Karasov 2014)","plainCitation":"(McWilliams and Karasov 2014)","dontUpdate":true,"noteIndex":0},"citationItems":[{"id":1240,"uris":["http://zotero.org/users/6698532/items/XH3LSQRV"],"itemData":{"id":1240,"type":"article-journal","abstract":"Flexible phenotypes enable animals to live in environments that change over space and time, and knowing the limits to and the required time scale for this flexibility provides insights into constraints on energy and nutrient intake, diet diversity and niche width. We quantified the level of immediate and ultimate spare capacity, and thus the extent of phenotypic flexibility, in the digestive system of a migratory bird in response to increased energy demand, and identified the digestive constraints responsible for the limits on sustained energy intake. Immediate spare capacity decreased from approximately 50% for birds acclimated to relatively benign temperatures to less than 20% as birds approached their maximum sustainable energy intake. Ultimate spare capacity enabled an increase in feeding rate of approximately 126% as measured in birds acclimated for weeks at -29°C compared with +21°C. Increased gut size and not tissue-specific differences in nutrient uptake or changes in digestive efficiency or retention time were primarily responsible for this increase in capacity with energy demand, and this change required more than 1-2 days. Thus, the pace of change in digestive organ size may often constrain energy intake and, for birds, retard the pace of their migration. © 2014 The Author(s) Published by the Royal Society. All rights reserved.","container-title":"Proceedings of the Royal Society B: Biological Sciences","DOI":"10.1098/rspb.2014.0308","issue":"1783","page":"1-9","title":"Spare capacity and phenotypic flexibility in the digestive system of a migratory bird: Defining the limits of animal design","volume":"281","author":[{"family":"McWilliams","given":"Scott R."},{"family":"Karasov","given":"William H."}],"issued":{"date-parts":[["2014"]]}}}],"schema":"https://github.com/citation-style-language/schema/raw/master/csl-citation.json"} </w:instrText>
      </w:r>
      <w:r w:rsidR="00B32492" w:rsidRPr="006F1F4B">
        <w:fldChar w:fldCharType="separate"/>
      </w:r>
      <w:r w:rsidR="187A2A39" w:rsidRPr="006F1F4B">
        <w:t>McWilliams and Karasov 2014</w:t>
      </w:r>
      <w:r w:rsidR="00B32492" w:rsidRPr="006F1F4B">
        <w:fldChar w:fldCharType="end"/>
      </w:r>
      <w:r w:rsidR="187A2A39" w:rsidRPr="006F1F4B">
        <w:t xml:space="preserve">; </w:t>
      </w:r>
      <w:r w:rsidR="186E1B99" w:rsidRPr="006F1F4B">
        <w:t xml:space="preserve">mammals, </w:t>
      </w:r>
      <w:r w:rsidR="001D6981" w:rsidRPr="006F1F4B">
        <w:fldChar w:fldCharType="begin"/>
      </w:r>
      <w:r w:rsidR="00B72BA0" w:rsidRPr="006F1F4B">
        <w:instrText xml:space="preserve"> ADDIN ZOTERO_ITEM CSL_CITATION {"citationID":"xtAADaR4","properties":{"formattedCitation":"(Harwood et al. 2012)","plainCitation":"(Harwood et al. 2012)","dontUpdate":true,"noteIndex":0},"citationItems":[{"id":2293,"uris":["http://zotero.org/users/6698532/items/8DCQUG27"],"itemData":{"id":2293,"type":"article-journal","container-title":"ARCTIC","DOI":"10.14430/arctic4163","ISSN":"1923-1245","issue":"1","journalAbbreviation":"ARCTIC","language":"en","license":"Copyright (c)","note":"number: 1","page":"35–44-35–44","source":"journalhosting.ucalgary.ca","title":"Fall Migration of Ringed Seals (&lt;i&gt;Phoca hispida&lt;/i&gt;) through the Beaufort and Chukchi Seas, 2001–02","volume":"65","author":[{"family":"Harwood","given":"Lois A."},{"family":"Smith","given":"Thomas G."},{"family":"Auld","given":"James C."}],"issued":{"date-parts":[["2012",3,17]]}}}],"schema":"https://github.com/citation-style-language/schema/raw/master/csl-citation.json"} </w:instrText>
      </w:r>
      <w:r w:rsidR="001D6981" w:rsidRPr="006F1F4B">
        <w:fldChar w:fldCharType="separate"/>
      </w:r>
      <w:r w:rsidR="43A1F64C" w:rsidRPr="006F1F4B">
        <w:t>Harwood et al. 2012</w:t>
      </w:r>
      <w:r w:rsidR="001D6981" w:rsidRPr="006F1F4B">
        <w:fldChar w:fldCharType="end"/>
      </w:r>
      <w:r w:rsidR="2A5957A3" w:rsidRPr="006F1F4B">
        <w:t xml:space="preserve">; and fishes, </w:t>
      </w:r>
      <w:r w:rsidR="00860FC3" w:rsidRPr="006F1F4B">
        <w:fldChar w:fldCharType="begin"/>
      </w:r>
      <w:r w:rsidR="00B72BA0" w:rsidRPr="006F1F4B">
        <w:instrText xml:space="preserve"> ADDIN ZOTERO_ITEM CSL_CITATION {"citationID":"eN3oj35A","properties":{"formattedCitation":"(Wilson et al. 2013)","plainCitation":"(Wilson et al. 2013)","dontUpdate":true,"noteIndex":0},"citationItems":[{"id":2967,"uris":["http://zotero.org/users/6698532/items/E9CXWU5Y"],"itemData":{"id":2967,"type":"article-journal","abstract":"This study is the ﬁrst to calibrate acceleration transmitters with energy expenditure using a vertebrate model species. We quantiﬁed the relationship between acoustic accelerometer output and oxygen consumption across a range of swim speeds and water temperatures for Harrison River adult sockeye salmon (Oncorhynchus nerka). First, we veriﬁed that acceleration transmitters with a sampling frequency of 10 Hz could be used as a proxy for movement in sockeye salmon. Using a mixed effects model, we determined that tailbeat frequency and acceleration were positively correlated (p b 0.0001), independent of tag ID. Acceleration (p b 0.0001) was positively related to swim speed while fork length (p = 0.051) was negatively related to swim speed. Oxygen consumption and accelerometer output (p b 0.0001) had a positive linear relationship and were temperature dependent (p b 0.0001). There were no differences in swim performance (F2,12 = 1.023, p = 0.820) or oxygen consumption (F1,12 = 0.054, p = 0.332) between tagged and untagged individuals. Five tagged ﬁsh were released into the Fraser River estuary and manually tracked. Of the ﬁve ﬁsh, three were successfully tracked for 1 h. The above relationships were used to determine that the average swim speed was 1.25 ± 0.03 body lengths s−1 and cost of transport was 3.39 ± 0.17 mg O2 kg−1 min−1, averaged across the three detected ﬁsh. Acceleration transmitters can be effectively used to remotely evaluate ﬁne-scale behavior and estimate energy consumption of adult Paciﬁc salmon throughout their homeward spawning migration.","container-title":"Comparative Biochemistry and Physiology Part A: Molecular &amp; Integrative Physiology","DOI":"10.1016/j.cbpa.2012.12.002","ISSN":"10956433","issue":"3","journalAbbreviation":"Comparative Biochemistry and Physiology Part A: Molecular &amp; Integrative Physiology","language":"en","page":"491-498","source":"DOI.org (Crossref)","title":"Calibrating acoustic acceleration transmitters for estimating energy use by wild adult Pacific salmon","volume":"164","author":[{"family":"Wilson","given":"S.M."},{"family":"Hinch","given":"S.G."},{"family":"Eliason","given":"E.J."},{"family":"Farrell","given":"A.P."},{"family":"Cooke","given":"S.J."}],"issued":{"date-parts":[["2013",3]]}}}],"schema":"https://github.com/citation-style-language/schema/raw/master/csl-citation.json"} </w:instrText>
      </w:r>
      <w:r w:rsidR="00860FC3" w:rsidRPr="006F1F4B">
        <w:fldChar w:fldCharType="separate"/>
      </w:r>
      <w:r w:rsidR="1D3DECEE" w:rsidRPr="006F1F4B">
        <w:t>Wilson et al. 2013</w:t>
      </w:r>
      <w:r w:rsidR="00860FC3" w:rsidRPr="006F1F4B">
        <w:fldChar w:fldCharType="end"/>
      </w:r>
      <w:r w:rsidR="2A5957A3" w:rsidRPr="006F1F4B">
        <w:t>)</w:t>
      </w:r>
      <w:r w:rsidR="43A1F64C" w:rsidRPr="006F1F4B">
        <w:t xml:space="preserve"> including for Arctic char specifically </w:t>
      </w:r>
      <w:r w:rsidR="001D6981" w:rsidRPr="006F1F4B">
        <w:fldChar w:fldCharType="begin"/>
      </w:r>
      <w:r w:rsidR="0032482C">
        <w:instrText xml:space="preserve"> ADDIN ZOTERO_ITEM CSL_CITATION {"citationID":"ta73CoyI","properties":{"formattedCitation":"(Spares et al. 2012, 2015; Harwood and Babaluk 2014; Moore et al. 2017)","plainCitation":"(Spares et al. 2012, 2015; Harwood and Babaluk 2014; Moore et al. 2017)","noteIndex":0},"citationItems":[{"id":4160,"uris":["http://zotero.org/users/6698532/items/LVS4PSR3"],"itemData":{"id":4160,"type":"article-journal","abstract":"The inﬂuence of salinity, temperature and prey availability on the marine migration of anadromous ﬁshes was determined by describing the movements, habitat use and feeding behaviours of Arctic char (Salvelinus alpinus). The objectives were to determine whether char are restricted to the upper water column of the inter-/subtidal zones due to warmer temperatures. Twenty-seven char were tracked with acoustic temperature/pressure (depth) transmitters from June to September, 2008/2009, in inner Frobisher Bay, Canada. Most detections were in surface waters (0–3 m). Inter-/subtidal movements and consecutive repetitive dives (maximum 52.8 m) resulted in extreme body temperature shifts (-0.2–18.1 °C). Approximately half of intertidal and subtidal detections were between 9–13 °C and 1–3 °C, respectively. Stomach contents and deep diving suggested feeding in both inter-/subtidal zones. We suggest that char tolerate cold water at depth to capture prey in the subtidal zone, then seek warmer water to enhance feeding/digestion physiology.","container-title":"Marine Biology","DOI":"10.1007/s00227-012-1949-y","ISSN":"0025-3162, 1432-1793","issue":"8","journalAbbreviation":"Mar Biol","language":"en","page":"1633-1646","source":"DOI.org (Crossref)","title":"Temperature, salinity and prey availability shape the marine migration of Arctic char, Salvelinus alpinus, in a macrotidal estuary","volume":"159","author":[{"family":"Spares","given":"Aaron D."},{"family":"Stokesbury","given":"Michael J. W."},{"family":"O’Dor","given":"Ron K."},{"family":"Dick","given":"Terry A."}],"issued":{"date-parts":[["2012",8]]}}},{"id":4161,"uris":["http://zotero.org/users/6698532/items/ATY6XAVF"],"itemData":{"id":4161,"type":"article-journal","abstract":"Estuarine residency and marine movements of 43 anadromous Arctic charr Salvelinus alpinus (mean ± s.d. fork length = 523 ± 97 mm) were examined using acoustic tracking in inner Frobisher Bay (IFB; 63° N; 68° W), Canada, from July to September 2008 and 2009. A mean ± s.d. migration duration of 63 ± 7 days occurred from late June to early September. Detected S. alpinus were either continuously (maximum 34 days) or intermittently present in estuarine zones, on average residing approximately one third of time tracked and returning once every 9 days. Significantly higher estuarine residency during the final 15 migration days suggested that a transition phase may occur prior to freshwater re-entry. Low travel rates during flood tide suggested individuals staged before accessing intertidal and estuarine zones. Although the two main estuaries were c. 22 km apart, 19% of tagged individuals used both. Individuals remained relatively close to freshwater overwintering systems, although late-migration inter-estuarine movements may have indicated natal homing. Approximately half of the individuals exhibited extra-estuarine travel, mostly during mid-migration, but remained within 3 km of shore ranging &lt; 30 km straight line distance (SLD) of either estuary. It was concluded that IFB S. alpinus (1) spent a significant portion of their migration within or adjacent to the estuaries and (2) had a restricted marine distribution within 30 km SLD of the river mouths.","container-title":"Journal of Fish Biology","DOI":"10.1111/jfb.12683","ISSN":"1095-8649","issue":"6","language":"en","note":"_eprint: https://onlinelibrary.wiley.com/doi/pdf/10.1111/jfb.12683","page":"1754-1780","source":"Wiley Online Library","title":"Residency and movement patterns of Arctic charr Salvelinus alpinus relative to major estuaries","volume":"86","author":[{"family":"Spares","given":"A. D."},{"family":"Stokesbury","given":"M. J. W."},{"family":"Dadswell","given":"M. J."},{"family":"O'Dor","given":"R. K."},{"family":"Dick","given":"T. A."}],"issued":{"date-parts":[["2015"]]}}},{"id":1602,"uris":["http://zotero.org/users/6698532/items/CRJ3APFA"],"itemData":{"id":1602,"type":"article-journal","abstract":"© Her Majesty the Queen in Right of Canada. Administered by the Arctic Institute of North America. Radio telemetry and t-bar tagging were used to locate sites used by Hornaday River Arctic char (Salvelinus alpinus) for overwintering, spawning, and summer feeding. Thirty char, 21 in August 1995 and nine in July and August 1999, were captured, radio-tagged, and released back into the Hornaday River. Tracking was done over 14 months in 1995-96 and over three months in 1999, using either aircraft (10 flights) or snowmobiles traveling on the river ice in winter (7 trips). Of 12 radio-tagged char that were relocated during winter 1995-96 and not caught in the 1995 upstream migration fall fishery, 11 (92%) ultimately overwintered in the reach of the Hornaday between Coalmine and Akluk Creek; three of these did so in consecutive years. This area is characterized by groundwater inputs and deep pools ( &gt;  2 m) that do not freeze to the riverbed in winter. Another important overwintering site was found in a similarly deep channel on the west side of the Hornaday River estuary, where half of the char radio-tagged in fall 1999 spent the winter of 1999-2000. Spawning locations were discerned through circumstantial evidence from the movements of three radio-tagged fish over entire annual cycles. The locations that were indicated as spawning habitat were all in the main stem of the Hornaday River, in deep ( &gt;  2 m), groundwater-fed pools between Coalmine and Akluk Creek. Fourteen percent of 239 char t-bar tagged at Pearce Point in July-August 1997 were caught at the mouth of the Hornaday River, on average within 25 days of tagging, which indicates that the nearshore area of Pearce Point, characterized by upwelling and enhanced productivity, is an important summer feeding area for this stock. This identification of overwintering, spawning, and summer feeding habitats contributes to an emerging list of areas for which it would be prudent to monitor habitat quality, change, and integrity given contemporary changes in climate and the potential for near-future anthropogenic activities in this watershed.","container-title":"Arctic","DOI":"10.14430/arctic4422","issue":"4","note":"publisher: Arctic Institute of North America","page":"449-461","title":"Spawning, overwintering and summer feeding habitats used by anadromous Arctic char (&lt;i&gt;Salvelinus alpinus&lt;/i&gt;) of the Hornaday River, Northwest Territories, Canada","volume":"67","author":[{"family":"Harwood","given":"Lois A."},{"family":"Babaluk","given":"John A."}],"issued":{"date-parts":[["2014",12]]}}},{"id":3467,"uris":["http://zotero.org/users/6698532/items/4ANZR7FR"],"itemData":{"id":3467,"type":"article-journal","abstract":"Migration is a ubiquitous life history trait with profound evolutionary and ecological consequences. Recent developments in telemetry and genomics, when combined, can bring significant insights on the migratory ecology of nonmodel organisms in the wild. Here, we used this integrative approach to document dispersal, gene flow and potential for local adaptation in anadromous Arctic Char from six rivers in the Canadian Arctic. Acoustic telemetry data from 124 tracked individuals indicated asymmetric dispersal, with a large proportion of fish (72%) tagged in three different rivers migrating up the same short river in the fall. Population genomics data from 6,136 SNP markers revealed weak, albeit significant, population differentiation (average pairwise FST = 0.011) and asymmetric dispersal was also revealed by population assignments. Approximate Bayesian computation simulations suggested the presence of asymmetric gene flow, although in the opposite direction to that observed from the telemetry data, suggesting that dispersal does not necessarily lead to gene flow. These observations suggested that Arctic Char home to their natal river to spawn, but may overwinter in rivers with the shortest migratory route to minimize the costs of migration in nonbreeding years. Genome scans and genetic–environment associations identified 90 outlier markers putatively under selection, 23 of which were in or near a gene. Of these, at least four were involved in muscle and cardiac function, consistent with the hypothesis that migratory harshness could drive local adaptation. Our study illustrates the power of integrating genomics and telemetry to study migrations in nonmodel organisms in logistically challenging environments such as the Arctic.","container-title":"Molecular Ecology","DOI":"10.1111/mec.14393","ISSN":"1365-294X","issue":"24","language":"en","note":"_eprint: https://onlinelibrary.wiley.com/doi/pdf/10.1111/mec.14393","page":"6784-6800","source":"Wiley Online Library","title":"Genomics and telemetry suggest a role for migration harshness in determining overwintering habitat choice, but not gene flow, in anadromous Arctic Char","volume":"26","author":[{"family":"Moore","given":"Jean-Sébastien"},{"family":"Harris","given":"Les N."},{"family":"Le Luyer","given":"Jérémy"},{"family":"Sutherland","given":"Ben J.G."},{"family":"Rougemont","given":"Quentin"},{"family":"Tallman","given":"Ross F."},{"family":"Fisk","given":"Aaron T."},{"family":"Bernatchez","given":"Louis"}],"issued":{"date-parts":[["2017"]]}}}],"schema":"https://github.com/citation-style-language/schema/raw/master/csl-citation.json"} </w:instrText>
      </w:r>
      <w:r w:rsidR="001D6981" w:rsidRPr="006F1F4B">
        <w:fldChar w:fldCharType="separate"/>
      </w:r>
      <w:r w:rsidR="00A70399" w:rsidRPr="00A70399">
        <w:t>(Spares et al. 2012, 2015; Harwood and Babaluk 2014; Moore et al. 2017)</w:t>
      </w:r>
      <w:r w:rsidR="001D6981" w:rsidRPr="006F1F4B">
        <w:fldChar w:fldCharType="end"/>
      </w:r>
      <w:r w:rsidR="303F8BED" w:rsidRPr="006F1F4B">
        <w:t xml:space="preserve">. For some migrants, the expense of the extended movement is exacerbated by the </w:t>
      </w:r>
      <w:r w:rsidR="01D83DBA" w:rsidRPr="006F1F4B">
        <w:t xml:space="preserve">minimal or absent feeding </w:t>
      </w:r>
      <w:r w:rsidR="089C2B63" w:rsidRPr="006F1F4B">
        <w:t>throughout migration</w:t>
      </w:r>
      <w:r w:rsidR="2F7119D3" w:rsidRPr="006F1F4B">
        <w:t xml:space="preserve"> </w:t>
      </w:r>
      <w:r w:rsidR="00664691" w:rsidRPr="006F1F4B">
        <w:fldChar w:fldCharType="begin"/>
      </w:r>
      <w:r w:rsidR="00664691" w:rsidRPr="006F1F4B">
        <w:instrText xml:space="preserve"> ADDIN ZOTERO_ITEM CSL_CITATION {"citationID":"en5qRtS1","properties":{"formattedCitation":"(Harwood and Babaluk 2014)","plainCitation":"(Harwood and Babaluk 2014)","noteIndex":0},"citationItems":[{"id":1602,"uris":["http://zotero.org/users/6698532/items/CRJ3APFA"],"itemData":{"id":1602,"type":"article-journal","abstract":"© Her Majesty the Queen in Right of Canada. Administered by the Arctic Institute of North America. Radio telemetry and t-bar tagging were used to locate sites used by Hornaday River Arctic char (Salvelinus alpinus) for overwintering, spawning, and summer feeding. Thirty char, 21 in August 1995 and nine in July and August 1999, were captured, radio-tagged, and released back into the Hornaday River. Tracking was done over 14 months in 1995-96 and over three months in 1999, using either aircraft (10 flights) or snowmobiles traveling on the river ice in winter (7 trips). Of 12 radio-tagged char that were relocated during winter 1995-96 and not caught in the 1995 upstream migration fall fishery, 11 (92%) ultimately overwintered in the reach of the Hornaday between Coalmine and Akluk Creek; three of these did so in consecutive years. This area is characterized by groundwater inputs and deep pools ( &gt;  2 m) that do not freeze to the riverbed in winter. Another important overwintering site was found in a similarly deep channel on the west side of the Hornaday River estuary, where half of the char radio-tagged in fall 1999 spent the winter of 1999-2000. Spawning locations were discerned through circumstantial evidence from the movements of three radio-tagged fish over entire annual cycles. The locations that were indicated as spawning habitat were all in the main stem of the Hornaday River, in deep ( &gt;  2 m), groundwater-fed pools between Coalmine and Akluk Creek. Fourteen percent of 239 char t-bar tagged at Pearce Point in July-August 1997 were caught at the mouth of the Hornaday River, on average within 25 days of tagging, which indicates that the nearshore area of Pearce Point, characterized by upwelling and enhanced productivity, is an important summer feeding area for this stock. This identification of overwintering, spawning, and summer feeding habitats contributes to an emerging list of areas for which it would be prudent to monitor habitat quality, change, and integrity given contemporary changes in climate and the potential for near-future anthropogenic activities in this watershed.","container-title":"Arctic","DOI":"10.14430/arctic4422","issue":"4","note":"publisher: Arctic Institute of North America","page":"449-461","title":"Spawning, overwintering and summer feeding habitats used by anadromous Arctic char (&lt;i&gt;Salvelinus alpinus&lt;/i&gt;) of the Hornaday River, Northwest Territories, Canada","volume":"67","author":[{"family":"Harwood","given":"Lois A."},{"family":"Babaluk","given":"John A."}],"issued":{"date-parts":[["2014",12]]}}}],"schema":"https://github.com/citation-style-language/schema/raw/master/csl-citation.json"} </w:instrText>
      </w:r>
      <w:r w:rsidR="00664691" w:rsidRPr="006F1F4B">
        <w:fldChar w:fldCharType="separate"/>
      </w:r>
      <w:r w:rsidR="00A70399" w:rsidRPr="00A70399">
        <w:t>(Harwood and Babaluk 2014)</w:t>
      </w:r>
      <w:r w:rsidR="00664691" w:rsidRPr="006F1F4B">
        <w:fldChar w:fldCharType="end"/>
      </w:r>
      <w:r w:rsidR="529809C7" w:rsidRPr="006F1F4B">
        <w:t xml:space="preserve">. </w:t>
      </w:r>
      <w:r w:rsidR="4F7ADE61">
        <w:t xml:space="preserve">Anadromous Arctic char typically fast during the winter and </w:t>
      </w:r>
      <w:r w:rsidR="1DB3F58B" w:rsidRPr="006F1F4B">
        <w:t xml:space="preserve">largely rely on energy stores </w:t>
      </w:r>
      <w:r w:rsidR="5E89CFFC" w:rsidRPr="006F1F4B">
        <w:t xml:space="preserve">built up during </w:t>
      </w:r>
      <w:r w:rsidR="4F7ADE61">
        <w:t xml:space="preserve">the summer, </w:t>
      </w:r>
      <w:r w:rsidR="3073E070" w:rsidRPr="006F1F4B">
        <w:t xml:space="preserve">meaning this </w:t>
      </w:r>
      <w:r w:rsidR="4F7ADE61">
        <w:t>approximately two month foraging period</w:t>
      </w:r>
      <w:r w:rsidR="3073E070" w:rsidRPr="006F1F4B">
        <w:t xml:space="preserve"> must be maximized</w:t>
      </w:r>
      <w:r w:rsidR="0032482C">
        <w:t xml:space="preserve"> </w:t>
      </w:r>
      <w:r w:rsidR="0032482C">
        <w:fldChar w:fldCharType="begin"/>
      </w:r>
      <w:r w:rsidR="0032482C">
        <w:instrText xml:space="preserve"> ADDIN ZOTERO_ITEM CSL_CITATION {"citationID":"HCBhNTMO","properties":{"formattedCitation":"(Dutil 1986; Klemetsen et al. 2003; Spares et al. 2012, 2015; Hammer et al. 2022)","plainCitation":"(Dutil 1986; Klemetsen et al. 2003; Spares et al. 2012, 2015; Hammer et al. 2022)","noteIndex":0},"citationItems":[{"id":4167,"uris":["http://zotero.org/users/6698532/items/C6KU2WJQ"],"itemData":{"id":4167,"type":"article-journal","abstract":"Non-reproductive anadromous Arctic charr of Nauyuk Lake lost 30% of their fall reserves of energy by the following spring. They restored their reserves of energy through a two month summer in the sea. Spawners became much more depleted. Production of gonads and starvation in the lake prior to spawning were such that postspawners migrating to sea in spring contained as much as 46% less energy than non-reproductive charrs. Postspawners required more than one summer to replenish their depleted reserves. These results provide an example of the phenotypic plasticity of the life history characteristics of Arctic charr and show that production of gonads and related changes in the migratory cycle prevent individual charrs from spawning 2 yr in succession. Length-related energy constraints possibly contribute to shaping the structure of the population and lead to senescence in charrs &gt;90 cm. The role of a threshold body condition as a release mechanism in the processes of maturation is discussed.","container-title":"Copeia","DOI":"10.2307/1445291","ISSN":"0045-8511","issue":"4","note":"publisher: [American Society of Ichthyologists and Herpetologists (ASIH), Allen Press]","page":"945-955","source":"JSTOR","title":"Energetic Constraints and Spawning Interval in the Anadromous Arctic Charr (Salvelinus alpinus)","volume":"1986","author":[{"family":"Dutil","given":"J.-D."}],"issued":{"date-parts":[["1986"]]}}},{"id":1045,"uris":["http://zotero.org/users/6698532/items/I9X8E626"],"itemData":{"id":1045,"type":"article-journal","abstract":"Among the species in the family Salmonidae, those represented by the genera Salmo, Salvelinus, and Oncorhynchus (subfamily Salmoninae) are the most studied. Here, various aspects of phenotypic and life-history variation of Atlantic salmon Salmo salar L., brown trout Salmo trutta L., and Arctic charr Salvelinus alpinus (L.) are reviewed. While many strategies and tactics are commonly used by these species, there are also differences in their ecology and population dynamics that result in a variety of interesting and diverse topics that are challenging for future research. Atlantic salmon display considerable phenotypic plasticity and variability in life-history characters ranging from fully freshwater resident forms, where females can mature at approximately 10cm in length, to anadromous populations characterised by 3-5 sea-winter (5SW) salmon. Even within simple 1SW populations, 20 or more spawning life-history types can be identified. Juveniles in freshwater can use both fluvial and lacustrine habitats for rearing, and while most smolts migrate to sea during the spring, fall migrations occur in some populations. At sea, some salmon undertake extensive oceanic migrations while other populations stay within the geographical confines of areas such as the Baltic Sea. At the other extreme are those that reside in estuaries and return to freshwater to spawn after spending only a few months at sea. The review of information on the diversity of life-history forms is related to conservation aspects associated with Atlantic salmon populations and current trends in abundance and survival. Brown trout is indigenous to Europe, North Africa and western Asia, but was introduced into at least 24 countries outside Europe and now has a world-wide distribution. It exploits both fresh and salt waters for feeding and spawning (brackfish), and populations are often partially migratory. One part of the population leaves and feeds elsewhere, while another part stays as residents. In large, complex systems, the species is polymorphic with different size morphs in the various parts of the habitat. Brown trout feed close to the surface and near shore, but large individuals may move far offshore. The species exhibits ontogenetic niche shifts partly related to size and partly to developmental rate. They switch when the amount of surplus energy available for growth becomes small with fast growers being younger and smaller fish than slow growers. Brown trout is an opportunistic carnivore, but individuals specialise at least temporarily on particular food items; insect larvae are important for the young in streams, while littoral epibenthos in lakes and fish are most important for large trout. The sexes differ in resource use and size. Females are more inclined than males to become migratory and feed in pelagic waters. Males exploit running water, near-shore and surface waters more than females. Therefore, females feed more on zooplankton and exhibit a more uniform phenotype than males. The Arctic charr is the northernmost freshwater fish on earth, with a circumpolar distribution in the Holarctic that matches the last glaciation. Recent mtDNA studies indicate that there are five phylogeographic lineages (Atlantic, Arctic, Bering, Siberian and Acadian) that may be of Pleistocene origin. Phenotypic expression and ecology are more variable in charr than in most fish. Weights at maturation range from 3 g to 12 kg. Population differences in morphology and coloration are large and can have some genetic basis. Charr live in streams, at sea and in all habitats of oligotrophic lakes, including very deep areas. Ontogenetic habitat shifts between lacustrine habitats are common. The charr feed on all major prey types of streams, lakes and near-shore marine habitats, but has high niche flexibility in competition. Cannibalism is expressed in several cases, and can be important for developing and maintaining bimodal size distributions. Anadromy is found in the northern part of its range and involves about 40, but sometimes more days in the sea. All charr overwinter in freshwater. Partial migration is common, but the degree of anadromy varies greatly among populations. The food at sea includes zooplankton and pelagic fish, but also epibenthos. Polymorphism and sympatric morphs are much studied. As a prominent fish of glaciated lakes, charr is an important species for studying ecological speciation by the combination of field studies and experiments, particularly in the fields of morphometric heterochrony and comparative behaviour.","container-title":"Ecology of Freshwater Fish","DOI":"10.1034/j.1600-0633.2003.00010.x","issue":"1","page":"1-59","title":"Atlantic salmon &lt;i&gt;Salmo salar&lt;/i&gt; L., brown trout &lt;i&gt;Salmo trutta&lt;/i&gt; L. and Arctic charr &lt;i&gt;Salvelinus alpinus&lt;/i&gt; (L.): A review of aspects of their life histories","volume":"12","author":[{"family":"Klemetsen","given":"A."},{"family":"Amundsen","given":"P. A."},{"family":"Dempson","given":"J. B."},{"family":"Jonsson","given":"B."},{"family":"Jonsson","given":"N."},{"family":"O'Connell","given":"M. F."},{"family":"Mortensen","given":"E."}],"issued":{"date-parts":[["2003"]]}}},{"id":4160,"uris":["http://zotero.org/users/6698532/items/LVS4PSR3"],"itemData":{"id":4160,"type":"article-journal","abstract":"The inﬂuence of salinity, temperature and prey availability on the marine migration of anadromous ﬁshes was determined by describing the movements, habitat use and feeding behaviours of Arctic char (Salvelinus alpinus). The objectives were to determine whether char are restricted to the upper water column of the inter-/subtidal zones due to warmer temperatures. Twenty-seven char were tracked with acoustic temperature/pressure (depth) transmitters from June to September, 2008/2009, in inner Frobisher Bay, Canada. Most detections were in surface waters (0–3 m). Inter-/subtidal movements and consecutive repetitive dives (maximum 52.8 m) resulted in extreme body temperature shifts (-0.2–18.1 °C). Approximately half of intertidal and subtidal detections were between 9–13 °C and 1–3 °C, respectively. Stomach contents and deep diving suggested feeding in both inter-/subtidal zones. We suggest that char tolerate cold water at depth to capture prey in the subtidal zone, then seek warmer water to enhance feeding/digestion physiology.","container-title":"Marine Biology","DOI":"10.1007/s00227-012-1949-y","ISSN":"0025-3162, 1432-1793","issue":"8","journalAbbreviation":"Mar Biol","language":"en","page":"1633-1646","source":"DOI.org (Crossref)","title":"Temperature, salinity and prey availability shape the marine migration of Arctic char, Salvelinus alpinus, in a macrotidal estuary","volume":"159","author":[{"family":"Spares","given":"Aaron D."},{"family":"Stokesbury","given":"Michael J. W."},{"family":"O’Dor","given":"Ron K."},{"family":"Dick","given":"Terry A."}],"issued":{"date-parts":[["2012",8]]}}},{"id":4161,"uris":["http://zotero.org/users/6698532/items/ATY6XAVF"],"itemData":{"id":4161,"type":"article-journal","abstract":"Estuarine residency and marine movements of 43 anadromous Arctic charr Salvelinus alpinus (mean ± s.d. fork length = 523 ± 97 mm) were examined using acoustic tracking in inner Frobisher Bay (IFB; 63° N; 68° W), Canada, from July to September 2008 and 2009. A mean ± s.d. migration duration of 63 ± 7 days occurred from late June to early September. Detected S. alpinus were either continuously (maximum 34 days) or intermittently present in estuarine zones, on average residing approximately one third of time tracked and returning once every 9 days. Significantly higher estuarine residency during the final 15 migration days suggested that a transition phase may occur prior to freshwater re-entry. Low travel rates during flood tide suggested individuals staged before accessing intertidal and estuarine zones. Although the two main estuaries were c. 22 km apart, 19% of tagged individuals used both. Individuals remained relatively close to freshwater overwintering systems, although late-migration inter-estuarine movements may have indicated natal homing. Approximately half of the individuals exhibited extra-estuarine travel, mostly during mid-migration, but remained within 3 km of shore ranging &lt; 30 km straight line distance (SLD) of either estuary. It was concluded that IFB S. alpinus (1) spent a significant portion of their migration within or adjacent to the estuaries and (2) had a restricted marine distribution within 30 km SLD of the river mouths.","container-title":"Journal of Fish Biology","DOI":"10.1111/jfb.12683","ISSN":"1095-8649","issue":"6","language":"en","note":"_eprint: https://onlinelibrary.wiley.com/doi/pdf/10.1111/jfb.12683","page":"1754-1780","source":"Wiley Online Library","title":"Residency and movement patterns of Arctic charr Salvelinus alpinus relative to major estuaries","volume":"86","author":[{"family":"Spares","given":"A. D."},{"family":"Stokesbury","given":"M. J. W."},{"family":"Dadswell","given":"M. J."},{"family":"O'Dor","given":"R. K."},{"family":"Dick","given":"T. A."}],"issued":{"date-parts":[["2015"]]}}},{"id":2577,"uris":["http://zotero.org/users/6698532/items/C2KTA335"],"itemData":{"id":2577,"type":"article-journal","abstract":"Arctic waters are warming rapidly due to climate change, which is altering the timing of seasonal sea ice dynamics. Summer ice breakup provides a critical productivity bloom that consumers depend on. Arctic char Salvelinus alpinus undertake seasonal migrations to marine waters presumably to exploit this prey pulse. However, specific migratory timing and residency of char relative to breakup is largely unknown. To investigate char movement, individuals were tagged with acoustic transmitters in 2017 (n = 58) and 2018 (n = 52) within Tremblay Sound, Nunavut, Canada, resulting in 625 482 detections. Generalized linear models were used to relate multiple movement metrics to ice conditions as well as biological and temporal factors. Char exhibited multiple migratory patterns (chronologies), by which fish either migrated to/from rivers within Tremblay Sound (n = 67), rivers in external systems (n = 35), or a combination of both (n = 8). Fish that migrated exclusively from external systems were longer (~14 cm) than fish exhibiting other chronologies. Migration timing was related to chronology and preempted the specific ice-off date. Fish migrating from rivers within Tremblay Sound entered the marine environment ~7.5 d before the start of ice-off, while external migrants entered ~21 d after ice-off start. Differing migratory chronologies highlight the complexity of char migrations and may indicate the presence of subpopulations or potential ontogenetic shifts in migration behavior. Our study underscores the importance of the brief ice-free season, with potential implications for climate change resilience and management of this important resource in a changing Arctic.","container-title":"Marine Ecology Progress Series","DOI":"10.3354/meps13939","ISSN":"0171-8630, 1616-1599","journalAbbreviation":"Mar. Ecol. Prog. Ser.","language":"en","page":"221-236","source":"DOI.org (Crossref)","title":"Arctic char (Salvelinus alpinus) movement dynamics relative to ice breakup in a high Arctic embayment","volume":"682","author":[{"family":"Hammer","given":"Lj"},{"family":"Hussey","given":"Ne"},{"family":"Marcoux","given":"Mm"},{"family":"Pettitt-Wade","given":"H"},{"family":"Hedges","given":"K"},{"family":"Tallman","given":"R"},{"family":"Furey","given":"Nb"}],"issued":{"date-parts":[["2022"]]}}}],"schema":"https://github.com/citation-style-language/schema/raw/master/csl-citation.json"} </w:instrText>
      </w:r>
      <w:r w:rsidR="0032482C">
        <w:fldChar w:fldCharType="separate"/>
      </w:r>
      <w:r w:rsidR="00A70399" w:rsidRPr="00A70399">
        <w:t>(Dutil 1986; Klemetsen et al. 2003; Spares et al. 2012, 2015; Hammer et al. 2022)</w:t>
      </w:r>
      <w:r w:rsidR="0032482C">
        <w:fldChar w:fldCharType="end"/>
      </w:r>
      <w:r w:rsidR="3073E070" w:rsidRPr="006F1F4B">
        <w:t xml:space="preserve">. However, the </w:t>
      </w:r>
      <w:r w:rsidR="0177AAD1" w:rsidRPr="006F1F4B">
        <w:t xml:space="preserve">ability to </w:t>
      </w:r>
      <w:r w:rsidR="144F88A1" w:rsidRPr="006F1F4B">
        <w:t xml:space="preserve">consume high levels of prey </w:t>
      </w:r>
      <w:r w:rsidR="2840A593" w:rsidRPr="006F1F4B">
        <w:t>b</w:t>
      </w:r>
      <w:r w:rsidR="000CEBB1" w:rsidRPr="006F1F4B">
        <w:t>y</w:t>
      </w:r>
      <w:r w:rsidR="44A5968B" w:rsidRPr="006F1F4B">
        <w:t xml:space="preserve"> maintain</w:t>
      </w:r>
      <w:r w:rsidR="000CEBB1" w:rsidRPr="006F1F4B">
        <w:t>ing</w:t>
      </w:r>
      <w:r w:rsidR="44A5968B" w:rsidRPr="006F1F4B">
        <w:t xml:space="preserve"> </w:t>
      </w:r>
      <w:r w:rsidR="2840A593" w:rsidRPr="006F1F4B">
        <w:t xml:space="preserve">digestive machinery can be expensive in its own right </w:t>
      </w:r>
      <w:r w:rsidR="00805041" w:rsidRPr="006F1F4B">
        <w:fldChar w:fldCharType="begin"/>
      </w:r>
      <w:r w:rsidR="00805041" w:rsidRPr="006F1F4B">
        <w:instrText xml:space="preserve"> ADDIN ZOTERO_ITEM CSL_CITATION {"citationID":"fNaEREma","properties":{"formattedCitation":"(Cant et al. 1996)","plainCitation":"(Cant et al. 1996)","noteIndex":0},"citationItems":[{"id":1081,"uris":["http://zotero.org/users/6698532/items/SGNXBLYN"],"itemData":{"id":1081,"type":"article-journal","abstract":"In digesting and absorbing dietary nutrients, the gastrointestinal tract consumes approximately 20% of all incoming energy. A substantial proportion of this consumption is due to the rapid turnover of cellular protein, which permits abrupt changes in gut size to occur, matching capacity with delivery. If it is size of the alimentary tract that constrains nutrient uptake, greater than 20% allocation of ME intake above maintenance to the gut would improve the growth rate of a young animal but the efficiency of ME utilization for growth would deteriorate. Less than 15% allocation in birds seems injurious to both growth rate and efficiency of growth. Nutrient transport capacity of the intestine may be modulated independent of size; in the case of glucose, an up- or down-regulation of the number of brush-border glucose transporters matches absorptive capacity with delivery. The maximum uptake capacity of a small intestine for glucose at any moment in time is a function of its length, the flow rate of digesta, and the distributed-in-space kinetic parameters of transport (e.g., Vmax and Km). An example maximum uptake capacity for glucose in sheep is calculated at 2,112 g/d, assuming continuous digesta flow. Intermittency of flow reduces the uptake capacity to a functional level of 295 g/d, demonstrating a constraining influence of the periodicity of the migrating myoelectric complex. Growth regulation by stimulatory and inhibitory mitotic signals is presented as a candidate for an energy-independent determinant of the upper limit to functional maximum uptake capacity of the small intestine. Both size and functional capacity of the intestine must be considered in assessing the impact this tissue may have on the rest of the animal.","container-title":"Journal of Animal Science","DOI":"10.2527/1996.74102541x","issue":"10","page":"2541-2553","title":"The Regulation of Intestinal Metabolism and Its Impact on Whole Animal Energetics","volume":"74","author":[{"family":"Cant","given":"John P."},{"family":"McBride","given":"Brian W."},{"family":"Croom","given":"Warren J."}],"issued":{"date-parts":[["1996"]]}}}],"schema":"https://github.com/citation-style-language/schema/raw/master/csl-citation.json"} </w:instrText>
      </w:r>
      <w:r w:rsidR="00805041" w:rsidRPr="006F1F4B">
        <w:fldChar w:fldCharType="separate"/>
      </w:r>
      <w:r w:rsidR="00A70399" w:rsidRPr="00A70399">
        <w:t>(Cant et al. 1996)</w:t>
      </w:r>
      <w:r w:rsidR="00805041" w:rsidRPr="006F1F4B">
        <w:fldChar w:fldCharType="end"/>
      </w:r>
      <w:r w:rsidR="000CEBB1" w:rsidRPr="006F1F4B">
        <w:t xml:space="preserve">. Alternatively, other adaptations </w:t>
      </w:r>
      <w:r w:rsidR="61F8851E" w:rsidRPr="006F1F4B">
        <w:t xml:space="preserve">relying on flexibility </w:t>
      </w:r>
      <w:r w:rsidR="0012143B" w:rsidRPr="006F1F4B">
        <w:fldChar w:fldCharType="begin"/>
      </w:r>
      <w:r w:rsidR="0012143B" w:rsidRPr="006F1F4B">
        <w:instrText xml:space="preserve"> ADDIN ZOTERO_ITEM CSL_CITATION {"citationID":"IF66Ldhe","properties":{"formattedCitation":"(Armstrong and Bond 2013)","plainCitation":"(Armstrong and Bond 2013)","noteIndex":0},"citationItems":[{"id":1079,"uris":["http://zotero.org/users/6698532/items/NAX3KYNQ"],"itemData":{"id":1079,"type":"article-journal","abstract":"Large digestive organs increase rates of energy gain when food is plentiful but are costly to maintain and increase rates of energy loss when food is scarce. The physiological adaptations to this trade-off differ depending on the scale and predictability of variation in food abundance. Currently, there is little understanding of how animals balance trade-offs between the cost and capacity of the digestive system in response to resource pulses: rare, ephemeral periods of resource superabundance. We investigated the physiological and behavioural tactics of the fish Dolly Varden (Salvelinus malma) that rear in watersheds with low in situ productivity, but experience annual resource pulses from the spawning migrations of Pacific salmon. The eggs of Pacific salmon provide high-energy food for Dolly Varden. Dolly Varden sampled 6 weeks prior to the resource pulse exhibited atrophy of the stomach, pyloric caeca, intestine and liver. Throughout the portion of the growing season prior to the resource pulse, fish exhibited empty stomachs, low indices of energy condition and muscle isotope signatures reflecting the previous resource pulse. During the resource pulse, Dolly Varden exhibited large digestive machinery, gorged on salmon eggs and rapidly stored energy in fat reserves, somatic growth and gonad development. Dolly Varden appeared to achieve nearly their entire annual energy surplus during the ~5-week period when sockeye salmon spawn. Digestive flexibility provides Dolly Varden the energy efficiency required to survive and reproduce when resource abundance is concentrated into an annual pulse that is predictable, yet highly ephemeral. Although fish are known to incur extremely variable energy budgets, our study is one of the first to document digestive flexibility in wild fish. Our study emphasizes that fish can rely heavily on rare, high-magnitude foraging opportunities. Human actions that attenuate spikes in food abundance may have stronger than anticipated effects on consumer energy budgets. © 2013 British Ecological Society.","container-title":"Journal of Animal Ecology","DOI":"10.1111/1365-2656.12066","issue":"5","page":"966-975","title":"Phenotype flexibility in wild fish: Dolly Varden regulate assimilative capacity to capitalize on annual pulsed subsidies","volume":"82","author":[{"family":"Armstrong","given":"Jonathan B."},{"family":"Bond","given":"Morgan H."}],"issued":{"date-parts":[["2013"]]}}}],"schema":"https://github.com/citation-style-language/schema/raw/master/csl-citation.json"} </w:instrText>
      </w:r>
      <w:r w:rsidR="0012143B" w:rsidRPr="006F1F4B">
        <w:fldChar w:fldCharType="separate"/>
      </w:r>
      <w:r w:rsidR="00A70399" w:rsidRPr="00A70399">
        <w:t>(Armstrong and Bond 2013)</w:t>
      </w:r>
      <w:r w:rsidR="0012143B" w:rsidRPr="006F1F4B">
        <w:fldChar w:fldCharType="end"/>
      </w:r>
      <w:r w:rsidR="67E846D4" w:rsidRPr="006F1F4B">
        <w:t xml:space="preserve"> or binging</w:t>
      </w:r>
      <w:r w:rsidR="224F52C2" w:rsidRPr="006F1F4B">
        <w:t xml:space="preserve"> </w:t>
      </w:r>
      <w:r w:rsidR="00301C14" w:rsidRPr="006F1F4B">
        <w:fldChar w:fldCharType="begin"/>
      </w:r>
      <w:r w:rsidR="00301C14" w:rsidRPr="006F1F4B">
        <w:instrText xml:space="preserve"> ADDIN ZOTERO_ITEM CSL_CITATION {"citationID":"4Z16hd5O","properties":{"formattedCitation":"(Furey et al. 2016)","plainCitation":"(Furey et al. 2016)","noteIndex":0},"citationItems":[{"id":1640,"uris":["http://zotero.org/users/6698532/items/5FF9MTGT"],"itemData":{"id":1640,"type":"article-journal","abstract":"© 2016 The Authors. Journal of Animal Ecology © 2016 British Ecological Society Understanding the limits of consumption is important for determining trophic influences on ecosystems and predator adaptations to inconsistent prey availability. Fishes have been observed to consume beyond what is sustainable (i.e. digested on a daily basis), but this phenomenon of hyperphagia (or binge-feeding) is largely overlooked. We expect hyperphagia to be a short-term (1-day) event that is facilitated by gut volume providing capacity to store consumed food during periods of high prey availability to be later digested. We define how temperature, body size and food availability influence the degree of binge-feeding by comparing field observations with laboratory experiments of bull trout (Salvelinus confluentus), a large freshwater piscivore that experiences highly variable prey pulses. We also simulated bull trout consumption and growth during salmon smolt outmigrations under two scenarios: 1) daily consumption being dependent upon bioenergetically sustainable rates and 2) daily consumption being dependent upon available gut volume (i.e. consumption is equal to gut volume when empty and otherwise ‘topping off’ based on sustainable digestion rates). One-day consumption by laboratory-held bull trout during the first day of feeding experiments after fasting exceeded bioenergetically sustainable rates by 12- to 87-fold at low temperatures (3 °C) and by ˜1·3-fold at 20 °C. The degree of binge-feeding by bull trout in the field was slightly reduced but largely in agreement with laboratory estimates, especially when prey availability was extremely high [during a sockeye salmon (Oncorhynchus nerka) smolt outmigration and at a counting fence where smolts are funnelled into high densities]. Consumption by bull trout at other settings were lower and more variable, but still regularly hyperphagic. Simulations demonstrated the ability to binge-feed increased cumulative consumption (16–32%) and cumulative growth (19–110%) relative to only feeding at bioenergetically sustainable rates during the ˜1-month smolt outmigration period. Our results indicate the ability for predators to maximize  short-term consumption when prey are available can be extreme and is limited primarily by gut volume, then mediated by temperature; thus, predator–prey relationships may be more dependent upon prey availability than traditional bioenergetic models suggest. Binge-feeding has important implications for energy budgets of consumers as well as acute predation impacts on prey.","container-title":"The Journal of animal ecology","DOI":"10.1111/1365-2656.12565","issue":"5","page":"1307-1317","title":"Piscivorous fish exhibit temperature-influenced binge feeding during an annual prey pulse","volume":"85","author":[{"family":"Furey","given":"Nathan B."},{"family":"Hinch","given":"Scott G."},{"family":"Mesa","given":"Matthew G."},{"family":"Beauchamp","given":"David A."}],"issued":{"date-parts":[["2016"]]}}}],"schema":"https://github.com/citation-style-language/schema/raw/master/csl-citation.json"} </w:instrText>
      </w:r>
      <w:r w:rsidR="00301C14" w:rsidRPr="006F1F4B">
        <w:fldChar w:fldCharType="separate"/>
      </w:r>
      <w:r w:rsidR="00A70399" w:rsidRPr="00A70399">
        <w:t>(Furey et al. 2016)</w:t>
      </w:r>
      <w:r w:rsidR="00301C14" w:rsidRPr="006F1F4B">
        <w:fldChar w:fldCharType="end"/>
      </w:r>
      <w:r w:rsidR="224F52C2" w:rsidRPr="006F1F4B">
        <w:t xml:space="preserve"> can impose high costs by absorbing </w:t>
      </w:r>
      <w:r w:rsidR="0554BB84" w:rsidRPr="006F1F4B">
        <w:t xml:space="preserve">the aerobic capacity that could otherwise be </w:t>
      </w:r>
      <w:r w:rsidR="11E52CAF" w:rsidRPr="006F1F4B">
        <w:t xml:space="preserve">used for mobility </w:t>
      </w:r>
      <w:r w:rsidR="00F73B99" w:rsidRPr="006F1F4B">
        <w:fldChar w:fldCharType="begin"/>
      </w:r>
      <w:r w:rsidR="00F73B99" w:rsidRPr="006F1F4B">
        <w:instrText xml:space="preserve"> ADDIN ZOTERO_ITEM CSL_CITATION {"citationID":"MzNKPcry","properties":{"formattedCitation":"(Clark et al. 2013)","plainCitation":"(Clark et al. 2013)","noteIndex":0},"citationItems":[{"id":428,"uris":["http://zotero.org/users/6698532/items/J8F2HCII"],"itemData":{"id":428,"type":"article-journal","abstract":"Measurements of aerobic scope [the difference between minimum and maximum oxygen consumption rate (MO2,min and MO2,max,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MO2,min, MO2,max and aerobic scope across species and under different experimental conditions. Additionally, we provide a brief critique of the oxygen- 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 © 2013. Published by The Company of Biologists Ltd.","container-title":"Journal of Experimental Biology","DOI":"10.1242/jeb.084251","issue":"15","page":"2771-2782","title":"Aerobic scope measurements of fishes in an era of climate change: Respirometry, relevance and recommendations","volume":"216","author":[{"family":"Clark","given":"Timothy D."},{"family":"Sandblom","given":"Erik"},{"family":"Jutfelt","given":"Fredrik"}],"issued":{"date-parts":[["2013"]]}}}],"schema":"https://github.com/citation-style-language/schema/raw/master/csl-citation.json"} </w:instrText>
      </w:r>
      <w:r w:rsidR="00F73B99" w:rsidRPr="006F1F4B">
        <w:fldChar w:fldCharType="separate"/>
      </w:r>
      <w:r w:rsidR="00A70399" w:rsidRPr="00A70399">
        <w:t>(Clark et al. 2013)</w:t>
      </w:r>
      <w:r w:rsidR="00F73B99" w:rsidRPr="006F1F4B">
        <w:fldChar w:fldCharType="end"/>
      </w:r>
      <w:r w:rsidR="2CE7D0E9" w:rsidRPr="006F1F4B">
        <w:t xml:space="preserve">. </w:t>
      </w:r>
      <w:r w:rsidR="7833029A" w:rsidRPr="006F1F4B">
        <w:t xml:space="preserve">While this can clearly contribute </w:t>
      </w:r>
      <w:r w:rsidR="640D4B4B" w:rsidRPr="006F1F4B">
        <w:t>to the observation of limited feeding during migrations</w:t>
      </w:r>
      <w:r w:rsidR="42EE0130" w:rsidRPr="006F1F4B">
        <w:t xml:space="preserve"> </w:t>
      </w:r>
      <w:r w:rsidR="00B41F21" w:rsidRPr="006F1F4B">
        <w:fldChar w:fldCharType="begin"/>
      </w:r>
      <w:r w:rsidR="00B41F21" w:rsidRPr="006F1F4B">
        <w:instrText xml:space="preserve"> ADDIN ZOTERO_ITEM CSL_CITATION {"citationID":"2l859y4u","properties":{"formattedCitation":"(Clark et al. 2013)","plainCitation":"(Clark et al. 2013)","noteIndex":0},"citationItems":[{"id":428,"uris":["http://zotero.org/users/6698532/items/J8F2HCII"],"itemData":{"id":428,"type":"article-journal","abstract":"Measurements of aerobic scope [the difference between minimum and maximum oxygen consumption rate (MO2,min and MO2,max,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MO2,min, MO2,max and aerobic scope across species and under different experimental conditions. Additionally, we provide a brief critique of the oxygen- 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 © 2013. Published by The Company of Biologists Ltd.","container-title":"Journal of Experimental Biology","DOI":"10.1242/jeb.084251","issue":"15","page":"2771-2782","title":"Aerobic scope measurements of fishes in an era of climate change: Respirometry, relevance and recommendations","volume":"216","author":[{"family":"Clark","given":"Timothy D."},{"family":"Sandblom","given":"Erik"},{"family":"Jutfelt","given":"Fredrik"}],"issued":{"date-parts":[["2013"]]}}}],"schema":"https://github.com/citation-style-language/schema/raw/master/csl-citation.json"} </w:instrText>
      </w:r>
      <w:r w:rsidR="00B41F21" w:rsidRPr="006F1F4B">
        <w:fldChar w:fldCharType="separate"/>
      </w:r>
      <w:r w:rsidR="00A70399" w:rsidRPr="00A70399">
        <w:t>(Clark et al. 2013)</w:t>
      </w:r>
      <w:r w:rsidR="00B41F21" w:rsidRPr="006F1F4B">
        <w:fldChar w:fldCharType="end"/>
      </w:r>
      <w:r w:rsidR="46745151" w:rsidRPr="006F1F4B">
        <w:t xml:space="preserve">, </w:t>
      </w:r>
      <w:r w:rsidR="031ABF53" w:rsidRPr="006F1F4B">
        <w:t xml:space="preserve">it can additionally </w:t>
      </w:r>
      <w:r w:rsidR="66212A60" w:rsidRPr="006F1F4B">
        <w:t xml:space="preserve">influence how fishes exploit resources during a period when foraging is </w:t>
      </w:r>
      <w:r w:rsidR="59D0056B" w:rsidRPr="006F1F4B">
        <w:t xml:space="preserve">the primary focus such as the Arctic summer </w:t>
      </w:r>
      <w:r w:rsidR="00A971CC" w:rsidRPr="006F1F4B">
        <w:fldChar w:fldCharType="begin"/>
      </w:r>
      <w:r w:rsidR="00A971CC" w:rsidRPr="006F1F4B">
        <w:instrText xml:space="preserve"> ADDIN ZOTERO_ITEM CSL_CITATION {"citationID":"iX7PIBPy","properties":{"formattedCitation":"(Harwood and Babaluk 2014; Landry et al. 2018)","plainCitation":"(Harwood and Babaluk 2014; Landry et al. 2018)","noteIndex":0},"citationItems":[{"id":1602,"uris":["http://zotero.org/users/6698532/items/CRJ3APFA"],"itemData":{"id":1602,"type":"article-journal","abstract":"© Her Majesty the Queen in Right of Canada. Administered by the Arctic Institute of North America. Radio telemetry and t-bar tagging were used to locate sites used by Hornaday River Arctic char (Salvelinus alpinus) for overwintering, spawning, and summer feeding. Thirty char, 21 in August 1995 and nine in July and August 1999, were captured, radio-tagged, and released back into the Hornaday River. Tracking was done over 14 months in 1995-96 and over three months in 1999, using either aircraft (10 flights) or snowmobiles traveling on the river ice in winter (7 trips). Of 12 radio-tagged char that were relocated during winter 1995-96 and not caught in the 1995 upstream migration fall fishery, 11 (92%) ultimately overwintered in the reach of the Hornaday between Coalmine and Akluk Creek; three of these did so in consecutive years. This area is characterized by groundwater inputs and deep pools ( &gt;  2 m) that do not freeze to the riverbed in winter. Another important overwintering site was found in a similarly deep channel on the west side of the Hornaday River estuary, where half of the char radio-tagged in fall 1999 spent the winter of 1999-2000. Spawning locations were discerned through circumstantial evidence from the movements of three radio-tagged fish over entire annual cycles. The locations that were indicated as spawning habitat were all in the main stem of the Hornaday River, in deep ( &gt;  2 m), groundwater-fed pools between Coalmine and Akluk Creek. Fourteen percent of 239 char t-bar tagged at Pearce Point in July-August 1997 were caught at the mouth of the Hornaday River, on average within 25 days of tagging, which indicates that the nearshore area of Pearce Point, characterized by upwelling and enhanced productivity, is an important summer feeding area for this stock. This identification of overwintering, spawning, and summer feeding habitats contributes to an emerging list of areas for which it would be prudent to monitor habitat quality, change, and integrity given contemporary changes in climate and the potential for near-future anthropogenic activities in this watershed.","container-title":"Arctic","DOI":"10.14430/arctic4422","issue":"4","note":"publisher: Arctic Institute of North America","page":"449-461","title":"Spawning, overwintering and summer feeding habitats used by anadromous Arctic char (&lt;i&gt;Salvelinus alpinus&lt;/i&gt;) of the Hornaday River, Northwest Territories, Canada","volume":"67","author":[{"family":"Harwood","given":"Lois A."},{"family":"Babaluk","given":"John A."}],"issued":{"date-parts":[["2014",12]]}}},{"id":2334,"uris":["http://zotero.org/users/6698532/items/WDEUVGKW"],"itemData":{"id":2334,"type":"article-journal","abstract":"Shorthorn sculpin (Myoxocephalus scorpius) commonly occur in nearshore areas during open water periods in the Arctic, yet little is known about their feeding strategies or trophic roles. This study used carbon (δ13C) and nitrogen (δ15N) stable isotopes (SIs) and stomach content analysis (SCA) to assess shorthorn sculpin trophic position (TP), carbon sources, dietary specialization and prey selection, and the significance of polar cod (Boreogadus saida) in their diet across body size and multiple years. Sculpin TP increased with body size [range = 4.0 ± 0.1 (&lt; 20 cm) to 4.6 ± 0.2 (&gt; 25 cm)] and was consistent with SCA; smaller individuals fed predominantly on invertebrates while larger fed more on fishes. Shorthorn sculpin had high % reliance on pelagic resources (α) for a benthic fish, from 0.62 ± 0.05 to 0.63 ± 0.06, thus coupling benthic and pelagic sources. Dietary specialization based on SIs in liver and muscle occurred in all size groups, and along with TP and niche width varied between years, generally increasing with fish found in SCA. The presence of polar cod, absent two of the four study years, did not significantly affect any dietary metrics measured in shorthorn sculpin, and cannibalism appears to have had a greater impact on shorthorn sculpin trophic ecology. This study demonstrates that shorthorn sculpin are an important secondary to tertiary consumer in nearshore Arctic marine habitats due to coupling multiple trophic pathways, demonstrating plasticity in diet between years, and exploiting an array of prey across size ranges.","container-title":"Polar Biology","DOI":"10.1007/s00300-018-2348-8","ISSN":"0722-4060, 1432-2056","issue":"10","journalAbbreviation":"Polar Biol","language":"en","page":"2091-2102","source":"DOI.org (Crossref)","title":"Feeding ecology of a common benthic fish, shorthorn sculpin (&lt;i&gt;Myoxocephalus scorpius&lt;/i&gt;) in the high arctic","volume":"41","author":[{"family":"Landry","given":"Justin J."},{"family":"Fisk","given":"Aaron T."},{"family":"Yurkowski","given":"David J."},{"family":"Hussey","given":"Nigel E."},{"family":"Dick","given":"Terry"},{"family":"Crawford","given":"Richard E."},{"family":"Kessel","given":"Steven T."}],"issued":{"date-parts":[["2018",10]]}}}],"schema":"https://github.com/citation-style-language/schema/raw/master/csl-citation.json"} </w:instrText>
      </w:r>
      <w:r w:rsidR="00A971CC" w:rsidRPr="006F1F4B">
        <w:fldChar w:fldCharType="separate"/>
      </w:r>
      <w:r w:rsidR="00A70399" w:rsidRPr="00A70399">
        <w:t>(Harwood and Babaluk 2014; Landry et al. 2018)</w:t>
      </w:r>
      <w:r w:rsidR="00A971CC" w:rsidRPr="006F1F4B">
        <w:fldChar w:fldCharType="end"/>
      </w:r>
      <w:r w:rsidR="0C86A27E" w:rsidRPr="006F1F4B">
        <w:t xml:space="preserve">. </w:t>
      </w:r>
      <w:r w:rsidR="1B68308B" w:rsidRPr="006F1F4B">
        <w:t>While having an anatomical ability for mobility can enable f</w:t>
      </w:r>
      <w:r w:rsidR="4AF47940" w:rsidRPr="006F1F4B">
        <w:t>oraging behaviors by Arctic char such</w:t>
      </w:r>
      <w:r w:rsidR="57DA981F" w:rsidRPr="006F1F4B">
        <w:t xml:space="preserve"> as</w:t>
      </w:r>
      <w:r w:rsidR="4AF47940" w:rsidRPr="006F1F4B">
        <w:t xml:space="preserve"> the mobile specialist </w:t>
      </w:r>
      <w:r w:rsidR="55B6A22A" w:rsidRPr="006F1F4B">
        <w:t xml:space="preserve">categorization discussed earlier, maintaining that level of mobility </w:t>
      </w:r>
      <w:r w:rsidR="0D08A942" w:rsidRPr="006F1F4B">
        <w:t xml:space="preserve">can put an upper limit on the </w:t>
      </w:r>
      <w:r w:rsidR="08D57204" w:rsidRPr="006F1F4B">
        <w:t xml:space="preserve">magnitude of feeding they can undertake. In this sense, for fishes the choice to be mobile and </w:t>
      </w:r>
      <w:r w:rsidR="629C1F30" w:rsidRPr="006F1F4B">
        <w:t xml:space="preserve">to feed comes as a trade-off wherein the two capacities must be balanced for each species based on the </w:t>
      </w:r>
      <w:r w:rsidR="5B213DE6" w:rsidRPr="006F1F4B">
        <w:t xml:space="preserve">internal characteristics of that species and the external features of their environment, both biotic and abiotic </w:t>
      </w:r>
      <w:r w:rsidR="00F22A8D" w:rsidRPr="006F1F4B">
        <w:fldChar w:fldCharType="begin"/>
      </w:r>
      <w:r w:rsidR="00B72BA0" w:rsidRPr="006F1F4B">
        <w:instrText xml:space="preserve"> ADDIN ZOTERO_ITEM CSL_CITATION {"citationID":"QSCbh4ab","properties":{"formattedCitation":"(Armstrong et al. 2013)","plainCitation":"(Armstrong et al. 2013)","dontUpdate":true,"noteIndex":0},"citationItems":[{"id":350,"uris":["http://zotero.org/users/6698532/items/GKK9BZS5"],"itemData":{"id":350,"type":"article-journal","abstract":"Vertical heterogeneity in the physical characteristics of lakes and oceans is ecologically salient and exploited by a wide range of taxa through diel vertical migration to enhance their growth and survival. Whether analogous behaviors exploit horizontal habitat heterogeneity in streams is largely unknown. We investigated fish movement behavior at daily timescales to explore how individuals integrated across spatial variation in food abundance and water temperature. Juvenile coho salmon made feeding forays into cold habitats with abundant food, and then moved long distances (350-1300 m) to warmer habitats that accelerated their metabolism and increased their assimilative capacity. This behavioral thermoregulation enabled fish to mitigate trade-offs between trophic and thermal resources by exploiting thermal heterogeneity. Fish that exploited thermal heterogeneity grew at substantially faster rates than did individuals that assumed other behaviors. Our results provide empirical support for the importance of thermal diversity in lotic systems, and emphasize the importance of considering interactions between animal behavior and habitat heterogeneity when managing and restoring ecosystems. © 2013 by the Ecological Society of America.","container-title":"Ecology","DOI":"10.1890/12-1200.1","issue":"9","page":"2066-2075","title":"Diel horizontal migration in streams: Juvenile fish exploit spatial heterogeneity in thermal and trophic resources","volume":"94","author":[{"family":"Armstrong","given":"Jonathan B."},{"family":"Schindler","given":"Daniel E."},{"family":"Ruff","given":"Casey P."},{"family":"Brooks","given":"Gabriel T."},{"family":"Bentley","given":"Kale E."},{"family":"Torgersen","given":"Christian E."}],"issued":{"date-parts":[["2013"]]}}}],"schema":"https://github.com/citation-style-language/schema/raw/master/csl-citation.json"} </w:instrText>
      </w:r>
      <w:r w:rsidR="00F22A8D" w:rsidRPr="006F1F4B">
        <w:fldChar w:fldCharType="separate"/>
      </w:r>
      <w:r w:rsidR="5B213DE6" w:rsidRPr="006F1F4B">
        <w:t>(</w:t>
      </w:r>
      <w:r w:rsidR="144F5AC3" w:rsidRPr="006F1F4B">
        <w:t xml:space="preserve">see </w:t>
      </w:r>
      <w:r w:rsidR="5B213DE6" w:rsidRPr="006F1F4B">
        <w:t>Armstrong et al. 2013)</w:t>
      </w:r>
      <w:r w:rsidR="00F22A8D" w:rsidRPr="006F1F4B">
        <w:fldChar w:fldCharType="end"/>
      </w:r>
      <w:r w:rsidR="2D823B69" w:rsidRPr="006F1F4B">
        <w:t xml:space="preserve">. Our observations comparing the diets of </w:t>
      </w:r>
      <w:r w:rsidR="35DBD1EB" w:rsidRPr="006F1F4B">
        <w:t xml:space="preserve">sculpins and Arctic char support such a trade-off among fishes experiencing the same resource pulse </w:t>
      </w:r>
      <w:r w:rsidR="31EFA05D" w:rsidRPr="006F1F4B">
        <w:t>but experiencing distinct anatomical and life history characteristics.</w:t>
      </w:r>
    </w:p>
    <w:p w14:paraId="3BD09BE2" w14:textId="00CC151B" w:rsidR="00E52BF8" w:rsidRPr="006F1F4B" w:rsidRDefault="00E52BF8" w:rsidP="00D13D88">
      <w:r w:rsidRPr="006F1F4B">
        <w:tab/>
        <w:t xml:space="preserve">Another important </w:t>
      </w:r>
      <w:r w:rsidR="00F77862">
        <w:t xml:space="preserve">contributing factor </w:t>
      </w:r>
      <w:r w:rsidR="0065045F">
        <w:t xml:space="preserve">behind dietary differences is the </w:t>
      </w:r>
      <w:r w:rsidRPr="006F1F4B">
        <w:t>average and maximum body size</w:t>
      </w:r>
      <w:r w:rsidR="0065045F">
        <w:t xml:space="preserve"> between Arctic char that</w:t>
      </w:r>
      <w:r w:rsidR="00065B99">
        <w:t xml:space="preserve"> &gt;3x larger than sculpins from our sample</w:t>
      </w:r>
      <w:r w:rsidRPr="006F1F4B">
        <w:t xml:space="preserve">. </w:t>
      </w:r>
      <w:r w:rsidR="008F4A42" w:rsidRPr="006F1F4B">
        <w:t xml:space="preserve">The prey consumed by Arctic char included more fish than did </w:t>
      </w:r>
      <w:r w:rsidR="00A51CF4" w:rsidRPr="006F1F4B">
        <w:t>the diets of sculpi</w:t>
      </w:r>
      <w:r w:rsidR="0094778A" w:rsidRPr="006F1F4B">
        <w:t xml:space="preserve">n likely due to gape limitation common among fishes </w:t>
      </w:r>
      <w:r w:rsidR="0094778A" w:rsidRPr="006F1F4B">
        <w:fldChar w:fldCharType="begin"/>
      </w:r>
      <w:r w:rsidR="0094778A" w:rsidRPr="006F1F4B">
        <w:instrText xml:space="preserve"> ADDIN ZOTERO_ITEM CSL_CITATION {"citationID":"0IoLViCo","properties":{"formattedCitation":"(Urban 2007)","plainCitation":"(Urban 2007)","noteIndex":0},"citationItems":[{"id":3437,"uris":["http://zotero.org/users/6698532/items/RM7MESQK"],"itemData":{"id":3437,"type":"article-journal","abstract":"Growth is a critical ecological trait because it can determine population demography, evolution, and community interactions. Predation risk frequently induces decreased foraging and slow growth in prey. However, such strategies may not always be favored when prey can outgrow a predator's hunting ability. At the same time, a growing gape-limited predator broadens its hunting ability through time by expanding its gape and thereby creates a moving size refuge for susceptible prey. Here, I explore the ramifications of growing gape-limited predators for adaptive prey growth. A discrete demographic model for optimal foraging/growth strategies was derived under the realistic scenario of gape-limited and gape-unconstrained predation threats. Analytic and numerical results demonstrate a novel fitness minimum just above the growth rate of the gape-limited predator. This local fitness minimum separates a slow growth strategy that forages infrequently and accumulates low but constant predation risk from a fast growth strategy that forages frequently and experiences a high early predation risk in return for lower future predation risk and enhanced fecundity. Slow strategies generally were advantageous in communities dominated by gape-unconstrained predators whereas fast strategies were advantageous in gape-limited predator communities. Results were sensitive to the assumed relationships between prey size and fecundity and between prey growth and predation risk. Predator growth increased the parameter space favoring fast prey strategies. The model makes the testable predictions that prey should not grow at the same rate as their gape-limited predator and generally should grow faster than the fastest growing gape-limited predator. By focusing on predator constraints on prey capture, these results integrate the ecological and evolutionary implications of prey growth in diverse predator communities and offer an explanation for empirical growth patterns previously viewed to be anomalies.","container-title":"Ecology","ISSN":"0012-9658","issue":"10","note":"publisher: Ecological Society of America","page":"2587-2597","source":"JSTOR","title":"The Growth-Predation Risk Trade-Off under a Growing Gape-Limited Predation Threat","volume":"88","author":[{"family":"Urban","given":"Mark C."}],"issued":{"date-parts":[["2007"]]}}}],"schema":"https://github.com/citation-style-language/schema/raw/master/csl-citation.json"} </w:instrText>
      </w:r>
      <w:r w:rsidR="0094778A" w:rsidRPr="006F1F4B">
        <w:fldChar w:fldCharType="separate"/>
      </w:r>
      <w:r w:rsidR="00A70399" w:rsidRPr="00A70399">
        <w:t>(Urban 2007)</w:t>
      </w:r>
      <w:r w:rsidR="0094778A" w:rsidRPr="006F1F4B">
        <w:fldChar w:fldCharType="end"/>
      </w:r>
      <w:r w:rsidR="0094778A" w:rsidRPr="006F1F4B">
        <w:t xml:space="preserve">. </w:t>
      </w:r>
      <w:r w:rsidR="001C0878" w:rsidRPr="006F1F4B">
        <w:t xml:space="preserve">In fact, </w:t>
      </w:r>
      <w:r w:rsidR="00D76202" w:rsidRPr="006F1F4B">
        <w:t xml:space="preserve">the incorporation of larger prey items while still consuming </w:t>
      </w:r>
      <w:r w:rsidR="00FA0F85" w:rsidRPr="006F1F4B">
        <w:t xml:space="preserve">small </w:t>
      </w:r>
      <w:r w:rsidR="008625A6" w:rsidRPr="006F1F4B">
        <w:t xml:space="preserve">items follows the same </w:t>
      </w:r>
      <w:r w:rsidR="0092758B" w:rsidRPr="006F1F4B">
        <w:t xml:space="preserve">pattern of many fishes </w:t>
      </w:r>
      <w:r w:rsidR="0092758B" w:rsidRPr="006F1F4B">
        <w:fldChar w:fldCharType="begin"/>
      </w:r>
      <w:r w:rsidR="0092758B" w:rsidRPr="006F1F4B">
        <w:instrText xml:space="preserve"> ADDIN ZOTERO_ITEM CSL_CITATION {"citationID":"gXZYhuc1","properties":{"formattedCitation":"(Scharf et al. 2000)","plainCitation":"(Scharf et al. 2000)","noteIndex":0},"citationItems":[{"id":2483,"uris":["http://zotero.org/users/6698532/items/XUGPX8P3"],"itemData":{"id":2483,"type":"article-journal","abstract":"We utilized a long-term data base collected over a broad geographic range to examine predator size - prey size relationships for 18 species of marine fish predators from continental shelf waters off the northeast US coast. Regression analysis was used to illustrate interspecific variation in ontogenetic patterns of prey size use, gape allometries, and ratio-based trophic niche breadths. Sizebased feeding strategies were assessed through comparison of frequency distributions of relative prey sizes eaten and were related to general predator feeding tactics and gape morphology. The results demonstrated that the range of prey sizes eaten expanded with increasing predator body size for each of the marine predators examined, leading to asymmetric predator size - prey size distributions. Absolute maximum prey size and slopes of maximum prey size versus predator size varied widely among predator taxa. Distinct size-based feeding strategies were evident, as diets of some predators were dominated by prey that were 10 to 20% of predator size, whereas other predators frequently consumed prey &gt; 50% of predator size. Gape sizes and allometric relationships with body size were also diverse among predators and often were closely associated with maximum prey sizes. Ratio-based trophic-niche breadths generally did not expand with predator ontogeny and tended to narrow for the largest predators, which may be common for animal taxa.","container-title":"Marine Ecology Progress Series","DOI":"10.3354/meps208229","ISSN":"0171-8630, 1616-1599","journalAbbreviation":"Mar. Ecol. Prog. Ser.","language":"en","page":"229-248","source":"DOI.org (Crossref)","title":"Predator size-prey size relationships of marine fish predators: interspecific variation and effects of ontogeny and body size on trophic-niche breadth","title-short":"Predator size-prey size relationships of marine fish predators","volume":"208","author":[{"family":"Scharf","given":"Fs"},{"family":"Juanes","given":"F"},{"family":"Rountree","given":"Ra"}],"issued":{"date-parts":[["2000"]]}}}],"schema":"https://github.com/citation-style-language/schema/raw/master/csl-citation.json"} </w:instrText>
      </w:r>
      <w:r w:rsidR="0092758B" w:rsidRPr="006F1F4B">
        <w:fldChar w:fldCharType="separate"/>
      </w:r>
      <w:r w:rsidR="00A70399" w:rsidRPr="00A70399">
        <w:t>(Scharf et al. 2000)</w:t>
      </w:r>
      <w:r w:rsidR="0092758B" w:rsidRPr="006F1F4B">
        <w:fldChar w:fldCharType="end"/>
      </w:r>
      <w:r w:rsidR="00997505" w:rsidRPr="006F1F4B">
        <w:t xml:space="preserve"> </w:t>
      </w:r>
      <w:r w:rsidR="001D42A5" w:rsidRPr="006F1F4B">
        <w:t xml:space="preserve">resulting in many larger fishes having more </w:t>
      </w:r>
      <w:r w:rsidR="001D42A5" w:rsidRPr="006F1F4B">
        <w:lastRenderedPageBreak/>
        <w:t xml:space="preserve">prey options than smaller fishes </w:t>
      </w:r>
      <w:r w:rsidR="00BA064A" w:rsidRPr="006F1F4B">
        <w:t>which can result in rapid growth</w:t>
      </w:r>
      <w:r w:rsidR="0077655C" w:rsidRPr="006F1F4B">
        <w:t xml:space="preserve"> </w:t>
      </w:r>
      <w:r w:rsidR="0077655C" w:rsidRPr="006F1F4B">
        <w:fldChar w:fldCharType="begin"/>
      </w:r>
      <w:r w:rsidR="0077655C" w:rsidRPr="006F1F4B">
        <w:instrText xml:space="preserve"> ADDIN ZOTERO_ITEM CSL_CITATION {"citationID":"ssszacQ2","properties":{"formattedCitation":"(Urban 2007)","plainCitation":"(Urban 2007)","noteIndex":0},"citationItems":[{"id":3437,"uris":["http://zotero.org/users/6698532/items/RM7MESQK"],"itemData":{"id":3437,"type":"article-journal","abstract":"Growth is a critical ecological trait because it can determine population demography, evolution, and community interactions. Predation risk frequently induces decreased foraging and slow growth in prey. However, such strategies may not always be favored when prey can outgrow a predator's hunting ability. At the same time, a growing gape-limited predator broadens its hunting ability through time by expanding its gape and thereby creates a moving size refuge for susceptible prey. Here, I explore the ramifications of growing gape-limited predators for adaptive prey growth. A discrete demographic model for optimal foraging/growth strategies was derived under the realistic scenario of gape-limited and gape-unconstrained predation threats. Analytic and numerical results demonstrate a novel fitness minimum just above the growth rate of the gape-limited predator. This local fitness minimum separates a slow growth strategy that forages infrequently and accumulates low but constant predation risk from a fast growth strategy that forages frequently and experiences a high early predation risk in return for lower future predation risk and enhanced fecundity. Slow strategies generally were advantageous in communities dominated by gape-unconstrained predators whereas fast strategies were advantageous in gape-limited predator communities. Results were sensitive to the assumed relationships between prey size and fecundity and between prey growth and predation risk. Predator growth increased the parameter space favoring fast prey strategies. The model makes the testable predictions that prey should not grow at the same rate as their gape-limited predator and generally should grow faster than the fastest growing gape-limited predator. By focusing on predator constraints on prey capture, these results integrate the ecological and evolutionary implications of prey growth in diverse predator communities and offer an explanation for empirical growth patterns previously viewed to be anomalies.","container-title":"Ecology","ISSN":"0012-9658","issue":"10","note":"publisher: Ecological Society of America","page":"2587-2597","source":"JSTOR","title":"The Growth-Predation Risk Trade-Off under a Growing Gape-Limited Predation Threat","volume":"88","author":[{"family":"Urban","given":"Mark C."}],"issued":{"date-parts":[["2007"]]}}}],"schema":"https://github.com/citation-style-language/schema/raw/master/csl-citation.json"} </w:instrText>
      </w:r>
      <w:r w:rsidR="0077655C" w:rsidRPr="006F1F4B">
        <w:fldChar w:fldCharType="separate"/>
      </w:r>
      <w:r w:rsidR="00A70399" w:rsidRPr="00A70399">
        <w:t>(Urban 2007)</w:t>
      </w:r>
      <w:r w:rsidR="0077655C" w:rsidRPr="006F1F4B">
        <w:fldChar w:fldCharType="end"/>
      </w:r>
      <w:r w:rsidR="00475C56" w:rsidRPr="006F1F4B">
        <w:t xml:space="preserve">. Though </w:t>
      </w:r>
      <w:r w:rsidR="0017220B" w:rsidRPr="006F1F4B">
        <w:t xml:space="preserve">larger fish can consume larger prey, the trade-off </w:t>
      </w:r>
      <w:r w:rsidR="00535112" w:rsidRPr="006F1F4B">
        <w:t xml:space="preserve">with large diets is large aerobic investments </w:t>
      </w:r>
      <w:r w:rsidR="002D3619" w:rsidRPr="006F1F4B">
        <w:t xml:space="preserve">that can limit mobility </w:t>
      </w:r>
      <w:r w:rsidR="002D3619" w:rsidRPr="006F1F4B">
        <w:fldChar w:fldCharType="begin"/>
      </w:r>
      <w:r w:rsidR="002D3619" w:rsidRPr="006F1F4B">
        <w:instrText xml:space="preserve"> ADDIN ZOTERO_ITEM CSL_CITATION {"citationID":"5X1bvFo2","properties":{"formattedCitation":"(Norin and Clark 2017)","plainCitation":"(Norin and Clark 2017)","noteIndex":0},"citationItems":[{"id":410,"uris":["http://zotero.org/users/6698532/items/BYGFLTHC"],"itemData":{"id":410,"type":"article-journal","abstract":"Feeding provides the necessary energy to fuel all fitness-related processes including activity, growth and reproduction. Nevertheless, prey consumption and digestive processes can have physical and physiological trade-offs with other critical functions, many of which are not clearly understood. Using an ambush predator, barramundi (Lates calcarifer), fed meals ranging 0.6-3.4% of body mass, we examined interrelations between meal size, growth efficiency and surplus aerobic metabolic capacity (aerobic scope, AS). Large meals required a greater absolute investment of energy to process (a larger so-called specific dynamic action, SDA), but the percentage of digestible meal energy required in the SDA response (SDA coefficient) decreased with increasing meal size. Combined with the findings that growth rate and growth efficiency also increased with food intake, our results demonstrate that it is energetically advantageous for fish to select large prey. However, following a large meal, SDA processes occupied up to 77% of the available AS, indicating that other oxygen-demanding activities like swimming may be compromised while large meals are processed. This trade-off between meal size and AS suggests that fishes like barramundi would benefit from regulating prey size based on imminent requirements and threats.","container-title":"Biology Letters","DOI":"10.1098/rsbl.2017.0298","ISSN":"0000000343237","issue":"9","page":"3-6","title":"Fish face a trade-off between ‘eating big’ for growth efficiency and ‘eating small’ to retain aerobic capacity","volume":"13","author":[{"family":"Norin","given":"Tommy"},{"family":"Clark","given":"Timothy D."}],"issued":{"date-parts":[["2017"]]}}}],"schema":"https://github.com/citation-style-language/schema/raw/master/csl-citation.json"} </w:instrText>
      </w:r>
      <w:r w:rsidR="002D3619" w:rsidRPr="006F1F4B">
        <w:fldChar w:fldCharType="separate"/>
      </w:r>
      <w:r w:rsidR="00A70399" w:rsidRPr="00A70399">
        <w:t>(Norin and Clark 2017)</w:t>
      </w:r>
      <w:r w:rsidR="002D3619" w:rsidRPr="006F1F4B">
        <w:fldChar w:fldCharType="end"/>
      </w:r>
      <w:r w:rsidR="00C03FC3" w:rsidRPr="006F1F4B">
        <w:t xml:space="preserve">. </w:t>
      </w:r>
      <w:r w:rsidR="00AF7F69" w:rsidRPr="006F1F4B">
        <w:t xml:space="preserve">Both predators must balance these impacts </w:t>
      </w:r>
      <w:r w:rsidR="00E75240" w:rsidRPr="006F1F4B">
        <w:t xml:space="preserve">of consumption and </w:t>
      </w:r>
      <w:r w:rsidR="00804091" w:rsidRPr="006F1F4B">
        <w:t>metabolism</w:t>
      </w:r>
      <w:r w:rsidR="0055336D" w:rsidRPr="006F1F4B">
        <w:t xml:space="preserve">, but the </w:t>
      </w:r>
      <w:r w:rsidR="009C6B98" w:rsidRPr="006F1F4B">
        <w:t xml:space="preserve">high rates of relative consumption observed in sculpins may suggest that they </w:t>
      </w:r>
      <w:r w:rsidR="005557EE" w:rsidRPr="006F1F4B">
        <w:t>are le</w:t>
      </w:r>
      <w:r w:rsidR="00805D34" w:rsidRPr="006F1F4B">
        <w:t>ss constrained by needing to maintain</w:t>
      </w:r>
      <w:r w:rsidR="007B2E0F" w:rsidRPr="006F1F4B">
        <w:t xml:space="preserve"> excess aerobic scope in favor of increasing growth rates </w:t>
      </w:r>
      <w:r w:rsidR="007B2E0F" w:rsidRPr="006F1F4B">
        <w:fldChar w:fldCharType="begin"/>
      </w:r>
      <w:r w:rsidR="007B2E0F" w:rsidRPr="006F1F4B">
        <w:instrText xml:space="preserve"> ADDIN ZOTERO_ITEM CSL_CITATION {"citationID":"6MkhorIu","properties":{"formattedCitation":"(Norin and Clark 2017)","plainCitation":"(Norin and Clark 2017)","noteIndex":0},"citationItems":[{"id":410,"uris":["http://zotero.org/users/6698532/items/BYGFLTHC"],"itemData":{"id":410,"type":"article-journal","abstract":"Feeding provides the necessary energy to fuel all fitness-related processes including activity, growth and reproduction. Nevertheless, prey consumption and digestive processes can have physical and physiological trade-offs with other critical functions, many of which are not clearly understood. Using an ambush predator, barramundi (Lates calcarifer), fed meals ranging 0.6-3.4% of body mass, we examined interrelations between meal size, growth efficiency and surplus aerobic metabolic capacity (aerobic scope, AS). Large meals required a greater absolute investment of energy to process (a larger so-called specific dynamic action, SDA), but the percentage of digestible meal energy required in the SDA response (SDA coefficient) decreased with increasing meal size. Combined with the findings that growth rate and growth efficiency also increased with food intake, our results demonstrate that it is energetically advantageous for fish to select large prey. However, following a large meal, SDA processes occupied up to 77% of the available AS, indicating that other oxygen-demanding activities like swimming may be compromised while large meals are processed. This trade-off between meal size and AS suggests that fishes like barramundi would benefit from regulating prey size based on imminent requirements and threats.","container-title":"Biology Letters","DOI":"10.1098/rsbl.2017.0298","ISSN":"0000000343237","issue":"9","page":"3-6","title":"Fish face a trade-off between ‘eating big’ for growth efficiency and ‘eating small’ to retain aerobic capacity","volume":"13","author":[{"family":"Norin","given":"Tommy"},{"family":"Clark","given":"Timothy D."}],"issued":{"date-parts":[["2017"]]}}}],"schema":"https://github.com/citation-style-language/schema/raw/master/csl-citation.json"} </w:instrText>
      </w:r>
      <w:r w:rsidR="007B2E0F" w:rsidRPr="006F1F4B">
        <w:fldChar w:fldCharType="separate"/>
      </w:r>
      <w:r w:rsidR="00A70399" w:rsidRPr="00A70399">
        <w:t>(Norin and Clark 2017)</w:t>
      </w:r>
      <w:r w:rsidR="007B2E0F" w:rsidRPr="006F1F4B">
        <w:fldChar w:fldCharType="end"/>
      </w:r>
      <w:r w:rsidR="00693E0E" w:rsidRPr="006F1F4B">
        <w:t>.</w:t>
      </w:r>
      <w:r w:rsidR="00F21135" w:rsidRPr="006F1F4B">
        <w:t xml:space="preserve"> </w:t>
      </w:r>
      <w:r w:rsidR="00434795" w:rsidRPr="006F1F4B">
        <w:t xml:space="preserve">Also contributing to impacts of body size on feeding is the scaling of space use wherein larger organisms rely on larger areas to </w:t>
      </w:r>
      <w:r w:rsidR="00204FF4" w:rsidRPr="006F1F4B">
        <w:t xml:space="preserve">acquire sufficient resources </w:t>
      </w:r>
      <w:r w:rsidR="00204FF4" w:rsidRPr="006F1F4B">
        <w:fldChar w:fldCharType="begin"/>
      </w:r>
      <w:r w:rsidR="00204FF4" w:rsidRPr="006F1F4B">
        <w:instrText xml:space="preserve"> ADDIN ZOTERO_ITEM CSL_CITATION {"citationID":"lqWAnfxX","properties":{"formattedCitation":"(Tamburello et al. 2015)","plainCitation":"(Tamburello et al. 2015)","noteIndex":0},"citationItems":[{"id":2978,"uris":["http://zotero.org/users/6698532/items/454VKFSL"],"itemData":{"id":2978,"type":"article-journal","abstract":"Daily animal movements are usually limited to a discrete home range area that scales allometrically with body size, suggesting that home-range size is shaped by metabolic rates and energy availability across species. However, there is little understanding of the relative importance of the various mechanisms proposed to inﬂuence home-range scaling (e.g., differences in realm productivity, thermoregulation, locomotion strategy, dimensionality, trophic guild, and prey size) and whether these extend beyond the commonly studied birds and mammals. We derive new home-range scaling relationships for ﬁshes and reptiles and use a model-selection approach to evaluate the generality of home-range scaling mechanisms across 569 vertebrate species. We ﬁnd no evidence that home-range allometry varies consistently between aquatic and terrestrial realms or thermoregulation strategies, but we ﬁnd that locomotion strategy, foraging dimension, trophic guild, and prey size together explain 80% of the variation in home-range size across vertebrates when controlling for phylogeny and tracking method. Within carnivores, smaller relative prey size among gape-limited ﬁshes contributes to shallower scaling relative to other predators. Our study reveals how simple morphological traits and prey-handling ability can profoundly inﬂuence individual space use, which underpins broader-scale patterns in the spatial ecology of vertebrates.","container-title":"The American Naturalist","DOI":"10.1086/682070","ISSN":"0003-0147, 1537-5323","issue":"2","journalAbbreviation":"The American Naturalist","language":"en","page":"196-211","source":"DOI.org (Crossref)","title":"Energy and the Scaling of Animal Space Use","volume":"186","author":[{"family":"Tamburello","given":"Natascia"},{"family":"Côté","given":"Isabelle M."},{"family":"Dulvy","given":"Nicholas K."}],"issued":{"date-parts":[["2015",8]]}}}],"schema":"https://github.com/citation-style-language/schema/raw/master/csl-citation.json"} </w:instrText>
      </w:r>
      <w:r w:rsidR="00204FF4" w:rsidRPr="006F1F4B">
        <w:fldChar w:fldCharType="separate"/>
      </w:r>
      <w:r w:rsidR="00A70399" w:rsidRPr="00A70399">
        <w:t>(Tamburello et al. 2015)</w:t>
      </w:r>
      <w:r w:rsidR="00204FF4" w:rsidRPr="006F1F4B">
        <w:fldChar w:fldCharType="end"/>
      </w:r>
      <w:r w:rsidR="00204FF4" w:rsidRPr="006F1F4B">
        <w:t xml:space="preserve">. </w:t>
      </w:r>
      <w:r w:rsidR="00CC0FE1" w:rsidRPr="006F1F4B">
        <w:t xml:space="preserve">As such, the </w:t>
      </w:r>
      <w:r w:rsidR="00B9650A" w:rsidRPr="006F1F4B">
        <w:t>obvious differences in body size between the predators sampled within this shared environment may contribute furthe</w:t>
      </w:r>
      <w:r w:rsidR="00ED3E44" w:rsidRPr="006F1F4B">
        <w:t>r to subtle differences in feeding magnitude and composition.</w:t>
      </w:r>
    </w:p>
    <w:p w14:paraId="7B81B22C" w14:textId="2C516019" w:rsidR="00116EB5" w:rsidRPr="006F1F4B" w:rsidRDefault="00727C28" w:rsidP="00D13D88">
      <w:r w:rsidRPr="006F1F4B">
        <w:tab/>
      </w:r>
      <w:r w:rsidR="5CA2C02B" w:rsidRPr="006F1F4B">
        <w:t xml:space="preserve">Though the difference between sculpins and Arctic char can be observed and attributed to </w:t>
      </w:r>
      <w:r w:rsidR="0A9166F9" w:rsidRPr="006F1F4B">
        <w:t xml:space="preserve">life history </w:t>
      </w:r>
      <w:r w:rsidR="56FE9CE6" w:rsidRPr="006F1F4B">
        <w:t xml:space="preserve">differences between the taxa, there were also observed differences </w:t>
      </w:r>
      <w:r w:rsidR="2F59D17D" w:rsidRPr="006F1F4B">
        <w:t xml:space="preserve">between sampling years. </w:t>
      </w:r>
      <w:r w:rsidR="3E0450E8" w:rsidRPr="006F1F4B">
        <w:t xml:space="preserve">Indicator species analysis was able to identify prey items that were significantly associated with </w:t>
      </w:r>
      <w:r w:rsidR="12B1908C" w:rsidRPr="006F1F4B">
        <w:t>certain sampling years</w:t>
      </w:r>
      <w:r w:rsidR="0EEB5025" w:rsidRPr="006F1F4B">
        <w:t xml:space="preserve">, most notably different taxa of </w:t>
      </w:r>
      <w:r w:rsidR="68E4AD7B" w:rsidRPr="006F1F4B">
        <w:t>amphipods</w:t>
      </w:r>
      <w:r w:rsidR="782501C5" w:rsidRPr="006F1F4B">
        <w:t xml:space="preserve"> </w:t>
      </w:r>
      <w:r w:rsidR="6B5DAACA" w:rsidRPr="006F1F4B">
        <w:t xml:space="preserve">for each year: </w:t>
      </w:r>
      <w:r w:rsidR="6B5DAACA" w:rsidRPr="4F7ADE61">
        <w:rPr>
          <w:i/>
          <w:iCs/>
        </w:rPr>
        <w:t>Gammaracanthus</w:t>
      </w:r>
      <w:r w:rsidR="6B5DAACA" w:rsidRPr="006F1F4B">
        <w:t xml:space="preserve"> sp. in 2017, </w:t>
      </w:r>
      <w:r w:rsidR="6B5DAACA" w:rsidRPr="4F7ADE61">
        <w:rPr>
          <w:i/>
          <w:iCs/>
        </w:rPr>
        <w:t>Onisimus</w:t>
      </w:r>
      <w:r w:rsidR="6B5DAACA" w:rsidRPr="006F1F4B">
        <w:t xml:space="preserve"> sp. in 2018, and </w:t>
      </w:r>
      <w:r w:rsidR="6B5DAACA" w:rsidRPr="4F7ADE61">
        <w:rPr>
          <w:i/>
          <w:iCs/>
        </w:rPr>
        <w:t>Themisto</w:t>
      </w:r>
      <w:r w:rsidR="6B5DAACA" w:rsidRPr="006F1F4B">
        <w:t xml:space="preserve"> sp. in 2019.</w:t>
      </w:r>
      <w:r w:rsidR="578A1FBD" w:rsidRPr="006F1F4B">
        <w:t xml:space="preserve"> Summer environmental conditions varied in Tremblay Sound between years (N. Hussey, </w:t>
      </w:r>
      <w:r w:rsidR="578A1FBD" w:rsidRPr="4F7ADE61">
        <w:rPr>
          <w:i/>
          <w:iCs/>
        </w:rPr>
        <w:t>pers obs</w:t>
      </w:r>
      <w:r w:rsidR="578A1FBD" w:rsidRPr="4F7ADE61">
        <w:t xml:space="preserve">), with regular fast ice in 2018 and only a single iceberg in 2019. Perhaps </w:t>
      </w:r>
      <w:r w:rsidR="578A1FBD" w:rsidRPr="4F7ADE61">
        <w:rPr>
          <w:i/>
          <w:iCs/>
        </w:rPr>
        <w:t>Onisimus sp.</w:t>
      </w:r>
      <w:r w:rsidR="578A1FBD" w:rsidRPr="4F7ADE61">
        <w:t xml:space="preserve"> are sympagic amphipods, and their presence in 2018 diets and absence in 2019 diets was reflective of the current environmental conditions. Environmental conditions have been linked to changes in the composition of macrofauna, particularly in amphipods (Hop et al. 2011; David et al. 2015). </w:t>
      </w:r>
      <w:r w:rsidR="03AF9EEE" w:rsidRPr="006F1F4B">
        <w:t xml:space="preserve">Variability in the </w:t>
      </w:r>
      <w:r w:rsidR="1578D77E" w:rsidRPr="006F1F4B">
        <w:t xml:space="preserve">faunal community between years </w:t>
      </w:r>
      <w:r w:rsidR="7B3E1A4D" w:rsidRPr="006F1F4B">
        <w:t xml:space="preserve">could be confirmed by future research </w:t>
      </w:r>
      <w:r w:rsidR="667ED341" w:rsidRPr="006F1F4B">
        <w:t>which collects both the diets of major</w:t>
      </w:r>
      <w:r w:rsidR="00BF7D2A" w:rsidRPr="006F1F4B">
        <w:t xml:space="preserve"> predators and the sympatric prey base. Both predators are limited to the prey that are available; </w:t>
      </w:r>
      <w:r w:rsidR="30EE3ADA" w:rsidRPr="006F1F4B">
        <w:t>however</w:t>
      </w:r>
      <w:r w:rsidR="23A7217A" w:rsidRPr="006F1F4B">
        <w:t>,</w:t>
      </w:r>
      <w:r w:rsidR="30EE3ADA" w:rsidRPr="006F1F4B">
        <w:t xml:space="preserve"> based on centroid distance between years</w:t>
      </w:r>
      <w:r w:rsidR="23A7217A" w:rsidRPr="006F1F4B">
        <w:t xml:space="preserve"> Arctic char </w:t>
      </w:r>
      <w:r w:rsidR="1EAC6829" w:rsidRPr="006F1F4B">
        <w:t>(mean distance</w:t>
      </w:r>
      <w:r w:rsidR="248EBCFC" w:rsidRPr="006F1F4B">
        <w:t xml:space="preserve"> = 0.55)</w:t>
      </w:r>
      <w:r w:rsidR="1EAC6829" w:rsidRPr="006F1F4B">
        <w:t xml:space="preserve"> </w:t>
      </w:r>
      <w:r w:rsidR="23A7217A" w:rsidRPr="006F1F4B">
        <w:t xml:space="preserve">may be more sensitive to the </w:t>
      </w:r>
      <w:r w:rsidR="7A08765F" w:rsidRPr="006F1F4B">
        <w:t>changing prey base</w:t>
      </w:r>
      <w:r w:rsidR="248EBCFC" w:rsidRPr="006F1F4B">
        <w:t xml:space="preserve"> than sculpins (mean distance = 0.36)</w:t>
      </w:r>
      <w:r w:rsidR="7A08765F" w:rsidRPr="006F1F4B">
        <w:t xml:space="preserve">. Sculpins, that are known to be opportunistic predators, </w:t>
      </w:r>
      <w:r w:rsidR="168945E3" w:rsidRPr="006F1F4B">
        <w:t xml:space="preserve">may </w:t>
      </w:r>
      <w:r w:rsidR="51DA07DD" w:rsidRPr="006F1F4B">
        <w:t>not reflect dominant taxa inter-annually as their mobility may impede their ability to select prey items</w:t>
      </w:r>
      <w:r w:rsidR="026AA62F" w:rsidRPr="006F1F4B">
        <w:t xml:space="preserve">. </w:t>
      </w:r>
      <w:r w:rsidR="128BA8D3" w:rsidRPr="006F1F4B">
        <w:t xml:space="preserve">Ultimately, more intensive </w:t>
      </w:r>
      <w:r w:rsidR="1E87F1DB" w:rsidRPr="006F1F4B">
        <w:t xml:space="preserve">sampling of prey availability, especially in the dominant habitats which these </w:t>
      </w:r>
      <w:r w:rsidR="7502527D" w:rsidRPr="006F1F4B">
        <w:t>predators utilize, is required to identify selectivity of feeding</w:t>
      </w:r>
      <w:r w:rsidR="63DFA444" w:rsidRPr="006F1F4B">
        <w:t xml:space="preserve"> as it may contribute to inter-annual variability in diet composition</w:t>
      </w:r>
      <w:r w:rsidR="4A9D6613" w:rsidRPr="006F1F4B">
        <w:t xml:space="preserve">. </w:t>
      </w:r>
    </w:p>
    <w:p w14:paraId="78708DE4" w14:textId="3EBC451C" w:rsidR="008A637F" w:rsidRPr="006F1F4B" w:rsidRDefault="00116EB5" w:rsidP="00D13D88">
      <w:r w:rsidRPr="006F1F4B">
        <w:lastRenderedPageBreak/>
        <w:tab/>
      </w:r>
      <w:r w:rsidR="00D82B19">
        <w:t xml:space="preserve">Though these results are valuable, it is important to </w:t>
      </w:r>
      <w:r w:rsidR="00C70CF5">
        <w:t xml:space="preserve">acknowledge the limits </w:t>
      </w:r>
      <w:r w:rsidR="00A169A4">
        <w:t xml:space="preserve">of </w:t>
      </w:r>
      <w:r w:rsidR="38EB0590" w:rsidRPr="006F1F4B">
        <w:t>diet analyses</w:t>
      </w:r>
      <w:r w:rsidR="00C70CF5">
        <w:t xml:space="preserve"> </w:t>
      </w:r>
      <w:r w:rsidR="009E55B6">
        <w:t xml:space="preserve">in </w:t>
      </w:r>
      <w:r w:rsidR="00A169A4">
        <w:t>representing</w:t>
      </w:r>
      <w:r w:rsidR="009E55B6">
        <w:t xml:space="preserve"> </w:t>
      </w:r>
      <w:r w:rsidR="00A169A4">
        <w:t xml:space="preserve">broader </w:t>
      </w:r>
      <w:r w:rsidR="009E55B6">
        <w:t>feeding behavior</w:t>
      </w:r>
      <w:r w:rsidR="00A169A4">
        <w:t xml:space="preserve"> and</w:t>
      </w:r>
      <w:r w:rsidR="38EB0590" w:rsidRPr="006F1F4B">
        <w:t xml:space="preserve"> the generalizability</w:t>
      </w:r>
      <w:r w:rsidR="009E55B6">
        <w:t xml:space="preserve"> of observations from one system</w:t>
      </w:r>
      <w:r w:rsidR="00A169A4">
        <w:t xml:space="preserve"> during a</w:t>
      </w:r>
      <w:r w:rsidR="001A04EB">
        <w:t xml:space="preserve"> rapidly varying seasonal pulse</w:t>
      </w:r>
      <w:r w:rsidR="13C62D9D" w:rsidRPr="006F1F4B">
        <w:t xml:space="preserve">. Though our study was successful at </w:t>
      </w:r>
      <w:r w:rsidR="503C62CE" w:rsidRPr="006F1F4B">
        <w:t xml:space="preserve">generating samples in different years, the time of year contained some variation with 2017 and 2018 being collected over </w:t>
      </w:r>
      <w:r w:rsidR="00BEFD34" w:rsidRPr="006F1F4B">
        <w:t xml:space="preserve">a longer time than 2019. Additionally, all years began well </w:t>
      </w:r>
      <w:r w:rsidR="001A04EB">
        <w:t>after</w:t>
      </w:r>
      <w:r w:rsidR="00BEFD34" w:rsidRPr="006F1F4B">
        <w:t xml:space="preserve"> complete ice-melt </w:t>
      </w:r>
      <w:r w:rsidR="171D7E21" w:rsidRPr="006F1F4B">
        <w:t>when the resource pulse begins</w:t>
      </w:r>
      <w:r w:rsidR="6B2AFBCF" w:rsidRPr="006F1F4B">
        <w:t xml:space="preserve"> </w:t>
      </w:r>
      <w:r w:rsidR="00963F64" w:rsidRPr="006F1F4B">
        <w:fldChar w:fldCharType="begin"/>
      </w:r>
      <w:r w:rsidR="00963F64" w:rsidRPr="006F1F4B">
        <w:instrText xml:space="preserve"> ADDIN ZOTERO_ITEM CSL_CITATION {"citationID":"P9j1Ftei","properties":{"formattedCitation":"(Ji et al. 2013)","plainCitation":"(Ji et al. 2013)","noteIndex":0},"citationItems":[{"id":1995,"uris":["http://zotero.org/users/6698532/items/4VJ9M5PP"],"itemData":{"id":1995,"type":"article-journal","abstract":"Arctic organisms are adapted to the strong seasonality of environmental forcing. A small timing mismatch between biological processes and the environment could potentially have significant consequences for the entire food web. Climate warming causes shrinking ice coverage and earlier ice retreat in the Arctic, which is likely to change the timing of primary production. In this study, we test predictions on the interactions among sea ice phenology and production timing of ice algae and pelagic phytoplankton. We do so using the following (1) a synthesis of available satellite observation data; and (2) the application of a coupled ice-ocean ecosystem model. The data and model results suggest that, over a large portion of the Arctic marginal seas, the timing variability in ice retreat at a specific location has a strong impact on the timing variability in pelagic phytoplankton peaks, but weak or no impact on the timing of ice-algae peaks in those regions. The model predicts latitudinal and regional differences in the timing of ice algae biomass peak (varying from April to May) and the time lags between ice algae and pelagic phytoplankton peaks (varying from 45 to 90 days). The correlation between the time lag and ice retreat is significant in areas where ice retreat has no significant impact on ice-algae peak timing, suggesting that changes in pelagic phytoplankton peak timing control the variability in time lags. Phenological variability in primary production is likely to have consequences for higher trophic levels, particularly for the zooplankton grazers, whose main food source is composed of the dually pulsed algae production of the Arctic.","container-title":"Global Change Biology","DOI":"https://doi.org/10.1111/gcb.12074","ISSN":"1365-2486","issue":"3","language":"en","note":"_eprint: https://onlinelibrary.wiley.com/doi/pdf/10.1111/gcb.12074","page":"734-741","source":"Wiley Online Library","title":"Sea ice phenology and timing of primary production pulses in the Arctic Ocean","volume":"19","author":[{"family":"Ji","given":"Rubao"},{"family":"Jin","given":"Meibing"},{"family":"Varpe","given":"Øystein"}],"issued":{"date-parts":[["2013"]]}}}],"schema":"https://github.com/citation-style-language/schema/raw/master/csl-citation.json"} </w:instrText>
      </w:r>
      <w:r w:rsidR="00963F64" w:rsidRPr="006F1F4B">
        <w:fldChar w:fldCharType="separate"/>
      </w:r>
      <w:r w:rsidR="00A70399" w:rsidRPr="00A70399">
        <w:t>(Ji et al. 2013)</w:t>
      </w:r>
      <w:r w:rsidR="00963F64" w:rsidRPr="006F1F4B">
        <w:fldChar w:fldCharType="end"/>
      </w:r>
      <w:r w:rsidR="68A2EE51" w:rsidRPr="006F1F4B">
        <w:t xml:space="preserve"> with successive changes as the season progresses</w:t>
      </w:r>
      <w:r w:rsidR="171D7E21" w:rsidRPr="006F1F4B">
        <w:t xml:space="preserve"> </w:t>
      </w:r>
      <w:r w:rsidR="000F2CA4" w:rsidRPr="006F1F4B">
        <w:fldChar w:fldCharType="begin"/>
      </w:r>
      <w:r w:rsidR="000F2CA4" w:rsidRPr="006F1F4B">
        <w:instrText xml:space="preserve"> ADDIN ZOTERO_ITEM CSL_CITATION {"citationID":"YbEfVv3d","properties":{"formattedCitation":"(Hop et al. 2011)","plainCitation":"(Hop et al. 2011)","noteIndex":0},"citationItems":[{"id":1782,"uris":["http://zotero.org/users/6698532/items/RPDRW3K7"],"itemData":{"id":1782,"type":"article-journal","container-title":"Polar Biology","DOI":"10.1007/s00300-011-0991-4","ISSN":"0722-4060, 1432-2056","issue":"12","journalAbbreviation":"Polar Biol","language":"en","page":"1947-1958","source":"DOI.org (Crossref)","title":"Zooplankton boom and ice amphipod bust below melting sea ice in the Amundsen Gulf, Arctic Canada","volume":"34","author":[{"family":"Hop","given":"Haakon"},{"family":"Mundy","given":"Christopher J."},{"family":"Gosselin","given":"Michel"},{"family":"Rossnagel","given":"Andrea L."},{"family":"Barber","given":"David G."}],"issued":{"date-parts":[["2011",12]]}}}],"schema":"https://github.com/citation-style-language/schema/raw/master/csl-citation.json"} </w:instrText>
      </w:r>
      <w:r w:rsidR="000F2CA4" w:rsidRPr="006F1F4B">
        <w:fldChar w:fldCharType="separate"/>
      </w:r>
      <w:r w:rsidR="00A70399" w:rsidRPr="00A70399">
        <w:t>(Hop et al. 2011)</w:t>
      </w:r>
      <w:r w:rsidR="000F2CA4" w:rsidRPr="006F1F4B">
        <w:fldChar w:fldCharType="end"/>
      </w:r>
      <w:r w:rsidR="68A2EE51" w:rsidRPr="006F1F4B">
        <w:t xml:space="preserve">. Much of this </w:t>
      </w:r>
      <w:r w:rsidR="661E4A46" w:rsidRPr="006F1F4B">
        <w:t xml:space="preserve">feeding period was missed by our samples </w:t>
      </w:r>
      <w:r w:rsidR="00F41DB0" w:rsidRPr="006F1F4B">
        <w:fldChar w:fldCharType="begin"/>
      </w:r>
      <w:r w:rsidR="00F41DB0" w:rsidRPr="006F1F4B">
        <w:instrText xml:space="preserve"> ADDIN ZOTERO_ITEM CSL_CITATION {"citationID":"DF8D42vt","properties":{"formattedCitation":"(S\\uc0\\u248{}reide et al. 2010)","plainCitation":"(Søreide et al. 2010)","noteIndex":0},"citationItems":[{"id":1768,"uris":["http://zotero.org/users/6698532/items/MIZPILAQ"],"itemData":{"id":1768,"type":"article-journal","abstract":"The Arctic bloom consists of two distinct categories of primary producers, ice algae growing within and on the underside of the sea ice, and phytoplankton growing in open waters. Long chain omega-3 fatty acids, a subgroup of polyunsaturated fatty acids (PUFAs) produced exclusively by these algae, are essential to all marine organisms for successful reproduction, growth, and development. During an extensive field study in the Arctic shelf seas, we followed the seasonal biomass development of ice algae and phytoplankton and their food quality in terms of their relative PUFA content. The first PUFA-peak occurred in late April during solid ice cover at the onset of the ice algal bloom, and the second PUFA-peak occurred in early July just after the ice break-up at the onset of the phytoplankton bloom. The reproduction and growth of the key Arctic grazer Calanus glacialis perfectly coincided with these two bloom events. Females of C. glacialis utilized the high-quality ice algal bloom to fuel early maturation and reproduction, whereas the resulting offspring had access to ample high-quality food during the phytoplankton bloom 2 months later. Reduction in sea ice thickness and coverage area will alter the current primary production regime due to earlier ice break-up and onset of the phytoplankton bloom. A potential mismatch between the two primary production peaks of high-quality food and the reproductive cycle of key Arctic grazers may have negative consequences for the entire lipid-driven Arctic marine ecosystem.","container-title":"Global Change Biology","DOI":"10.1111/j.1365-2486.2010.02175.x","ISSN":"1365-2486","issue":"11","language":"en","note":"_eprint: https://onlinelibrary.wiley.com/doi/pdf/10.1111/j.1365-2486.2010.02175.x","page":"3154-3163","source":"Wiley Online Library","title":"Timing of blooms, algal food quality and &lt;i&gt;Calanus glacialis&lt;/i&gt; reproduction and growth in a changing Arctic","volume":"16","author":[{"family":"Søreide","given":"Janne E."},{"family":"Leu","given":"Eva"},{"family":"Berge","given":"Jørgen"},{"family":"Graeve","given":"Martin"},{"family":"Falk‐Petersen","given":"Stig"}],"issued":{"date-parts":[["2010"]]}}}],"schema":"https://github.com/citation-style-language/schema/raw/master/csl-citation.json"} </w:instrText>
      </w:r>
      <w:r w:rsidR="00F41DB0" w:rsidRPr="006F1F4B">
        <w:fldChar w:fldCharType="separate"/>
      </w:r>
      <w:r w:rsidR="00A70399" w:rsidRPr="00A70399">
        <w:rPr>
          <w:szCs w:val="24"/>
        </w:rPr>
        <w:t>(Søreide et al. 2010)</w:t>
      </w:r>
      <w:r w:rsidR="00F41DB0" w:rsidRPr="006F1F4B">
        <w:fldChar w:fldCharType="end"/>
      </w:r>
      <w:r w:rsidR="41551DFF" w:rsidRPr="006F1F4B">
        <w:t xml:space="preserve"> and may present a differen</w:t>
      </w:r>
      <w:r w:rsidR="3EB617AC" w:rsidRPr="006F1F4B">
        <w:t xml:space="preserve">t story on the foraging of these predators. </w:t>
      </w:r>
      <w:r w:rsidR="1359FBA4" w:rsidRPr="006F1F4B">
        <w:t xml:space="preserve">Beyond </w:t>
      </w:r>
      <w:r w:rsidR="00010237">
        <w:t>the timing of sampling</w:t>
      </w:r>
      <w:r w:rsidR="1359FBA4" w:rsidRPr="006F1F4B">
        <w:t xml:space="preserve">, the methods for collecting fish may have resulted in a </w:t>
      </w:r>
      <w:r w:rsidR="441585B0" w:rsidRPr="006F1F4B">
        <w:t xml:space="preserve">narrow understanding of the </w:t>
      </w:r>
      <w:r w:rsidR="00A366AB">
        <w:t>feeding behaviors of Arctic char and sculpins</w:t>
      </w:r>
      <w:r w:rsidR="65E2E602" w:rsidRPr="006F1F4B">
        <w:t>. Individual specialization was observed within our sample</w:t>
      </w:r>
      <w:r w:rsidR="5B56AA6E" w:rsidRPr="006F1F4B">
        <w:t xml:space="preserve"> </w:t>
      </w:r>
      <w:r w:rsidR="00E1455C" w:rsidRPr="006F1F4B">
        <w:fldChar w:fldCharType="begin"/>
      </w:r>
      <w:r w:rsidR="00D71D4C" w:rsidRPr="006F1F4B">
        <w:instrText xml:space="preserve"> ADDIN ZOTERO_ITEM CSL_CITATION {"citationID":"uNSFfvMG","properties":{"formattedCitation":"(Bolnick et al. 2002)","plainCitation":"(Bolnick et al. 2002)","noteIndex":0},"citationItems":[{"id":2406,"uris":["http://zotero.org/users/6698532/items/KW2S5RLX"],"itemData":{"id":2406,"type":"article-journal","abstract":"Many apparently generalized species are in fact composed of individual specialists that use a small subset of the population's resource distribution. Niche variation is usually established by testing the null hypothesis that individuals draw from a common resource distribution. This approach encourages a publication bias in which negative results are rarely reported, and obscures variation in the degree of individual specialization, limiting our ability to carry out comparative studies of the causes or consequences of niche variation. To facilitate studies of the degree of individual specialization, this paper outlines four quantitative indices of intrapopulation variation in resource use. Traditionally, such variation has been measured by partitioning the population's total niche width into within- and between-individual, sex, or phenotype components. We suggest two alternative measures that quantify the mean resource overlap between an individual and its population, and we discuss the advantages and disadvantages of all four measures. The utility of all indices depends on the quality of the empirical data. If resources are measured in a coarse-grained manner, individuals may falsely appear generalized. Alternatively, specialization may be overestimated by cross-sectional sampling schemes where diet variation can reflect a patchy environment. Isotope ratios, parasites, or diet–morphology correlations can complement cross-sectional data to establish temporal consistency of individual specialization.","container-title":"Ecology","DOI":"10.1890/0012-9658(2002)083[2936:MILRS]2.0.CO;2","ISSN":"1939-9170","issue":"10","language":"en","note":"_eprint: https://esajournals.onlinelibrary.wiley.com/doi/pdf/10.1890/0012-9658%282002%29083%5B2936%3AMILRS%5D2.0.CO%3B2","page":"2936-2941","source":"Wiley Online Library","title":"Measuring Individual-Level Resource Specialization","volume":"83","author":[{"family":"Bolnick","given":"Daniel I."},{"family":"Yang","given":"Louie H."},{"family":"Fordyce","given":"James A."},{"family":"Davis","given":"Jeremy M."},{"family":"Svanbäck","given":"Richard"}],"issued":{"date-parts":[["2002"]]}}}],"schema":"https://github.com/citation-style-language/schema/raw/master/csl-citation.json"} </w:instrText>
      </w:r>
      <w:r w:rsidR="00E1455C" w:rsidRPr="006F1F4B">
        <w:fldChar w:fldCharType="separate"/>
      </w:r>
      <w:r w:rsidR="00A70399" w:rsidRPr="00A70399">
        <w:t>(Bolnick et al. 2002)</w:t>
      </w:r>
      <w:r w:rsidR="00E1455C" w:rsidRPr="006F1F4B">
        <w:fldChar w:fldCharType="end"/>
      </w:r>
      <w:r w:rsidR="299528EA" w:rsidRPr="006F1F4B">
        <w:t>, but</w:t>
      </w:r>
      <w:r w:rsidR="65E2E602" w:rsidRPr="006F1F4B">
        <w:t xml:space="preserve"> we believe that a sufficient number of diets was collected to fully encapsulate the </w:t>
      </w:r>
      <w:r w:rsidR="13EDC970" w:rsidRPr="006F1F4B">
        <w:t>prey consumed</w:t>
      </w:r>
      <w:r w:rsidR="299528EA" w:rsidRPr="006F1F4B">
        <w:t xml:space="preserve"> </w:t>
      </w:r>
      <w:r w:rsidR="00A366AB">
        <w:t xml:space="preserve">(via prey accumulation curves) </w:t>
      </w:r>
      <w:r w:rsidR="299528EA" w:rsidRPr="006F1F4B">
        <w:t>even if some responses may be less well represented.</w:t>
      </w:r>
      <w:r w:rsidR="4047A11B" w:rsidRPr="006F1F4B">
        <w:t xml:space="preserve"> Specifically, collection occurred at just one site which, for sculpins especially, may result in a biased sample of the population due to limited m</w:t>
      </w:r>
      <w:r w:rsidR="64F2DCA8" w:rsidRPr="006F1F4B">
        <w:t xml:space="preserve">ixing. </w:t>
      </w:r>
      <w:r w:rsidR="00871FDE">
        <w:t>Telemetry studies</w:t>
      </w:r>
      <w:r w:rsidR="64F2DCA8" w:rsidRPr="006F1F4B">
        <w:t xml:space="preserve"> have identified that both predators can access the entirety of Tremblay Sound </w:t>
      </w:r>
      <w:r w:rsidR="00825920" w:rsidRPr="006F1F4B">
        <w:fldChar w:fldCharType="begin"/>
      </w:r>
      <w:r w:rsidR="005264B3">
        <w:instrText xml:space="preserve"> ADDIN ZOTERO_ITEM CSL_CITATION {"citationID":"Uq1rLJUU","properties":{"formattedCitation":"(Hammer et al. 2022; Hermann et al. 2023)","plainCitation":"(Hammer et al. 2022; Hermann et al. 2023)","noteIndex":0},"citationItems":[{"id":2577,"uris":["http://zotero.org/users/6698532/items/C2KTA335"],"itemData":{"id":2577,"type":"article-journal","abstract":"Arctic waters are warming rapidly due to climate change, which is altering the timing of seasonal sea ice dynamics. Summer ice breakup provides a critical productivity bloom that consumers depend on. Arctic char Salvelinus alpinus undertake seasonal migrations to marine waters presumably to exploit this prey pulse. However, specific migratory timing and residency of char relative to breakup is largely unknown. To investigate char movement, individuals were tagged with acoustic transmitters in 2017 (n = 58) and 2018 (n = 52) within Tremblay Sound, Nunavut, Canada, resulting in 625 482 detections. Generalized linear models were used to relate multiple movement metrics to ice conditions as well as biological and temporal factors. Char exhibited multiple migratory patterns (chronologies), by which fish either migrated to/from rivers within Tremblay Sound (n = 67), rivers in external systems (n = 35), or a combination of both (n = 8). Fish that migrated exclusively from external systems were longer (~14 cm) than fish exhibiting other chronologies. Migration timing was related to chronology and preempted the specific ice-off date. Fish migrating from rivers within Tremblay Sound entered the marine environment ~7.5 d before the start of ice-off, while external migrants entered ~21 d after ice-off start. Differing migratory chronologies highlight the complexity of char migrations and may indicate the presence of subpopulations or potential ontogenetic shifts in migration behavior. Our study underscores the importance of the brief ice-free season, with potential implications for climate change resilience and management of this important resource in a changing Arctic.","container-title":"Marine Ecology Progress Series","DOI":"10.3354/meps13939","ISSN":"0171-8630, 1616-1599","journalAbbreviation":"Mar. Ecol. Prog. Ser.","language":"en","page":"221-236","source":"DOI.org (Crossref)","title":"Arctic char (Salvelinus alpinus) movement dynamics relative to ice breakup in a high Arctic embayment","volume":"682","author":[{"family":"Hammer","given":"Lj"},{"family":"Hussey","given":"Ne"},{"family":"Marcoux","given":"Mm"},{"family":"Pettitt-Wade","given":"H"},{"family":"Hedges","given":"K"},{"family":"Tallman","given":"R"},{"family":"Furey","given":"Nb"}],"issued":{"date-parts":[["2022"]]}}},{"id":3861,"uris":["http://zotero.org/users/6698532/items/LQS8KWL6"],"itemData":{"id":3861,"type":"article-journal","abstract":"Environments change across space and time, often requiring organisms to exhibit behavioral responses. In the Arctic, migratory consumers are motivated by spring resources to follow receding ice; however, resident species’ responses to this ephemeral productivity are less well understood. We characterized the movement behaviors of relatively sedentary Arctic species of sculpin ( Myoxocephalus spp.) in Tremblay Sound, Nunavut, Canada. Movements of individuals ( n = 60) captured during the ice-free periods of 2017–2019 were monitored year-round via an array of acoustic telemetry receivers ( n = 37). Telemetry data confirmed year-round residency within the Sound, yet sculpins were consistently more active and wider ranging during the ice-free period versus the ice-covered winters. Sequence analysis revealed distinct patterns of activity differentiated primarily by regional associations. Together, these results indicate sculpins are highly sedentary, but move more during the ice-free season, suggesting the importance of the seasonal productivity pulse to these fishes. As resident species are adapted to exploit the conditions within their local environment, sculpins provide valuable indicator species to monitor coastal and benthic Arctic ecosystems that are experiencing rapid change.","container-title":"Canadian Journal of Fisheries and Aquatic Sciences","DOI":"10.1139/cjfas-2023-0042","ISSN":"0706-652X, 1205-7533","journalAbbreviation":"Can. J. Fish. Aquat. Sci.","language":"en","page":"cjfas-2023-0042","source":"DOI.org (Crossref)","title":"Year-round monitoring of Arctic species of sculpin to identify residency and seasonality of movement behavior","author":[{"family":"Hermann","given":"Nathan T."},{"family":"Hammer","given":"Lars J."},{"family":"Hussey","given":"Nigel E."},{"family":"Marcoux","given":"Marianne"},{"family":"Hedges","given":"Kevin J."},{"family":"Walter","given":"Ryan P."},{"family":"Furey","given":"Nathan B."}],"issued":{"date-parts":[["2023",8,3]]}}}],"schema":"https://github.com/citation-style-language/schema/raw/master/csl-citation.json"} </w:instrText>
      </w:r>
      <w:r w:rsidR="00825920" w:rsidRPr="006F1F4B">
        <w:fldChar w:fldCharType="separate"/>
      </w:r>
      <w:r w:rsidR="00A70399" w:rsidRPr="00A70399">
        <w:t>(Hammer et al. 2022; Hermann et al. 2023)</w:t>
      </w:r>
      <w:r w:rsidR="00825920" w:rsidRPr="006F1F4B">
        <w:fldChar w:fldCharType="end"/>
      </w:r>
      <w:r w:rsidR="7BA9C050" w:rsidRPr="006F1F4B">
        <w:t>, but differences may exist between subpopulations</w:t>
      </w:r>
      <w:r w:rsidR="766716F0" w:rsidRPr="006F1F4B">
        <w:t xml:space="preserve"> or reflecting variable resources within different regions of the </w:t>
      </w:r>
      <w:r w:rsidR="7C65159D" w:rsidRPr="006F1F4B">
        <w:t>system</w:t>
      </w:r>
      <w:r w:rsidR="766716F0" w:rsidRPr="006F1F4B">
        <w:t xml:space="preserve"> </w:t>
      </w:r>
      <w:r w:rsidR="00191D22" w:rsidRPr="006F1F4B">
        <w:fldChar w:fldCharType="begin"/>
      </w:r>
      <w:r w:rsidR="00CD32EB" w:rsidRPr="006F1F4B">
        <w:instrText xml:space="preserve"> ADDIN ZOTERO_ITEM CSL_CITATION {"citationID":"jaOrLXIK","properties":{"formattedCitation":"(Armstrong et al. 2013)","plainCitation":"(Armstrong et al. 2013)","dontUpdate":true,"noteIndex":0},"citationItems":[{"id":350,"uris":["http://zotero.org/users/6698532/items/GKK9BZS5"],"itemData":{"id":350,"type":"article-journal","abstract":"Vertical heterogeneity in the physical characteristics of lakes and oceans is ecologically salient and exploited by a wide range of taxa through diel vertical migration to enhance their growth and survival. Whether analogous behaviors exploit horizontal habitat heterogeneity in streams is largely unknown. We investigated fish movement behavior at daily timescales to explore how individuals integrated across spatial variation in food abundance and water temperature. Juvenile coho salmon made feeding forays into cold habitats with abundant food, and then moved long distances (350-1300 m) to warmer habitats that accelerated their metabolism and increased their assimilative capacity. This behavioral thermoregulation enabled fish to mitigate trade-offs between trophic and thermal resources by exploiting thermal heterogeneity. Fish that exploited thermal heterogeneity grew at substantially faster rates than did individuals that assumed other behaviors. Our results provide empirical support for the importance of thermal diversity in lotic systems, and emphasize the importance of considering interactions between animal behavior and habitat heterogeneity when managing and restoring ecosystems. © 2013 by the Ecological Society of America.","container-title":"Ecology","DOI":"10.1890/12-1200.1","issue":"9","page":"2066-2075","title":"Diel horizontal migration in streams: Juvenile fish exploit spatial heterogeneity in thermal and trophic resources","volume":"94","author":[{"family":"Armstrong","given":"Jonathan B."},{"family":"Schindler","given":"Daniel E."},{"family":"Ruff","given":"Casey P."},{"family":"Brooks","given":"Gabriel T."},{"family":"Bentley","given":"Kale E."},{"family":"Torgersen","given":"Christian E."}],"issued":{"date-parts":[["2013"]]}}}],"schema":"https://github.com/citation-style-language/schema/raw/master/csl-citation.json"} </w:instrText>
      </w:r>
      <w:r w:rsidR="00191D22" w:rsidRPr="006F1F4B">
        <w:fldChar w:fldCharType="separate"/>
      </w:r>
      <w:r w:rsidR="766716F0" w:rsidRPr="006F1F4B">
        <w:t>(</w:t>
      </w:r>
      <w:r w:rsidR="7C65159D" w:rsidRPr="006F1F4B">
        <w:t xml:space="preserve">see </w:t>
      </w:r>
      <w:r w:rsidR="766716F0" w:rsidRPr="006F1F4B">
        <w:t>Armstrong et al. 2013)</w:t>
      </w:r>
      <w:r w:rsidR="00191D22" w:rsidRPr="006F1F4B">
        <w:fldChar w:fldCharType="end"/>
      </w:r>
      <w:r w:rsidR="7C65159D" w:rsidRPr="006F1F4B">
        <w:t xml:space="preserve">. Finally, we </w:t>
      </w:r>
      <w:r w:rsidR="667D9920" w:rsidRPr="006F1F4B">
        <w:t xml:space="preserve">acknowledge the limitations of visual gut content analysis </w:t>
      </w:r>
      <w:r w:rsidR="1B005563" w:rsidRPr="006F1F4B">
        <w:t xml:space="preserve">to misidentification, underrepresenting soft-tissued prey items, </w:t>
      </w:r>
      <w:r w:rsidR="49D04779" w:rsidRPr="006F1F4B">
        <w:t xml:space="preserve">and providing information on only the recent feeding history </w:t>
      </w:r>
      <w:r w:rsidR="00260BB8" w:rsidRPr="006F1F4B">
        <w:fldChar w:fldCharType="begin"/>
      </w:r>
      <w:r w:rsidR="00260BB8" w:rsidRPr="006F1F4B">
        <w:instrText xml:space="preserve"> ADDIN ZOTERO_ITEM CSL_CITATION {"citationID":"gMlBhYVw","properties":{"formattedCitation":"(Amundsen and S\\uc0\\u225{}nchez-Hern\\uc0\\u225{}ndez 2019)","plainCitation":"(Amundsen and Sánchez-Hernández 2019)","noteIndex":0},"citationItems":[{"id":739,"uris":["http://zotero.org/users/6698532/items/KK9KUANM"],"itemData":{"id":739,"type":"article-journal","abstract":"Studies on the feeding ecology of fish are essential for exploring and contrasting trophic interactions and population and community dynamics within and among aquatic ecosystems. In this respect, many different methods have been adopted for the analysis of fish stomach contents. No consensus has, however, been reached for a standardised methodology despite that for several decades there has been an ongoing debate about which methodical approaches that should be preferred. Here, we critically review and scrutinise methods, addressing their strengths and weaknesses and emphasising inherent problems and possible pitfalls in their use. Although our critical assessment reveals that no completely ideal approach exists, appropriate and reliable procedures can be adopted through careful considerations and implementation. In particular, we advocate that different objectives require different methodical approaches and the choice of method should therefore be closely linked to the research questions that are addressed. For a standardisation of methods, we recommend a combination of the relative-fullness and presence–absence methods as the optimal approach for the commonly applied feeding studies addressing relative dietary composition in terms of prey diversity and abundance. Additionally, we recommend the gravimetric method for objectives related to the quantification of food consumption rates and the numerical method for prey selection studies. DNA-based dietary analysis provides a new and promising complementary approach to visual examination of stomach contents, although some technical challenges still exist. The suggested method standardisation facilitates comparisons across species, ecosystems and time and will enhance the applicability and benefits of fish feeding studies in trophic ecology research.","container-title":"Journal of Fish Biology","DOI":"10.1111/jfb.14151","issue":"95","page":"1364-1373","title":"Feeding studies take guts – critical review and recommendations of methods for stomach contents analysis in fish","author":[{"family":"Amundsen","given":"Per Arne"},{"family":"Sánchez-Hernández","given":"Javier"}],"issued":{"date-parts":[["2019"]]}}}],"schema":"https://github.com/citation-style-language/schema/raw/master/csl-citation.json"} </w:instrText>
      </w:r>
      <w:r w:rsidR="00260BB8" w:rsidRPr="006F1F4B">
        <w:fldChar w:fldCharType="separate"/>
      </w:r>
      <w:r w:rsidR="00A70399" w:rsidRPr="00A70399">
        <w:rPr>
          <w:szCs w:val="24"/>
        </w:rPr>
        <w:t>(Amundsen and Sánchez-Hernández 2019)</w:t>
      </w:r>
      <w:r w:rsidR="00260BB8" w:rsidRPr="006F1F4B">
        <w:fldChar w:fldCharType="end"/>
      </w:r>
      <w:r w:rsidR="4CEFFDCA" w:rsidRPr="006F1F4B">
        <w:t xml:space="preserve">. The </w:t>
      </w:r>
      <w:r w:rsidR="005264B3">
        <w:t>improvement</w:t>
      </w:r>
      <w:r w:rsidR="4CEFFDCA" w:rsidRPr="006F1F4B">
        <w:t xml:space="preserve"> of gut content analyses with </w:t>
      </w:r>
      <w:r w:rsidR="00C036C9">
        <w:t xml:space="preserve">metabarcoding or </w:t>
      </w:r>
      <w:r w:rsidR="00323F09">
        <w:t>integration of</w:t>
      </w:r>
      <w:r w:rsidR="00C036C9">
        <w:t xml:space="preserve"> </w:t>
      </w:r>
      <w:r w:rsidR="4CEFFDCA" w:rsidRPr="006F1F4B">
        <w:t>stable isotope or fatty acid</w:t>
      </w:r>
      <w:r w:rsidR="6B601DCF" w:rsidRPr="006F1F4B">
        <w:t xml:space="preserve"> analys</w:t>
      </w:r>
      <w:r w:rsidR="00323F09">
        <w:t>e</w:t>
      </w:r>
      <w:r w:rsidR="6B601DCF" w:rsidRPr="006F1F4B">
        <w:t>s</w:t>
      </w:r>
      <w:r w:rsidR="00323F09">
        <w:t xml:space="preserve"> could </w:t>
      </w:r>
      <w:r w:rsidR="6B601DCF" w:rsidRPr="006F1F4B">
        <w:t xml:space="preserve">provide a deeper understanding on the history of feeding by individuals and populations </w:t>
      </w:r>
      <w:r w:rsidR="000B4C9A" w:rsidRPr="006F1F4B">
        <w:fldChar w:fldCharType="begin"/>
      </w:r>
      <w:r w:rsidR="000B4C9A" w:rsidRPr="006F1F4B">
        <w:instrText xml:space="preserve"> ADDIN ZOTERO_ITEM CSL_CITATION {"citationID":"PwueBK48","properties":{"formattedCitation":"(Giraldo et al. 2016)","plainCitation":"(Giraldo et al. 2016)","noteIndex":0},"citationItems":[{"id":1554,"uris":["http://zotero.org/users/6698532/items/Q3ITY29F"],"itemData":{"id":1554,"type":"article-journal","abstract":"© 2015, Springer-Verlag Berlin Heidelberg.  Trophic ecology of most demersal Arctic fishes remains one of the major knowledge gaps for understanding food web dynamics and connectivity among ecosystems. In this study, fatty acids (FA) and stable isotopes (SI) were used to study the feeding ecology of seven species (n = 106) of the most abundant benthic fishes (eelpouts, sculpins and agonids) in the Canadian Beaufort Sea from shallow (20–75 m), slope (200–350 m) and deep (500–1000 m) habitats. Both FA and SI results revealed among- and within-species variability in diet composition. Correspondence analysis of FA signatures identified high within-species variability in diet, resulting in high overlap among species. Calanus-derived FA were present in all species (Calanus markers up to 13 % of total FA) and were particularly important in Ribbed Sculpin, Adolf’s and Longear Eelpout collected in deep habitats, suggesting a strong contribution of pelagic-derived FA to benthic fish communities. Incorporation of this signal in the benthos may result from either direct consumption of deep overwintering copepods (i.e., off-bottom feeding) or through detrital accumulation in benthic invertebrate prey. Mean SI values differed among species and indicated that a large range of trophic positions (δ 15 N varied from 14.09 to 17.71 ‰ for Canadian Eelpout and Adolf’s Eelpout, respectively) and carbon dietary sources are preyed upon (δ 13 C range from −21.13 to −23.85 ‰ for Longear Eelpout and Ribbed Sculpin, respectively). SI analyses suggested that most species examined were low- to mid-trophic generalist benthic carnivores, with the exception of Ribbed Sculpin, which was a low-trophic pelagic predator.","container-title":"Polar Biology","DOI":"10.1007/s00300-015-1851-4","issue":"7","note":"publisher: Springer Berlin Heidelberg","page":"1267-1282","title":"Trophic variability of Arctic fishes in the Canadian Beaufort Sea: a fatty acids and stable isotopes approach","volume":"39","author":[{"family":"Giraldo","given":"Carolina"},{"family":"Stasko","given":"Ashley"},{"family":"Choy","given":"Emily S."},{"family":"Rosenberg","given":"Bruno"},{"family":"Majewski","given":"Andrew"},{"family":"Power","given":"Michael"},{"family":"Swanson","given":"Heidi"},{"family":"Loseto","given":"Lisa"},{"family":"Reist","given":"James D."}],"issued":{"date-parts":[["2016"]]}}}],"schema":"https://github.com/citation-style-language/schema/raw/master/csl-citation.json"} </w:instrText>
      </w:r>
      <w:r w:rsidR="000B4C9A" w:rsidRPr="006F1F4B">
        <w:fldChar w:fldCharType="separate"/>
      </w:r>
      <w:r w:rsidR="00A70399" w:rsidRPr="00A70399">
        <w:t>(Giraldo et al. 2016)</w:t>
      </w:r>
      <w:r w:rsidR="000B4C9A" w:rsidRPr="006F1F4B">
        <w:fldChar w:fldCharType="end"/>
      </w:r>
      <w:r w:rsidR="007C2FEA">
        <w:t>, albeit at increased cost to researchers</w:t>
      </w:r>
      <w:r w:rsidR="72D4669B" w:rsidRPr="006F1F4B">
        <w:t xml:space="preserve">. </w:t>
      </w:r>
    </w:p>
    <w:p w14:paraId="14800EA6" w14:textId="277513D1" w:rsidR="008A637F" w:rsidRPr="006F1F4B" w:rsidRDefault="4A749797" w:rsidP="002760C0">
      <w:pPr>
        <w:ind w:firstLine="720"/>
      </w:pPr>
      <w:r w:rsidRPr="006F1F4B">
        <w:t xml:space="preserve">Despite the caveats above, our analyses have </w:t>
      </w:r>
      <w:r w:rsidR="46550CAC" w:rsidRPr="006F1F4B">
        <w:t>documented</w:t>
      </w:r>
      <w:r w:rsidRPr="006F1F4B">
        <w:t xml:space="preserve"> differences between two important predators feeding on a resource pulse in the same system</w:t>
      </w:r>
      <w:r w:rsidR="2E69AB11" w:rsidRPr="006F1F4B">
        <w:t>.</w:t>
      </w:r>
      <w:r w:rsidR="5FA00FB3" w:rsidRPr="006F1F4B">
        <w:t xml:space="preserve"> </w:t>
      </w:r>
      <w:r w:rsidR="3709754E" w:rsidRPr="006F1F4B">
        <w:t xml:space="preserve">Predator responses to the resource pulse and differences in feeding </w:t>
      </w:r>
      <w:r w:rsidR="5FA00FB3" w:rsidRPr="006F1F4B">
        <w:t xml:space="preserve">are directly reflective of their life history traits </w:t>
      </w:r>
      <w:r w:rsidR="77E78E58" w:rsidRPr="006F1F4B">
        <w:t>(</w:t>
      </w:r>
      <w:r w:rsidR="7E4E24BC" w:rsidRPr="006F1F4B">
        <w:t xml:space="preserve">e.g., </w:t>
      </w:r>
      <w:r w:rsidR="77E78E58" w:rsidRPr="006F1F4B">
        <w:t xml:space="preserve">migratory vs resident) </w:t>
      </w:r>
      <w:r w:rsidR="5FA00FB3" w:rsidRPr="006F1F4B">
        <w:t>and broader ecology</w:t>
      </w:r>
      <w:r w:rsidR="2685A659" w:rsidRPr="006F1F4B">
        <w:t xml:space="preserve"> (</w:t>
      </w:r>
      <w:r w:rsidR="51818355" w:rsidRPr="006F1F4B">
        <w:t xml:space="preserve">e.g., </w:t>
      </w:r>
      <w:r w:rsidR="2685A659" w:rsidRPr="006F1F4B">
        <w:t>mobile vs sedentary, small vs large)</w:t>
      </w:r>
      <w:r w:rsidR="6AB24B8B" w:rsidRPr="006F1F4B">
        <w:t>.</w:t>
      </w:r>
      <w:r w:rsidR="04CC5DED" w:rsidRPr="006F1F4B">
        <w:t xml:space="preserve"> </w:t>
      </w:r>
      <w:r w:rsidR="66B65A9A" w:rsidRPr="006F1F4B">
        <w:t>Regardless of</w:t>
      </w:r>
      <w:r w:rsidR="04CC5DED" w:rsidRPr="006F1F4B">
        <w:t xml:space="preserve"> differences in life history and ecology, both predators were able to exploit the </w:t>
      </w:r>
      <w:r w:rsidR="773D2A39" w:rsidRPr="006F1F4B">
        <w:t xml:space="preserve">dynamic </w:t>
      </w:r>
      <w:r w:rsidR="04CC5DED" w:rsidRPr="006F1F4B">
        <w:t>summer prey pulse in Tremblay Soun</w:t>
      </w:r>
      <w:r w:rsidR="4371431E" w:rsidRPr="006F1F4B">
        <w:t xml:space="preserve">d. </w:t>
      </w:r>
      <w:r w:rsidR="06293781" w:rsidRPr="006F1F4B">
        <w:lastRenderedPageBreak/>
        <w:t>However, p</w:t>
      </w:r>
      <w:r w:rsidR="09639F40" w:rsidRPr="006F1F4B">
        <w:t xml:space="preserve">rimary productivity in high Arctic systems is at risk from shifts in sea-ice phenology due to climate change. </w:t>
      </w:r>
      <w:r w:rsidR="56F97B9A" w:rsidRPr="006F1F4B">
        <w:t>A completely ice-free summer is a likely possibility in the near future (Overland and Wang 2013, Wang and Overland 2012)</w:t>
      </w:r>
      <w:r w:rsidR="63C6A862" w:rsidRPr="006F1F4B">
        <w:t xml:space="preserve">, with implications for </w:t>
      </w:r>
      <w:r w:rsidR="562AA119" w:rsidRPr="006F1F4B">
        <w:t>prey pulses</w:t>
      </w:r>
      <w:r w:rsidR="63C6A862" w:rsidRPr="006F1F4B">
        <w:t xml:space="preserve"> and the consumers that exploit them</w:t>
      </w:r>
      <w:r w:rsidR="56F97B9A" w:rsidRPr="006F1F4B">
        <w:t>.</w:t>
      </w:r>
      <w:r w:rsidR="45F9E7EB" w:rsidRPr="006F1F4B">
        <w:t xml:space="preserve"> Both predators in this study demonstrated </w:t>
      </w:r>
      <w:r w:rsidR="4343B24E" w:rsidRPr="006F1F4B">
        <w:t>diet plasticity</w:t>
      </w:r>
      <w:r w:rsidR="4CF038FD" w:rsidRPr="006F1F4B">
        <w:t xml:space="preserve"> and the ability to feed at high rates</w:t>
      </w:r>
      <w:r w:rsidR="4343B24E" w:rsidRPr="006F1F4B">
        <w:t>,</w:t>
      </w:r>
      <w:r w:rsidR="27F45707" w:rsidRPr="006F1F4B">
        <w:t xml:space="preserve"> which could indicate </w:t>
      </w:r>
      <w:r w:rsidR="546DDD50" w:rsidRPr="006F1F4B">
        <w:t>resilience to climate related shifts in prey a</w:t>
      </w:r>
      <w:r w:rsidR="1F5BBD28" w:rsidRPr="006F1F4B">
        <w:t>vailability</w:t>
      </w:r>
      <w:r w:rsidR="4E1EACA7" w:rsidRPr="006F1F4B">
        <w:t xml:space="preserve"> and abundance</w:t>
      </w:r>
      <w:r w:rsidR="1F5BBD28" w:rsidRPr="006F1F4B">
        <w:t>.</w:t>
      </w:r>
      <w:r w:rsidR="27AE8F51" w:rsidRPr="006F1F4B">
        <w:t xml:space="preserve"> </w:t>
      </w:r>
      <w:r w:rsidR="000D3551" w:rsidRPr="006F1F4B">
        <w:t xml:space="preserve">Despite consistencies </w:t>
      </w:r>
      <w:r w:rsidR="0027316D" w:rsidRPr="006F1F4B">
        <w:t xml:space="preserve">in the two predator types </w:t>
      </w:r>
      <w:r w:rsidR="008A3C85" w:rsidRPr="006F1F4B">
        <w:t xml:space="preserve">here in being capable of exploiting the Arctic </w:t>
      </w:r>
      <w:r w:rsidR="00E1234C" w:rsidRPr="006F1F4B">
        <w:t>resource pulse</w:t>
      </w:r>
      <w:r w:rsidR="007971FE" w:rsidRPr="006F1F4B">
        <w:t xml:space="preserve">, the </w:t>
      </w:r>
      <w:r w:rsidR="009B4C43" w:rsidRPr="006F1F4B">
        <w:t xml:space="preserve">patterns </w:t>
      </w:r>
      <w:r w:rsidR="00DE3FB0" w:rsidRPr="006F1F4B">
        <w:t xml:space="preserve">observed differed in </w:t>
      </w:r>
      <w:r w:rsidR="00C624DA" w:rsidRPr="006F1F4B">
        <w:t xml:space="preserve">a manner </w:t>
      </w:r>
      <w:r w:rsidR="003F550D" w:rsidRPr="006F1F4B">
        <w:t>reflecting the life history patterns of the predators themselves.</w:t>
      </w:r>
      <w:r w:rsidR="008A637F" w:rsidRPr="006F1F4B">
        <w:br w:type="page"/>
      </w:r>
    </w:p>
    <w:p w14:paraId="1E308350" w14:textId="6DD4B712" w:rsidR="0BF3989D" w:rsidRPr="006F1F4B" w:rsidRDefault="006E3566" w:rsidP="00D13D88">
      <w:pPr>
        <w:pStyle w:val="Heading1"/>
      </w:pPr>
      <w:r w:rsidRPr="006F1F4B">
        <w:lastRenderedPageBreak/>
        <w:t>Tables</w:t>
      </w:r>
    </w:p>
    <w:p w14:paraId="54EB0400" w14:textId="01B7DBF7" w:rsidR="25FBD7F8" w:rsidRPr="006F1F4B" w:rsidRDefault="00484AE9" w:rsidP="00D13D88">
      <w:r w:rsidRPr="006F1F4B">
        <w:rPr>
          <w:rStyle w:val="TitleChar"/>
        </w:rPr>
        <w:t>Table 1.</w:t>
      </w:r>
      <w:r w:rsidRPr="006F1F4B">
        <w:t xml:space="preserve"> </w:t>
      </w:r>
      <w:r w:rsidR="003E31F4" w:rsidRPr="006F1F4B">
        <w:t xml:space="preserve">Summary of Arctic char and </w:t>
      </w:r>
      <w:r w:rsidR="006E24D9">
        <w:t>s</w:t>
      </w:r>
      <w:r w:rsidR="003E31F4" w:rsidRPr="006F1F4B">
        <w:t>culpin</w:t>
      </w:r>
      <w:r w:rsidR="006E24D9">
        <w:t>s</w:t>
      </w:r>
      <w:r w:rsidR="003E31F4" w:rsidRPr="006F1F4B">
        <w:t xml:space="preserve"> from which stomachs were collected</w:t>
      </w:r>
      <w:r w:rsidR="00F331BE">
        <w:t xml:space="preserve"> with sub</w:t>
      </w:r>
      <w:r w:rsidR="00CE0C48">
        <w:t>sets</w:t>
      </w:r>
      <w:r w:rsidR="00F331BE">
        <w:t xml:space="preserve"> across sampling years</w:t>
      </w:r>
      <w:r w:rsidR="003E31F4" w:rsidRPr="006F1F4B">
        <w:t>. Metrics of condition are hepatosomatic index (HSI), gonadosomatic index (GSI), and Fulton’s K. Values shown are mean (±S</w:t>
      </w:r>
      <w:r w:rsidR="00D86E06" w:rsidRPr="006F1F4B">
        <w:t>D</w:t>
      </w:r>
      <w:r w:rsidR="003E31F4" w:rsidRPr="006F1F4B">
        <w:t>).</w:t>
      </w:r>
    </w:p>
    <w:tbl>
      <w:tblPr>
        <w:tblStyle w:val="TableGrid"/>
        <w:tblW w:w="9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tblCellMar>
        <w:tblLook w:val="04A0" w:firstRow="1" w:lastRow="0" w:firstColumn="1" w:lastColumn="0" w:noHBand="0" w:noVBand="1"/>
      </w:tblPr>
      <w:tblGrid>
        <w:gridCol w:w="1530"/>
        <w:gridCol w:w="1246"/>
        <w:gridCol w:w="1248"/>
        <w:gridCol w:w="1218"/>
        <w:gridCol w:w="1237"/>
        <w:gridCol w:w="1228"/>
        <w:gridCol w:w="1488"/>
      </w:tblGrid>
      <w:tr w:rsidR="004B05C6" w:rsidRPr="006F1F4B" w14:paraId="73F37B89" w14:textId="685A9EB0" w:rsidTr="004B05C6">
        <w:tc>
          <w:tcPr>
            <w:tcW w:w="1530" w:type="dxa"/>
            <w:tcBorders>
              <w:bottom w:val="double" w:sz="4" w:space="0" w:color="auto"/>
            </w:tcBorders>
            <w:vAlign w:val="center"/>
          </w:tcPr>
          <w:p w14:paraId="0DA017C8" w14:textId="0AE43A9A" w:rsidR="004B05C6" w:rsidRPr="000A6532" w:rsidRDefault="004B05C6" w:rsidP="004B05C6">
            <w:pPr>
              <w:spacing w:line="240" w:lineRule="auto"/>
              <w:rPr>
                <w:b/>
                <w:bCs/>
              </w:rPr>
            </w:pPr>
            <w:r w:rsidRPr="000A6532">
              <w:rPr>
                <w:b/>
                <w:bCs/>
              </w:rPr>
              <w:t>Species</w:t>
            </w:r>
            <w:r>
              <w:rPr>
                <w:b/>
                <w:bCs/>
              </w:rPr>
              <w:t xml:space="preserve"> --Year</w:t>
            </w:r>
          </w:p>
        </w:tc>
        <w:tc>
          <w:tcPr>
            <w:tcW w:w="1246" w:type="dxa"/>
            <w:tcBorders>
              <w:bottom w:val="double" w:sz="4" w:space="0" w:color="auto"/>
            </w:tcBorders>
            <w:vAlign w:val="center"/>
          </w:tcPr>
          <w:p w14:paraId="51BCFBD1" w14:textId="13C6F694" w:rsidR="004B05C6" w:rsidRPr="000A6532" w:rsidRDefault="004B05C6" w:rsidP="004B05C6">
            <w:pPr>
              <w:spacing w:line="240" w:lineRule="auto"/>
              <w:rPr>
                <w:b/>
                <w:bCs/>
              </w:rPr>
            </w:pPr>
            <w:r>
              <w:rPr>
                <w:b/>
                <w:bCs/>
              </w:rPr>
              <w:t xml:space="preserve"> n</w:t>
            </w:r>
          </w:p>
        </w:tc>
        <w:tc>
          <w:tcPr>
            <w:tcW w:w="1248" w:type="dxa"/>
            <w:tcBorders>
              <w:bottom w:val="double" w:sz="4" w:space="0" w:color="auto"/>
            </w:tcBorders>
            <w:vAlign w:val="center"/>
          </w:tcPr>
          <w:p w14:paraId="30DCB7B0" w14:textId="77777777" w:rsidR="004B05C6" w:rsidRPr="000A6532" w:rsidRDefault="004B05C6" w:rsidP="004B05C6">
            <w:pPr>
              <w:spacing w:line="240" w:lineRule="auto"/>
              <w:rPr>
                <w:b/>
                <w:bCs/>
              </w:rPr>
            </w:pPr>
            <w:r w:rsidRPr="000A6532">
              <w:rPr>
                <w:b/>
                <w:bCs/>
              </w:rPr>
              <w:t xml:space="preserve">Mass </w:t>
            </w:r>
          </w:p>
          <w:p w14:paraId="5A15688D" w14:textId="34A81FE7" w:rsidR="004B05C6" w:rsidRPr="000A6532" w:rsidRDefault="004B05C6" w:rsidP="004B05C6">
            <w:pPr>
              <w:spacing w:line="240" w:lineRule="auto"/>
              <w:rPr>
                <w:b/>
                <w:bCs/>
              </w:rPr>
            </w:pPr>
            <w:r w:rsidRPr="000A6532">
              <w:rPr>
                <w:b/>
                <w:bCs/>
              </w:rPr>
              <w:t>(g)</w:t>
            </w:r>
          </w:p>
        </w:tc>
        <w:tc>
          <w:tcPr>
            <w:tcW w:w="1218" w:type="dxa"/>
            <w:tcBorders>
              <w:bottom w:val="double" w:sz="4" w:space="0" w:color="auto"/>
            </w:tcBorders>
            <w:vAlign w:val="center"/>
          </w:tcPr>
          <w:p w14:paraId="207B73AE" w14:textId="77777777" w:rsidR="004B05C6" w:rsidRPr="000A6532" w:rsidRDefault="004B05C6" w:rsidP="004B05C6">
            <w:pPr>
              <w:spacing w:line="240" w:lineRule="auto"/>
              <w:rPr>
                <w:b/>
                <w:bCs/>
              </w:rPr>
            </w:pPr>
            <w:r w:rsidRPr="000A6532">
              <w:rPr>
                <w:b/>
                <w:bCs/>
              </w:rPr>
              <w:t xml:space="preserve">TL </w:t>
            </w:r>
          </w:p>
          <w:p w14:paraId="0258CB15" w14:textId="1E7F9B74" w:rsidR="004B05C6" w:rsidRPr="000A6532" w:rsidRDefault="004B05C6" w:rsidP="004B05C6">
            <w:pPr>
              <w:spacing w:line="240" w:lineRule="auto"/>
              <w:rPr>
                <w:b/>
                <w:bCs/>
              </w:rPr>
            </w:pPr>
            <w:r w:rsidRPr="000A6532">
              <w:rPr>
                <w:b/>
                <w:bCs/>
              </w:rPr>
              <w:t>(cm)</w:t>
            </w:r>
          </w:p>
        </w:tc>
        <w:tc>
          <w:tcPr>
            <w:tcW w:w="1237" w:type="dxa"/>
            <w:tcBorders>
              <w:bottom w:val="double" w:sz="4" w:space="0" w:color="auto"/>
            </w:tcBorders>
            <w:vAlign w:val="center"/>
          </w:tcPr>
          <w:p w14:paraId="2163279D" w14:textId="36CD24B3" w:rsidR="004B05C6" w:rsidRPr="000A6532" w:rsidRDefault="004B05C6" w:rsidP="004B05C6">
            <w:pPr>
              <w:spacing w:line="240" w:lineRule="auto"/>
              <w:rPr>
                <w:b/>
                <w:bCs/>
              </w:rPr>
            </w:pPr>
            <w:r w:rsidRPr="000A6532">
              <w:rPr>
                <w:b/>
                <w:bCs/>
              </w:rPr>
              <w:t>Fulton’s K</w:t>
            </w:r>
          </w:p>
        </w:tc>
        <w:tc>
          <w:tcPr>
            <w:tcW w:w="1228" w:type="dxa"/>
            <w:tcBorders>
              <w:bottom w:val="double" w:sz="4" w:space="0" w:color="auto"/>
            </w:tcBorders>
            <w:vAlign w:val="center"/>
          </w:tcPr>
          <w:p w14:paraId="4E949403" w14:textId="367B3A22" w:rsidR="004B05C6" w:rsidRPr="000A6532" w:rsidRDefault="004B05C6" w:rsidP="004B05C6">
            <w:pPr>
              <w:spacing w:line="240" w:lineRule="auto"/>
              <w:rPr>
                <w:b/>
                <w:bCs/>
              </w:rPr>
            </w:pPr>
            <w:r>
              <w:rPr>
                <w:b/>
                <w:bCs/>
              </w:rPr>
              <w:t>% Empty</w:t>
            </w:r>
          </w:p>
        </w:tc>
        <w:tc>
          <w:tcPr>
            <w:tcW w:w="1488" w:type="dxa"/>
            <w:tcBorders>
              <w:bottom w:val="double" w:sz="4" w:space="0" w:color="auto"/>
            </w:tcBorders>
            <w:vAlign w:val="center"/>
          </w:tcPr>
          <w:p w14:paraId="34FF0FA8" w14:textId="3071F67B" w:rsidR="004B05C6" w:rsidRPr="000A6532" w:rsidRDefault="004B05C6" w:rsidP="004B05C6">
            <w:pPr>
              <w:spacing w:line="240" w:lineRule="auto"/>
              <w:rPr>
                <w:b/>
                <w:bCs/>
              </w:rPr>
            </w:pPr>
            <w:r>
              <w:rPr>
                <w:b/>
                <w:bCs/>
              </w:rPr>
              <w:t>Relative Consumption</w:t>
            </w:r>
          </w:p>
        </w:tc>
      </w:tr>
      <w:tr w:rsidR="004B05C6" w:rsidRPr="006F1F4B" w14:paraId="4E833A9F" w14:textId="13F8EC00" w:rsidTr="004B05C6">
        <w:trPr>
          <w:trHeight w:val="786"/>
        </w:trPr>
        <w:tc>
          <w:tcPr>
            <w:tcW w:w="1530" w:type="dxa"/>
            <w:tcBorders>
              <w:top w:val="double" w:sz="4" w:space="0" w:color="auto"/>
            </w:tcBorders>
            <w:vAlign w:val="center"/>
          </w:tcPr>
          <w:p w14:paraId="5ED73E3D" w14:textId="73C67574" w:rsidR="004B05C6" w:rsidRPr="006F1F4B" w:rsidRDefault="004B05C6" w:rsidP="004B05C6">
            <w:pPr>
              <w:spacing w:line="240" w:lineRule="auto"/>
            </w:pPr>
            <w:r w:rsidRPr="006F1F4B">
              <w:t>Arctic char</w:t>
            </w:r>
          </w:p>
        </w:tc>
        <w:tc>
          <w:tcPr>
            <w:tcW w:w="1246" w:type="dxa"/>
            <w:tcBorders>
              <w:top w:val="double" w:sz="4" w:space="0" w:color="auto"/>
            </w:tcBorders>
            <w:vAlign w:val="center"/>
          </w:tcPr>
          <w:p w14:paraId="027B9397" w14:textId="72159F64" w:rsidR="004B05C6" w:rsidRPr="006F1F4B" w:rsidRDefault="004B05C6" w:rsidP="004B05C6">
            <w:pPr>
              <w:spacing w:line="240" w:lineRule="auto"/>
            </w:pPr>
            <w:r>
              <w:t xml:space="preserve"> </w:t>
            </w:r>
            <w:r w:rsidRPr="006F1F4B">
              <w:t>91</w:t>
            </w:r>
          </w:p>
        </w:tc>
        <w:tc>
          <w:tcPr>
            <w:tcW w:w="1248" w:type="dxa"/>
            <w:tcBorders>
              <w:top w:val="double" w:sz="4" w:space="0" w:color="auto"/>
            </w:tcBorders>
            <w:vAlign w:val="center"/>
          </w:tcPr>
          <w:p w14:paraId="59D9AAC5" w14:textId="2406EDEC" w:rsidR="004B05C6" w:rsidRPr="006F1F4B" w:rsidRDefault="004B05C6" w:rsidP="004B05C6">
            <w:pPr>
              <w:spacing w:line="240" w:lineRule="auto"/>
            </w:pPr>
            <w:r w:rsidRPr="006F1F4B">
              <w:t>2609.2 (±1494.4)</w:t>
            </w:r>
          </w:p>
        </w:tc>
        <w:tc>
          <w:tcPr>
            <w:tcW w:w="1218" w:type="dxa"/>
            <w:tcBorders>
              <w:top w:val="double" w:sz="4" w:space="0" w:color="auto"/>
            </w:tcBorders>
            <w:vAlign w:val="center"/>
          </w:tcPr>
          <w:p w14:paraId="38058911" w14:textId="0CBB1187" w:rsidR="004B05C6" w:rsidRPr="006F1F4B" w:rsidRDefault="004B05C6" w:rsidP="004B05C6">
            <w:pPr>
              <w:spacing w:line="240" w:lineRule="auto"/>
            </w:pPr>
            <w:r w:rsidRPr="006F1F4B">
              <w:t xml:space="preserve">62.1 </w:t>
            </w:r>
          </w:p>
          <w:p w14:paraId="0E793A23" w14:textId="588F4E48" w:rsidR="004B05C6" w:rsidRPr="006F1F4B" w:rsidRDefault="004B05C6" w:rsidP="004B05C6">
            <w:pPr>
              <w:spacing w:line="240" w:lineRule="auto"/>
            </w:pPr>
            <w:r w:rsidRPr="006F1F4B">
              <w:t>(±15.7)</w:t>
            </w:r>
          </w:p>
        </w:tc>
        <w:tc>
          <w:tcPr>
            <w:tcW w:w="1237" w:type="dxa"/>
            <w:tcBorders>
              <w:top w:val="double" w:sz="4" w:space="0" w:color="auto"/>
            </w:tcBorders>
            <w:vAlign w:val="center"/>
          </w:tcPr>
          <w:p w14:paraId="282C81FB" w14:textId="3E395303" w:rsidR="004B05C6" w:rsidRPr="006F1F4B" w:rsidRDefault="004B05C6" w:rsidP="004B05C6">
            <w:pPr>
              <w:spacing w:line="240" w:lineRule="auto"/>
            </w:pPr>
            <w:r w:rsidRPr="006F1F4B">
              <w:t>914.1 (±176.5)</w:t>
            </w:r>
          </w:p>
        </w:tc>
        <w:tc>
          <w:tcPr>
            <w:tcW w:w="1228" w:type="dxa"/>
            <w:tcBorders>
              <w:top w:val="double" w:sz="4" w:space="0" w:color="auto"/>
            </w:tcBorders>
            <w:vAlign w:val="center"/>
          </w:tcPr>
          <w:p w14:paraId="787295BA" w14:textId="1297F036" w:rsidR="004B05C6" w:rsidRPr="006F1F4B" w:rsidRDefault="009516F7" w:rsidP="004B05C6">
            <w:pPr>
              <w:spacing w:line="240" w:lineRule="auto"/>
            </w:pPr>
            <w:r>
              <w:t>3.33</w:t>
            </w:r>
          </w:p>
        </w:tc>
        <w:tc>
          <w:tcPr>
            <w:tcW w:w="1488" w:type="dxa"/>
            <w:tcBorders>
              <w:top w:val="double" w:sz="4" w:space="0" w:color="auto"/>
            </w:tcBorders>
            <w:vAlign w:val="center"/>
          </w:tcPr>
          <w:p w14:paraId="63DA1787" w14:textId="77777777" w:rsidR="00605750" w:rsidRDefault="00CD42B8" w:rsidP="004B05C6">
            <w:pPr>
              <w:spacing w:line="240" w:lineRule="auto"/>
            </w:pPr>
            <w:r>
              <w:t>1.92</w:t>
            </w:r>
          </w:p>
          <w:p w14:paraId="5EE6F7EE" w14:textId="7388D82C" w:rsidR="004B05C6" w:rsidRPr="006F1F4B" w:rsidRDefault="00605750" w:rsidP="004B05C6">
            <w:pPr>
              <w:spacing w:line="240" w:lineRule="auto"/>
            </w:pPr>
            <w:r w:rsidRPr="006F1F4B">
              <w:t>(±</w:t>
            </w:r>
            <w:r>
              <w:t>1.38)</w:t>
            </w:r>
          </w:p>
        </w:tc>
      </w:tr>
      <w:tr w:rsidR="004B05C6" w:rsidRPr="006F1F4B" w14:paraId="30BD04D5" w14:textId="0116E194" w:rsidTr="004B05C6">
        <w:trPr>
          <w:trHeight w:val="497"/>
        </w:trPr>
        <w:tc>
          <w:tcPr>
            <w:tcW w:w="1530" w:type="dxa"/>
            <w:vAlign w:val="center"/>
          </w:tcPr>
          <w:p w14:paraId="43EB2E4E" w14:textId="77EA3606" w:rsidR="004B05C6" w:rsidRPr="00187271" w:rsidRDefault="004B05C6" w:rsidP="004B05C6">
            <w:pPr>
              <w:spacing w:line="240" w:lineRule="auto"/>
              <w:jc w:val="right"/>
              <w:rPr>
                <w:sz w:val="20"/>
                <w:szCs w:val="20"/>
              </w:rPr>
            </w:pPr>
            <w:r w:rsidRPr="00187271">
              <w:rPr>
                <w:sz w:val="20"/>
                <w:szCs w:val="20"/>
              </w:rPr>
              <w:t>--2017</w:t>
            </w:r>
          </w:p>
        </w:tc>
        <w:tc>
          <w:tcPr>
            <w:tcW w:w="1246" w:type="dxa"/>
            <w:vAlign w:val="center"/>
          </w:tcPr>
          <w:p w14:paraId="305C3F5A" w14:textId="4290A7DA" w:rsidR="004B05C6" w:rsidRPr="00187271" w:rsidRDefault="004B05C6" w:rsidP="004B05C6">
            <w:pPr>
              <w:spacing w:line="240" w:lineRule="auto"/>
              <w:rPr>
                <w:sz w:val="20"/>
                <w:szCs w:val="20"/>
              </w:rPr>
            </w:pPr>
            <w:r>
              <w:rPr>
                <w:sz w:val="20"/>
                <w:szCs w:val="20"/>
              </w:rPr>
              <w:t xml:space="preserve"> </w:t>
            </w:r>
            <w:r w:rsidRPr="00187271">
              <w:rPr>
                <w:sz w:val="20"/>
                <w:szCs w:val="20"/>
              </w:rPr>
              <w:t>37</w:t>
            </w:r>
          </w:p>
        </w:tc>
        <w:tc>
          <w:tcPr>
            <w:tcW w:w="1248" w:type="dxa"/>
            <w:vAlign w:val="center"/>
          </w:tcPr>
          <w:p w14:paraId="5DF73171" w14:textId="593D76FC" w:rsidR="004B05C6" w:rsidRPr="00187271" w:rsidRDefault="004B05C6" w:rsidP="004B05C6">
            <w:pPr>
              <w:spacing w:line="240" w:lineRule="auto"/>
              <w:rPr>
                <w:sz w:val="20"/>
                <w:szCs w:val="20"/>
              </w:rPr>
            </w:pPr>
            <w:r w:rsidRPr="00187271">
              <w:rPr>
                <w:sz w:val="20"/>
                <w:szCs w:val="20"/>
              </w:rPr>
              <w:t>1956.4 (±1397.8)</w:t>
            </w:r>
          </w:p>
        </w:tc>
        <w:tc>
          <w:tcPr>
            <w:tcW w:w="1218" w:type="dxa"/>
            <w:vAlign w:val="center"/>
          </w:tcPr>
          <w:p w14:paraId="70BA598E" w14:textId="77777777" w:rsidR="004B05C6" w:rsidRDefault="004B05C6" w:rsidP="004B05C6">
            <w:pPr>
              <w:spacing w:line="240" w:lineRule="auto"/>
              <w:rPr>
                <w:sz w:val="20"/>
                <w:szCs w:val="20"/>
              </w:rPr>
            </w:pPr>
            <w:r w:rsidRPr="00187271">
              <w:rPr>
                <w:sz w:val="20"/>
                <w:szCs w:val="20"/>
              </w:rPr>
              <w:t>55.4</w:t>
            </w:r>
          </w:p>
          <w:p w14:paraId="6F309C68" w14:textId="6DD32715" w:rsidR="004B05C6" w:rsidRPr="00187271" w:rsidRDefault="004B05C6" w:rsidP="004B05C6">
            <w:pPr>
              <w:spacing w:line="240" w:lineRule="auto"/>
              <w:rPr>
                <w:sz w:val="20"/>
                <w:szCs w:val="20"/>
              </w:rPr>
            </w:pPr>
            <w:r w:rsidRPr="00187271">
              <w:rPr>
                <w:sz w:val="20"/>
                <w:szCs w:val="20"/>
              </w:rPr>
              <w:t>(±17.2)</w:t>
            </w:r>
          </w:p>
        </w:tc>
        <w:tc>
          <w:tcPr>
            <w:tcW w:w="1237" w:type="dxa"/>
            <w:vAlign w:val="center"/>
          </w:tcPr>
          <w:p w14:paraId="51186A90" w14:textId="48430714" w:rsidR="004B05C6" w:rsidRPr="00187271" w:rsidRDefault="004B05C6" w:rsidP="004B05C6">
            <w:pPr>
              <w:spacing w:line="240" w:lineRule="auto"/>
              <w:rPr>
                <w:sz w:val="20"/>
                <w:szCs w:val="20"/>
              </w:rPr>
            </w:pPr>
            <w:r w:rsidRPr="00187271">
              <w:rPr>
                <w:sz w:val="20"/>
                <w:szCs w:val="20"/>
              </w:rPr>
              <w:t>855.7 (±175.8)</w:t>
            </w:r>
          </w:p>
        </w:tc>
        <w:tc>
          <w:tcPr>
            <w:tcW w:w="1228" w:type="dxa"/>
            <w:vAlign w:val="center"/>
          </w:tcPr>
          <w:p w14:paraId="0D24A503" w14:textId="70410BCB" w:rsidR="004B05C6" w:rsidRPr="00187271" w:rsidRDefault="009516F7" w:rsidP="004B05C6">
            <w:pPr>
              <w:spacing w:line="240" w:lineRule="auto"/>
              <w:rPr>
                <w:sz w:val="20"/>
                <w:szCs w:val="20"/>
              </w:rPr>
            </w:pPr>
            <w:r>
              <w:rPr>
                <w:sz w:val="20"/>
                <w:szCs w:val="20"/>
              </w:rPr>
              <w:t>5.4</w:t>
            </w:r>
            <w:r w:rsidR="00410296">
              <w:rPr>
                <w:sz w:val="20"/>
                <w:szCs w:val="20"/>
              </w:rPr>
              <w:t>0</w:t>
            </w:r>
          </w:p>
        </w:tc>
        <w:tc>
          <w:tcPr>
            <w:tcW w:w="1488" w:type="dxa"/>
            <w:vAlign w:val="center"/>
          </w:tcPr>
          <w:p w14:paraId="51DB2BCC" w14:textId="23F060AA" w:rsidR="004B05C6" w:rsidRPr="00187271" w:rsidRDefault="00605750" w:rsidP="004B05C6">
            <w:pPr>
              <w:spacing w:line="240" w:lineRule="auto"/>
              <w:rPr>
                <w:sz w:val="20"/>
                <w:szCs w:val="20"/>
              </w:rPr>
            </w:pPr>
            <w:r>
              <w:rPr>
                <w:sz w:val="20"/>
                <w:szCs w:val="20"/>
              </w:rPr>
              <w:t>---</w:t>
            </w:r>
          </w:p>
        </w:tc>
      </w:tr>
      <w:tr w:rsidR="004B05C6" w:rsidRPr="006F1F4B" w14:paraId="0F203583" w14:textId="60AD9719" w:rsidTr="004B05C6">
        <w:trPr>
          <w:trHeight w:val="497"/>
        </w:trPr>
        <w:tc>
          <w:tcPr>
            <w:tcW w:w="1530" w:type="dxa"/>
            <w:vAlign w:val="center"/>
          </w:tcPr>
          <w:p w14:paraId="57B907F6" w14:textId="59ACB9BF" w:rsidR="004B05C6" w:rsidRPr="00187271" w:rsidRDefault="004B05C6" w:rsidP="004B05C6">
            <w:pPr>
              <w:spacing w:line="240" w:lineRule="auto"/>
              <w:jc w:val="right"/>
              <w:rPr>
                <w:sz w:val="20"/>
                <w:szCs w:val="20"/>
              </w:rPr>
            </w:pPr>
            <w:r w:rsidRPr="00187271">
              <w:rPr>
                <w:sz w:val="20"/>
                <w:szCs w:val="20"/>
              </w:rPr>
              <w:t>--2018</w:t>
            </w:r>
          </w:p>
        </w:tc>
        <w:tc>
          <w:tcPr>
            <w:tcW w:w="1246" w:type="dxa"/>
            <w:vAlign w:val="center"/>
          </w:tcPr>
          <w:p w14:paraId="70733E02" w14:textId="7F52DC53" w:rsidR="004B05C6" w:rsidRPr="00187271" w:rsidRDefault="004B05C6" w:rsidP="004B05C6">
            <w:pPr>
              <w:spacing w:line="240" w:lineRule="auto"/>
              <w:rPr>
                <w:sz w:val="20"/>
                <w:szCs w:val="20"/>
              </w:rPr>
            </w:pPr>
            <w:r>
              <w:rPr>
                <w:sz w:val="20"/>
                <w:szCs w:val="20"/>
              </w:rPr>
              <w:t xml:space="preserve"> </w:t>
            </w:r>
            <w:r w:rsidRPr="00187271">
              <w:rPr>
                <w:sz w:val="20"/>
                <w:szCs w:val="20"/>
              </w:rPr>
              <w:t>23</w:t>
            </w:r>
          </w:p>
        </w:tc>
        <w:tc>
          <w:tcPr>
            <w:tcW w:w="1248" w:type="dxa"/>
            <w:vAlign w:val="center"/>
          </w:tcPr>
          <w:p w14:paraId="101EC42C" w14:textId="2FA98E76" w:rsidR="004B05C6" w:rsidRPr="00187271" w:rsidRDefault="004B05C6" w:rsidP="004B05C6">
            <w:pPr>
              <w:spacing w:line="240" w:lineRule="auto"/>
              <w:rPr>
                <w:sz w:val="20"/>
                <w:szCs w:val="20"/>
              </w:rPr>
            </w:pPr>
            <w:r w:rsidRPr="00187271">
              <w:rPr>
                <w:sz w:val="20"/>
                <w:szCs w:val="20"/>
              </w:rPr>
              <w:t>3194.3</w:t>
            </w:r>
            <w:r>
              <w:rPr>
                <w:sz w:val="20"/>
                <w:szCs w:val="20"/>
              </w:rPr>
              <w:t xml:space="preserve"> </w:t>
            </w:r>
            <w:r w:rsidRPr="00187271">
              <w:rPr>
                <w:sz w:val="20"/>
                <w:szCs w:val="20"/>
              </w:rPr>
              <w:t>(±1781.1)</w:t>
            </w:r>
          </w:p>
        </w:tc>
        <w:tc>
          <w:tcPr>
            <w:tcW w:w="1218" w:type="dxa"/>
            <w:vAlign w:val="center"/>
          </w:tcPr>
          <w:p w14:paraId="55E788F7" w14:textId="77777777" w:rsidR="004B05C6" w:rsidRDefault="004B05C6" w:rsidP="004B05C6">
            <w:pPr>
              <w:spacing w:line="240" w:lineRule="auto"/>
              <w:rPr>
                <w:sz w:val="20"/>
                <w:szCs w:val="20"/>
              </w:rPr>
            </w:pPr>
            <w:r w:rsidRPr="00187271">
              <w:rPr>
                <w:sz w:val="20"/>
                <w:szCs w:val="20"/>
              </w:rPr>
              <w:t>70.0</w:t>
            </w:r>
          </w:p>
          <w:p w14:paraId="07587FC3" w14:textId="36C9B1DD" w:rsidR="004B05C6" w:rsidRPr="00187271" w:rsidRDefault="004B05C6" w:rsidP="004B05C6">
            <w:pPr>
              <w:spacing w:line="240" w:lineRule="auto"/>
              <w:rPr>
                <w:sz w:val="20"/>
                <w:szCs w:val="20"/>
              </w:rPr>
            </w:pPr>
            <w:r w:rsidRPr="00187271">
              <w:rPr>
                <w:sz w:val="20"/>
                <w:szCs w:val="20"/>
              </w:rPr>
              <w:t>(±16.7)</w:t>
            </w:r>
          </w:p>
        </w:tc>
        <w:tc>
          <w:tcPr>
            <w:tcW w:w="1237" w:type="dxa"/>
            <w:vAlign w:val="center"/>
          </w:tcPr>
          <w:p w14:paraId="41EF29B7" w14:textId="79185768" w:rsidR="004B05C6" w:rsidRPr="00187271" w:rsidRDefault="004B05C6" w:rsidP="004B05C6">
            <w:pPr>
              <w:spacing w:line="240" w:lineRule="auto"/>
              <w:rPr>
                <w:sz w:val="20"/>
                <w:szCs w:val="20"/>
              </w:rPr>
            </w:pPr>
            <w:r w:rsidRPr="00187271">
              <w:rPr>
                <w:sz w:val="20"/>
                <w:szCs w:val="20"/>
              </w:rPr>
              <w:t>793.6 (±123.8)</w:t>
            </w:r>
          </w:p>
        </w:tc>
        <w:tc>
          <w:tcPr>
            <w:tcW w:w="1228" w:type="dxa"/>
            <w:vAlign w:val="center"/>
          </w:tcPr>
          <w:p w14:paraId="6AF108B4" w14:textId="590525C2" w:rsidR="004B05C6" w:rsidRPr="00187271" w:rsidRDefault="00C87298" w:rsidP="004B05C6">
            <w:pPr>
              <w:spacing w:line="240" w:lineRule="auto"/>
              <w:rPr>
                <w:sz w:val="20"/>
                <w:szCs w:val="20"/>
              </w:rPr>
            </w:pPr>
            <w:r>
              <w:rPr>
                <w:sz w:val="20"/>
                <w:szCs w:val="20"/>
              </w:rPr>
              <w:t>0</w:t>
            </w:r>
          </w:p>
        </w:tc>
        <w:tc>
          <w:tcPr>
            <w:tcW w:w="1488" w:type="dxa"/>
            <w:vAlign w:val="center"/>
          </w:tcPr>
          <w:p w14:paraId="29C36E20" w14:textId="77777777" w:rsidR="004B05C6" w:rsidRPr="00B95455" w:rsidRDefault="00B95455" w:rsidP="004B05C6">
            <w:pPr>
              <w:spacing w:line="240" w:lineRule="auto"/>
              <w:rPr>
                <w:sz w:val="20"/>
                <w:szCs w:val="20"/>
              </w:rPr>
            </w:pPr>
            <w:r w:rsidRPr="00B95455">
              <w:rPr>
                <w:sz w:val="20"/>
                <w:szCs w:val="20"/>
              </w:rPr>
              <w:t>1.16</w:t>
            </w:r>
          </w:p>
          <w:p w14:paraId="3BE7D2FC" w14:textId="093AFA32" w:rsidR="00B95455" w:rsidRPr="00B95455" w:rsidRDefault="00B95455" w:rsidP="004B05C6">
            <w:pPr>
              <w:spacing w:line="240" w:lineRule="auto"/>
              <w:rPr>
                <w:sz w:val="20"/>
                <w:szCs w:val="20"/>
              </w:rPr>
            </w:pPr>
            <w:r w:rsidRPr="00B95455">
              <w:rPr>
                <w:sz w:val="20"/>
                <w:szCs w:val="20"/>
              </w:rPr>
              <w:t>(±1.07)</w:t>
            </w:r>
          </w:p>
        </w:tc>
      </w:tr>
      <w:tr w:rsidR="004B05C6" w:rsidRPr="006F1F4B" w14:paraId="7A437B51" w14:textId="4671721F" w:rsidTr="004B05C6">
        <w:trPr>
          <w:trHeight w:val="497"/>
        </w:trPr>
        <w:tc>
          <w:tcPr>
            <w:tcW w:w="1530" w:type="dxa"/>
            <w:vAlign w:val="center"/>
          </w:tcPr>
          <w:p w14:paraId="65A09F72" w14:textId="144C0462" w:rsidR="004B05C6" w:rsidRPr="00187271" w:rsidRDefault="004B05C6" w:rsidP="004B05C6">
            <w:pPr>
              <w:spacing w:line="240" w:lineRule="auto"/>
              <w:jc w:val="right"/>
              <w:rPr>
                <w:sz w:val="20"/>
                <w:szCs w:val="20"/>
              </w:rPr>
            </w:pPr>
            <w:r w:rsidRPr="00187271">
              <w:rPr>
                <w:sz w:val="20"/>
                <w:szCs w:val="20"/>
              </w:rPr>
              <w:t>--2019</w:t>
            </w:r>
          </w:p>
        </w:tc>
        <w:tc>
          <w:tcPr>
            <w:tcW w:w="1246" w:type="dxa"/>
            <w:vAlign w:val="center"/>
          </w:tcPr>
          <w:p w14:paraId="5E11BA6B" w14:textId="51CEA312" w:rsidR="004B05C6" w:rsidRPr="00187271" w:rsidRDefault="004B05C6" w:rsidP="004B05C6">
            <w:pPr>
              <w:spacing w:line="240" w:lineRule="auto"/>
              <w:rPr>
                <w:sz w:val="20"/>
                <w:szCs w:val="20"/>
              </w:rPr>
            </w:pPr>
            <w:r>
              <w:rPr>
                <w:sz w:val="20"/>
                <w:szCs w:val="20"/>
              </w:rPr>
              <w:t xml:space="preserve"> </w:t>
            </w:r>
            <w:r w:rsidRPr="00187271">
              <w:rPr>
                <w:sz w:val="20"/>
                <w:szCs w:val="20"/>
              </w:rPr>
              <w:t>31</w:t>
            </w:r>
          </w:p>
        </w:tc>
        <w:tc>
          <w:tcPr>
            <w:tcW w:w="1248" w:type="dxa"/>
            <w:vAlign w:val="center"/>
          </w:tcPr>
          <w:p w14:paraId="69298B30" w14:textId="2EE72403" w:rsidR="004B05C6" w:rsidRPr="00187271" w:rsidRDefault="004B05C6" w:rsidP="004B05C6">
            <w:pPr>
              <w:spacing w:line="240" w:lineRule="auto"/>
              <w:rPr>
                <w:sz w:val="20"/>
                <w:szCs w:val="20"/>
              </w:rPr>
            </w:pPr>
            <w:r w:rsidRPr="00187271">
              <w:rPr>
                <w:sz w:val="20"/>
                <w:szCs w:val="20"/>
              </w:rPr>
              <w:t>2970.9 (±1093.5)</w:t>
            </w:r>
          </w:p>
        </w:tc>
        <w:tc>
          <w:tcPr>
            <w:tcW w:w="1218" w:type="dxa"/>
            <w:vAlign w:val="center"/>
          </w:tcPr>
          <w:p w14:paraId="380281FF" w14:textId="77777777" w:rsidR="004B05C6" w:rsidRDefault="004B05C6" w:rsidP="004B05C6">
            <w:pPr>
              <w:spacing w:line="240" w:lineRule="auto"/>
              <w:rPr>
                <w:sz w:val="20"/>
                <w:szCs w:val="20"/>
              </w:rPr>
            </w:pPr>
            <w:r w:rsidRPr="00187271">
              <w:rPr>
                <w:sz w:val="20"/>
                <w:szCs w:val="20"/>
              </w:rPr>
              <w:t>64.2</w:t>
            </w:r>
          </w:p>
          <w:p w14:paraId="79CD94FD" w14:textId="1C9B61AD" w:rsidR="004B05C6" w:rsidRPr="00187271" w:rsidRDefault="004B05C6" w:rsidP="004B05C6">
            <w:pPr>
              <w:spacing w:line="240" w:lineRule="auto"/>
              <w:rPr>
                <w:sz w:val="20"/>
                <w:szCs w:val="20"/>
              </w:rPr>
            </w:pPr>
            <w:r w:rsidRPr="00187271">
              <w:rPr>
                <w:sz w:val="20"/>
                <w:szCs w:val="20"/>
              </w:rPr>
              <w:t>(±9.3)</w:t>
            </w:r>
          </w:p>
        </w:tc>
        <w:tc>
          <w:tcPr>
            <w:tcW w:w="1237" w:type="dxa"/>
            <w:vAlign w:val="center"/>
          </w:tcPr>
          <w:p w14:paraId="6F6113DA" w14:textId="02320833" w:rsidR="004B05C6" w:rsidRPr="00187271" w:rsidRDefault="004B05C6" w:rsidP="004B05C6">
            <w:pPr>
              <w:spacing w:line="240" w:lineRule="auto"/>
              <w:rPr>
                <w:sz w:val="20"/>
                <w:szCs w:val="20"/>
              </w:rPr>
            </w:pPr>
            <w:r w:rsidRPr="00187271">
              <w:rPr>
                <w:sz w:val="20"/>
                <w:szCs w:val="20"/>
              </w:rPr>
              <w:t>1061.5 (±86.1)</w:t>
            </w:r>
          </w:p>
        </w:tc>
        <w:tc>
          <w:tcPr>
            <w:tcW w:w="1228" w:type="dxa"/>
            <w:vAlign w:val="center"/>
          </w:tcPr>
          <w:p w14:paraId="06E396D7" w14:textId="4C92F32E" w:rsidR="004B05C6" w:rsidRPr="00187271" w:rsidRDefault="00410296" w:rsidP="004B05C6">
            <w:pPr>
              <w:spacing w:line="240" w:lineRule="auto"/>
              <w:rPr>
                <w:sz w:val="20"/>
                <w:szCs w:val="20"/>
              </w:rPr>
            </w:pPr>
            <w:r>
              <w:rPr>
                <w:sz w:val="20"/>
                <w:szCs w:val="20"/>
              </w:rPr>
              <w:t>3.22</w:t>
            </w:r>
          </w:p>
        </w:tc>
        <w:tc>
          <w:tcPr>
            <w:tcW w:w="1488" w:type="dxa"/>
            <w:vAlign w:val="center"/>
          </w:tcPr>
          <w:p w14:paraId="0B937B1E" w14:textId="77777777" w:rsidR="004B05C6" w:rsidRPr="00B95455" w:rsidRDefault="00B95455" w:rsidP="004B05C6">
            <w:pPr>
              <w:spacing w:line="240" w:lineRule="auto"/>
              <w:rPr>
                <w:sz w:val="20"/>
                <w:szCs w:val="20"/>
              </w:rPr>
            </w:pPr>
            <w:r w:rsidRPr="00B95455">
              <w:rPr>
                <w:sz w:val="20"/>
                <w:szCs w:val="20"/>
              </w:rPr>
              <w:t>2.42</w:t>
            </w:r>
          </w:p>
          <w:p w14:paraId="641E77F7" w14:textId="52AD17C5" w:rsidR="00B95455" w:rsidRPr="00B95455" w:rsidRDefault="00B95455" w:rsidP="004B05C6">
            <w:pPr>
              <w:spacing w:line="240" w:lineRule="auto"/>
              <w:rPr>
                <w:sz w:val="20"/>
                <w:szCs w:val="20"/>
              </w:rPr>
            </w:pPr>
            <w:r w:rsidRPr="00B95455">
              <w:rPr>
                <w:sz w:val="20"/>
                <w:szCs w:val="20"/>
              </w:rPr>
              <w:t>(±1.35)</w:t>
            </w:r>
          </w:p>
        </w:tc>
      </w:tr>
      <w:tr w:rsidR="004B05C6" w:rsidRPr="006F1F4B" w14:paraId="4A995ECF" w14:textId="6562E884" w:rsidTr="004B05C6">
        <w:trPr>
          <w:trHeight w:val="786"/>
        </w:trPr>
        <w:tc>
          <w:tcPr>
            <w:tcW w:w="1530" w:type="dxa"/>
            <w:vAlign w:val="center"/>
          </w:tcPr>
          <w:p w14:paraId="1B6CC7B2" w14:textId="2B5CEFF6" w:rsidR="004B05C6" w:rsidRPr="006F1F4B" w:rsidRDefault="004B05C6" w:rsidP="004B05C6">
            <w:pPr>
              <w:spacing w:line="240" w:lineRule="auto"/>
            </w:pPr>
            <w:r w:rsidRPr="006F1F4B">
              <w:t>Sculpin</w:t>
            </w:r>
            <w:r>
              <w:t>s</w:t>
            </w:r>
          </w:p>
        </w:tc>
        <w:tc>
          <w:tcPr>
            <w:tcW w:w="1246" w:type="dxa"/>
            <w:vAlign w:val="center"/>
          </w:tcPr>
          <w:p w14:paraId="3735BAA7" w14:textId="28DB66D9" w:rsidR="004B05C6" w:rsidRPr="006F1F4B" w:rsidRDefault="004B05C6" w:rsidP="004B05C6">
            <w:pPr>
              <w:spacing w:line="240" w:lineRule="auto"/>
            </w:pPr>
            <w:r>
              <w:t xml:space="preserve"> </w:t>
            </w:r>
            <w:r w:rsidRPr="006F1F4B">
              <w:t>190</w:t>
            </w:r>
          </w:p>
        </w:tc>
        <w:tc>
          <w:tcPr>
            <w:tcW w:w="1248" w:type="dxa"/>
            <w:vAlign w:val="center"/>
          </w:tcPr>
          <w:p w14:paraId="4CC313AA" w14:textId="745D57DC" w:rsidR="004B05C6" w:rsidRPr="006F1F4B" w:rsidRDefault="004B05C6" w:rsidP="004B05C6">
            <w:pPr>
              <w:spacing w:line="240" w:lineRule="auto"/>
            </w:pPr>
            <w:r w:rsidRPr="006F1F4B">
              <w:t xml:space="preserve">78.9 </w:t>
            </w:r>
          </w:p>
          <w:p w14:paraId="23465AFB" w14:textId="3C008BC8" w:rsidR="004B05C6" w:rsidRPr="006F1F4B" w:rsidRDefault="004B05C6" w:rsidP="004B05C6">
            <w:pPr>
              <w:spacing w:line="240" w:lineRule="auto"/>
            </w:pPr>
            <w:r w:rsidRPr="006F1F4B">
              <w:t>(±69.3)</w:t>
            </w:r>
          </w:p>
        </w:tc>
        <w:tc>
          <w:tcPr>
            <w:tcW w:w="1218" w:type="dxa"/>
            <w:vAlign w:val="center"/>
          </w:tcPr>
          <w:p w14:paraId="7C6AD426" w14:textId="77777777" w:rsidR="004B05C6" w:rsidRDefault="004B05C6" w:rsidP="004B05C6">
            <w:pPr>
              <w:spacing w:line="240" w:lineRule="auto"/>
            </w:pPr>
            <w:r w:rsidRPr="006F1F4B">
              <w:t>18.5</w:t>
            </w:r>
          </w:p>
          <w:p w14:paraId="5D1D1F81" w14:textId="17003BAB" w:rsidR="004B05C6" w:rsidRPr="006F1F4B" w:rsidRDefault="004B05C6" w:rsidP="004B05C6">
            <w:pPr>
              <w:spacing w:line="240" w:lineRule="auto"/>
            </w:pPr>
            <w:r w:rsidRPr="006F1F4B">
              <w:t>(±5.4)</w:t>
            </w:r>
          </w:p>
        </w:tc>
        <w:tc>
          <w:tcPr>
            <w:tcW w:w="1237" w:type="dxa"/>
            <w:vAlign w:val="center"/>
          </w:tcPr>
          <w:p w14:paraId="64E1EEF7" w14:textId="098BDE44" w:rsidR="004B05C6" w:rsidRPr="006F1F4B" w:rsidRDefault="004B05C6" w:rsidP="004B05C6">
            <w:pPr>
              <w:spacing w:line="240" w:lineRule="auto"/>
            </w:pPr>
            <w:r w:rsidRPr="006F1F4B">
              <w:t>1062.1 (±572.3)</w:t>
            </w:r>
          </w:p>
        </w:tc>
        <w:tc>
          <w:tcPr>
            <w:tcW w:w="1228" w:type="dxa"/>
            <w:vAlign w:val="center"/>
          </w:tcPr>
          <w:p w14:paraId="0767DB10" w14:textId="5C7EBBC5" w:rsidR="004B05C6" w:rsidRPr="006F1F4B" w:rsidRDefault="00410296" w:rsidP="004B05C6">
            <w:pPr>
              <w:spacing w:line="240" w:lineRule="auto"/>
            </w:pPr>
            <w:r>
              <w:t>7.36</w:t>
            </w:r>
          </w:p>
        </w:tc>
        <w:tc>
          <w:tcPr>
            <w:tcW w:w="1488" w:type="dxa"/>
            <w:vAlign w:val="center"/>
          </w:tcPr>
          <w:p w14:paraId="4C845381" w14:textId="77777777" w:rsidR="004B05C6" w:rsidRDefault="00FE6558" w:rsidP="004B05C6">
            <w:pPr>
              <w:spacing w:line="240" w:lineRule="auto"/>
            </w:pPr>
            <w:r>
              <w:t>2.88</w:t>
            </w:r>
          </w:p>
          <w:p w14:paraId="364BB7E0" w14:textId="66D1D60D" w:rsidR="00FE6558" w:rsidRPr="006F1F4B" w:rsidRDefault="00FE6558" w:rsidP="004B05C6">
            <w:pPr>
              <w:spacing w:line="240" w:lineRule="auto"/>
            </w:pPr>
            <w:r w:rsidRPr="006F1F4B">
              <w:t>(±</w:t>
            </w:r>
            <w:r>
              <w:t>2.93)</w:t>
            </w:r>
          </w:p>
        </w:tc>
      </w:tr>
      <w:tr w:rsidR="004B05C6" w:rsidRPr="006F1F4B" w14:paraId="4B3C25DE" w14:textId="1FC8A8B2" w:rsidTr="004B05C6">
        <w:trPr>
          <w:trHeight w:val="504"/>
        </w:trPr>
        <w:tc>
          <w:tcPr>
            <w:tcW w:w="1530" w:type="dxa"/>
            <w:vAlign w:val="center"/>
          </w:tcPr>
          <w:p w14:paraId="5529D4FE" w14:textId="051F3D53" w:rsidR="004B05C6" w:rsidRPr="00187271" w:rsidRDefault="004B05C6" w:rsidP="004B05C6">
            <w:pPr>
              <w:spacing w:line="240" w:lineRule="auto"/>
              <w:jc w:val="right"/>
              <w:rPr>
                <w:sz w:val="20"/>
                <w:szCs w:val="20"/>
              </w:rPr>
            </w:pPr>
            <w:r w:rsidRPr="00187271">
              <w:rPr>
                <w:sz w:val="20"/>
                <w:szCs w:val="20"/>
              </w:rPr>
              <w:t>--2017</w:t>
            </w:r>
          </w:p>
        </w:tc>
        <w:tc>
          <w:tcPr>
            <w:tcW w:w="1246" w:type="dxa"/>
            <w:vAlign w:val="center"/>
          </w:tcPr>
          <w:p w14:paraId="40DCE499" w14:textId="04054EB4" w:rsidR="004B05C6" w:rsidRPr="00187271" w:rsidRDefault="004B05C6" w:rsidP="004B05C6">
            <w:pPr>
              <w:spacing w:line="240" w:lineRule="auto"/>
              <w:rPr>
                <w:sz w:val="20"/>
                <w:szCs w:val="20"/>
              </w:rPr>
            </w:pPr>
            <w:r>
              <w:rPr>
                <w:sz w:val="20"/>
                <w:szCs w:val="20"/>
              </w:rPr>
              <w:t xml:space="preserve"> </w:t>
            </w:r>
            <w:r w:rsidRPr="00187271">
              <w:rPr>
                <w:sz w:val="20"/>
                <w:szCs w:val="20"/>
              </w:rPr>
              <w:t>114</w:t>
            </w:r>
          </w:p>
        </w:tc>
        <w:tc>
          <w:tcPr>
            <w:tcW w:w="1248" w:type="dxa"/>
            <w:vAlign w:val="center"/>
          </w:tcPr>
          <w:p w14:paraId="753A90A1" w14:textId="19801A25" w:rsidR="004B05C6" w:rsidRPr="00187271" w:rsidRDefault="004B05C6" w:rsidP="004B05C6">
            <w:pPr>
              <w:spacing w:line="240" w:lineRule="auto"/>
              <w:rPr>
                <w:sz w:val="20"/>
                <w:szCs w:val="20"/>
              </w:rPr>
            </w:pPr>
            <w:r w:rsidRPr="00187271">
              <w:rPr>
                <w:sz w:val="20"/>
                <w:szCs w:val="20"/>
              </w:rPr>
              <w:t>76.5</w:t>
            </w:r>
            <w:r>
              <w:rPr>
                <w:sz w:val="20"/>
                <w:szCs w:val="20"/>
              </w:rPr>
              <w:t xml:space="preserve">  </w:t>
            </w:r>
            <w:r w:rsidRPr="00187271">
              <w:rPr>
                <w:sz w:val="20"/>
                <w:szCs w:val="20"/>
              </w:rPr>
              <w:t xml:space="preserve"> (±69.7)</w:t>
            </w:r>
          </w:p>
        </w:tc>
        <w:tc>
          <w:tcPr>
            <w:tcW w:w="1218" w:type="dxa"/>
            <w:vAlign w:val="center"/>
          </w:tcPr>
          <w:p w14:paraId="12C0D8AD" w14:textId="77777777" w:rsidR="004B05C6" w:rsidRDefault="004B05C6" w:rsidP="004B05C6">
            <w:pPr>
              <w:spacing w:line="240" w:lineRule="auto"/>
              <w:rPr>
                <w:sz w:val="20"/>
                <w:szCs w:val="20"/>
              </w:rPr>
            </w:pPr>
            <w:r w:rsidRPr="00187271">
              <w:rPr>
                <w:sz w:val="20"/>
                <w:szCs w:val="20"/>
              </w:rPr>
              <w:t>17.</w:t>
            </w:r>
            <w:r>
              <w:rPr>
                <w:sz w:val="20"/>
                <w:szCs w:val="20"/>
              </w:rPr>
              <w:t>8</w:t>
            </w:r>
          </w:p>
          <w:p w14:paraId="62CB6287" w14:textId="703DED2D" w:rsidR="004B05C6" w:rsidRPr="00187271" w:rsidRDefault="004B05C6" w:rsidP="004B05C6">
            <w:pPr>
              <w:spacing w:line="240" w:lineRule="auto"/>
              <w:rPr>
                <w:sz w:val="20"/>
                <w:szCs w:val="20"/>
              </w:rPr>
            </w:pPr>
            <w:r w:rsidRPr="00187271">
              <w:rPr>
                <w:sz w:val="20"/>
                <w:szCs w:val="20"/>
              </w:rPr>
              <w:t>(±5.2)</w:t>
            </w:r>
          </w:p>
        </w:tc>
        <w:tc>
          <w:tcPr>
            <w:tcW w:w="1237" w:type="dxa"/>
            <w:vAlign w:val="center"/>
          </w:tcPr>
          <w:p w14:paraId="4F495484" w14:textId="7A4D77DD" w:rsidR="004B05C6" w:rsidRPr="00187271" w:rsidRDefault="004B05C6" w:rsidP="004B05C6">
            <w:pPr>
              <w:spacing w:line="240" w:lineRule="auto"/>
              <w:rPr>
                <w:sz w:val="20"/>
                <w:szCs w:val="20"/>
              </w:rPr>
            </w:pPr>
            <w:r w:rsidRPr="00187271">
              <w:rPr>
                <w:sz w:val="20"/>
                <w:szCs w:val="20"/>
              </w:rPr>
              <w:t>1176.5 (±686.9)</w:t>
            </w:r>
          </w:p>
        </w:tc>
        <w:tc>
          <w:tcPr>
            <w:tcW w:w="1228" w:type="dxa"/>
            <w:vAlign w:val="center"/>
          </w:tcPr>
          <w:p w14:paraId="65BD75DC" w14:textId="53A197F0" w:rsidR="004B05C6" w:rsidRPr="00187271" w:rsidRDefault="00410296" w:rsidP="004B05C6">
            <w:pPr>
              <w:spacing w:line="240" w:lineRule="auto"/>
              <w:rPr>
                <w:sz w:val="20"/>
                <w:szCs w:val="20"/>
              </w:rPr>
            </w:pPr>
            <w:r>
              <w:rPr>
                <w:sz w:val="20"/>
                <w:szCs w:val="20"/>
              </w:rPr>
              <w:t>2.63</w:t>
            </w:r>
          </w:p>
        </w:tc>
        <w:tc>
          <w:tcPr>
            <w:tcW w:w="1488" w:type="dxa"/>
            <w:vAlign w:val="center"/>
          </w:tcPr>
          <w:p w14:paraId="305F760E" w14:textId="5AFC6FBC" w:rsidR="004B05C6" w:rsidRPr="00187271" w:rsidRDefault="00FE6558" w:rsidP="004B05C6">
            <w:pPr>
              <w:spacing w:line="240" w:lineRule="auto"/>
              <w:rPr>
                <w:sz w:val="20"/>
                <w:szCs w:val="20"/>
              </w:rPr>
            </w:pPr>
            <w:r>
              <w:rPr>
                <w:sz w:val="20"/>
                <w:szCs w:val="20"/>
              </w:rPr>
              <w:t>---</w:t>
            </w:r>
          </w:p>
        </w:tc>
      </w:tr>
      <w:tr w:rsidR="004B05C6" w:rsidRPr="006F1F4B" w14:paraId="44A789FF" w14:textId="7197B5F6" w:rsidTr="004B05C6">
        <w:trPr>
          <w:trHeight w:val="504"/>
        </w:trPr>
        <w:tc>
          <w:tcPr>
            <w:tcW w:w="1530" w:type="dxa"/>
            <w:vAlign w:val="center"/>
          </w:tcPr>
          <w:p w14:paraId="0B8AAC7A" w14:textId="1A804656" w:rsidR="004B05C6" w:rsidRPr="00187271" w:rsidRDefault="004B05C6" w:rsidP="004B05C6">
            <w:pPr>
              <w:spacing w:line="240" w:lineRule="auto"/>
              <w:jc w:val="right"/>
              <w:rPr>
                <w:sz w:val="20"/>
                <w:szCs w:val="20"/>
              </w:rPr>
            </w:pPr>
            <w:r w:rsidRPr="00187271">
              <w:rPr>
                <w:sz w:val="20"/>
                <w:szCs w:val="20"/>
              </w:rPr>
              <w:t>--2018</w:t>
            </w:r>
          </w:p>
        </w:tc>
        <w:tc>
          <w:tcPr>
            <w:tcW w:w="1246" w:type="dxa"/>
            <w:vAlign w:val="center"/>
          </w:tcPr>
          <w:p w14:paraId="62077EFD" w14:textId="5AA907E3" w:rsidR="004B05C6" w:rsidRPr="00187271" w:rsidRDefault="004B05C6" w:rsidP="004B05C6">
            <w:pPr>
              <w:spacing w:line="240" w:lineRule="auto"/>
              <w:rPr>
                <w:sz w:val="20"/>
                <w:szCs w:val="20"/>
              </w:rPr>
            </w:pPr>
            <w:r>
              <w:rPr>
                <w:sz w:val="20"/>
                <w:szCs w:val="20"/>
              </w:rPr>
              <w:t xml:space="preserve"> </w:t>
            </w:r>
            <w:r w:rsidRPr="00187271">
              <w:rPr>
                <w:sz w:val="20"/>
                <w:szCs w:val="20"/>
              </w:rPr>
              <w:t>59</w:t>
            </w:r>
          </w:p>
        </w:tc>
        <w:tc>
          <w:tcPr>
            <w:tcW w:w="1248" w:type="dxa"/>
            <w:vAlign w:val="center"/>
          </w:tcPr>
          <w:p w14:paraId="549F925D" w14:textId="7A59CA81" w:rsidR="004B05C6" w:rsidRPr="00187271" w:rsidRDefault="004B05C6" w:rsidP="004B05C6">
            <w:pPr>
              <w:spacing w:line="240" w:lineRule="auto"/>
              <w:rPr>
                <w:sz w:val="20"/>
                <w:szCs w:val="20"/>
              </w:rPr>
            </w:pPr>
            <w:r w:rsidRPr="00187271">
              <w:rPr>
                <w:sz w:val="20"/>
                <w:szCs w:val="20"/>
              </w:rPr>
              <w:t>100.1 (±69.0)</w:t>
            </w:r>
          </w:p>
        </w:tc>
        <w:tc>
          <w:tcPr>
            <w:tcW w:w="1218" w:type="dxa"/>
            <w:vAlign w:val="center"/>
          </w:tcPr>
          <w:p w14:paraId="542FAFBA" w14:textId="77777777" w:rsidR="004B05C6" w:rsidRDefault="004B05C6" w:rsidP="004B05C6">
            <w:pPr>
              <w:spacing w:line="240" w:lineRule="auto"/>
              <w:rPr>
                <w:sz w:val="20"/>
                <w:szCs w:val="20"/>
              </w:rPr>
            </w:pPr>
            <w:r w:rsidRPr="00187271">
              <w:rPr>
                <w:sz w:val="20"/>
                <w:szCs w:val="20"/>
              </w:rPr>
              <w:t>21.1</w:t>
            </w:r>
          </w:p>
          <w:p w14:paraId="08BEED8E" w14:textId="488DDBF5" w:rsidR="004B05C6" w:rsidRPr="00187271" w:rsidRDefault="004B05C6" w:rsidP="004B05C6">
            <w:pPr>
              <w:spacing w:line="240" w:lineRule="auto"/>
              <w:rPr>
                <w:sz w:val="20"/>
                <w:szCs w:val="20"/>
              </w:rPr>
            </w:pPr>
            <w:r w:rsidRPr="00187271">
              <w:rPr>
                <w:sz w:val="20"/>
                <w:szCs w:val="20"/>
              </w:rPr>
              <w:t>(±5.3)</w:t>
            </w:r>
          </w:p>
        </w:tc>
        <w:tc>
          <w:tcPr>
            <w:tcW w:w="1237" w:type="dxa"/>
            <w:vAlign w:val="center"/>
          </w:tcPr>
          <w:p w14:paraId="7940C3E1" w14:textId="29E4DBF8" w:rsidR="004B05C6" w:rsidRPr="00187271" w:rsidRDefault="004B05C6" w:rsidP="004B05C6">
            <w:pPr>
              <w:spacing w:line="240" w:lineRule="auto"/>
              <w:rPr>
                <w:sz w:val="20"/>
                <w:szCs w:val="20"/>
              </w:rPr>
            </w:pPr>
            <w:r w:rsidRPr="00187271">
              <w:rPr>
                <w:sz w:val="20"/>
                <w:szCs w:val="20"/>
              </w:rPr>
              <w:t>923.4 (±266.4)</w:t>
            </w:r>
          </w:p>
        </w:tc>
        <w:tc>
          <w:tcPr>
            <w:tcW w:w="1228" w:type="dxa"/>
            <w:vAlign w:val="center"/>
          </w:tcPr>
          <w:p w14:paraId="2C3F93B2" w14:textId="1DADDCBB" w:rsidR="004B05C6" w:rsidRPr="00187271" w:rsidRDefault="00410296" w:rsidP="004B05C6">
            <w:pPr>
              <w:spacing w:line="240" w:lineRule="auto"/>
              <w:rPr>
                <w:sz w:val="20"/>
                <w:szCs w:val="20"/>
              </w:rPr>
            </w:pPr>
            <w:r>
              <w:rPr>
                <w:sz w:val="20"/>
                <w:szCs w:val="20"/>
              </w:rPr>
              <w:t>13.55</w:t>
            </w:r>
          </w:p>
        </w:tc>
        <w:tc>
          <w:tcPr>
            <w:tcW w:w="1488" w:type="dxa"/>
            <w:vAlign w:val="center"/>
          </w:tcPr>
          <w:p w14:paraId="6E849FDA" w14:textId="77777777" w:rsidR="004B05C6" w:rsidRPr="00FE6558" w:rsidRDefault="00FE6558" w:rsidP="004B05C6">
            <w:pPr>
              <w:spacing w:line="240" w:lineRule="auto"/>
              <w:rPr>
                <w:sz w:val="20"/>
                <w:szCs w:val="20"/>
              </w:rPr>
            </w:pPr>
            <w:r w:rsidRPr="00FE6558">
              <w:rPr>
                <w:sz w:val="20"/>
                <w:szCs w:val="20"/>
              </w:rPr>
              <w:t>2.79</w:t>
            </w:r>
          </w:p>
          <w:p w14:paraId="1E11E078" w14:textId="3967CA30" w:rsidR="00FE6558" w:rsidRPr="00FE6558" w:rsidRDefault="00FE6558" w:rsidP="004B05C6">
            <w:pPr>
              <w:spacing w:line="240" w:lineRule="auto"/>
              <w:rPr>
                <w:sz w:val="20"/>
                <w:szCs w:val="20"/>
              </w:rPr>
            </w:pPr>
            <w:r w:rsidRPr="00FE6558">
              <w:rPr>
                <w:sz w:val="20"/>
                <w:szCs w:val="20"/>
              </w:rPr>
              <w:t>(±2.88)</w:t>
            </w:r>
          </w:p>
        </w:tc>
      </w:tr>
      <w:tr w:rsidR="004B05C6" w:rsidRPr="006F1F4B" w14:paraId="5F278CD6" w14:textId="3797A8FF" w:rsidTr="004B05C6">
        <w:trPr>
          <w:trHeight w:val="504"/>
        </w:trPr>
        <w:tc>
          <w:tcPr>
            <w:tcW w:w="1530" w:type="dxa"/>
            <w:tcBorders>
              <w:bottom w:val="single" w:sz="12" w:space="0" w:color="auto"/>
            </w:tcBorders>
            <w:vAlign w:val="center"/>
          </w:tcPr>
          <w:p w14:paraId="1483F436" w14:textId="46171906" w:rsidR="004B05C6" w:rsidRPr="00187271" w:rsidRDefault="004B05C6" w:rsidP="004B05C6">
            <w:pPr>
              <w:spacing w:line="240" w:lineRule="auto"/>
              <w:jc w:val="right"/>
              <w:rPr>
                <w:sz w:val="20"/>
                <w:szCs w:val="20"/>
              </w:rPr>
            </w:pPr>
            <w:r w:rsidRPr="00187271">
              <w:rPr>
                <w:sz w:val="20"/>
                <w:szCs w:val="20"/>
              </w:rPr>
              <w:t>--2019</w:t>
            </w:r>
          </w:p>
        </w:tc>
        <w:tc>
          <w:tcPr>
            <w:tcW w:w="1246" w:type="dxa"/>
            <w:tcBorders>
              <w:bottom w:val="single" w:sz="12" w:space="0" w:color="auto"/>
            </w:tcBorders>
            <w:vAlign w:val="center"/>
          </w:tcPr>
          <w:p w14:paraId="253C8413" w14:textId="21A067A8" w:rsidR="004B05C6" w:rsidRPr="00187271" w:rsidRDefault="004B05C6" w:rsidP="004B05C6">
            <w:pPr>
              <w:spacing w:line="240" w:lineRule="auto"/>
              <w:rPr>
                <w:sz w:val="20"/>
                <w:szCs w:val="20"/>
              </w:rPr>
            </w:pPr>
            <w:r>
              <w:rPr>
                <w:sz w:val="20"/>
                <w:szCs w:val="20"/>
              </w:rPr>
              <w:t xml:space="preserve"> </w:t>
            </w:r>
            <w:r w:rsidRPr="00187271">
              <w:rPr>
                <w:sz w:val="20"/>
                <w:szCs w:val="20"/>
              </w:rPr>
              <w:t>17</w:t>
            </w:r>
          </w:p>
        </w:tc>
        <w:tc>
          <w:tcPr>
            <w:tcW w:w="1248" w:type="dxa"/>
            <w:tcBorders>
              <w:bottom w:val="single" w:sz="12" w:space="0" w:color="auto"/>
            </w:tcBorders>
            <w:vAlign w:val="center"/>
          </w:tcPr>
          <w:p w14:paraId="1DA3992F" w14:textId="5C2270A5" w:rsidR="004B05C6" w:rsidRPr="00187271" w:rsidRDefault="004B05C6" w:rsidP="004B05C6">
            <w:pPr>
              <w:spacing w:line="240" w:lineRule="auto"/>
              <w:rPr>
                <w:sz w:val="20"/>
                <w:szCs w:val="20"/>
              </w:rPr>
            </w:pPr>
            <w:r w:rsidRPr="00187271">
              <w:rPr>
                <w:sz w:val="20"/>
                <w:szCs w:val="20"/>
              </w:rPr>
              <w:t>22.4</w:t>
            </w:r>
            <w:r>
              <w:rPr>
                <w:sz w:val="20"/>
                <w:szCs w:val="20"/>
              </w:rPr>
              <w:t xml:space="preserve">    </w:t>
            </w:r>
            <w:r w:rsidRPr="00187271">
              <w:rPr>
                <w:sz w:val="20"/>
                <w:szCs w:val="20"/>
              </w:rPr>
              <w:t xml:space="preserve"> (±4.7)</w:t>
            </w:r>
          </w:p>
        </w:tc>
        <w:tc>
          <w:tcPr>
            <w:tcW w:w="1218" w:type="dxa"/>
            <w:tcBorders>
              <w:bottom w:val="single" w:sz="12" w:space="0" w:color="auto"/>
            </w:tcBorders>
            <w:vAlign w:val="center"/>
          </w:tcPr>
          <w:p w14:paraId="41863E2E" w14:textId="77777777" w:rsidR="004B05C6" w:rsidRDefault="004B05C6" w:rsidP="004B05C6">
            <w:pPr>
              <w:spacing w:line="240" w:lineRule="auto"/>
              <w:rPr>
                <w:sz w:val="20"/>
                <w:szCs w:val="20"/>
              </w:rPr>
            </w:pPr>
            <w:r w:rsidRPr="00187271">
              <w:rPr>
                <w:sz w:val="20"/>
                <w:szCs w:val="20"/>
              </w:rPr>
              <w:t>14.</w:t>
            </w:r>
            <w:r>
              <w:rPr>
                <w:sz w:val="20"/>
                <w:szCs w:val="20"/>
              </w:rPr>
              <w:t>2</w:t>
            </w:r>
          </w:p>
          <w:p w14:paraId="2838501B" w14:textId="359650AC" w:rsidR="004B05C6" w:rsidRPr="00187271" w:rsidRDefault="004B05C6" w:rsidP="004B05C6">
            <w:pPr>
              <w:spacing w:line="240" w:lineRule="auto"/>
              <w:rPr>
                <w:sz w:val="20"/>
                <w:szCs w:val="20"/>
              </w:rPr>
            </w:pPr>
            <w:r w:rsidRPr="00187271">
              <w:rPr>
                <w:sz w:val="20"/>
                <w:szCs w:val="20"/>
              </w:rPr>
              <w:t>(±1.2)</w:t>
            </w:r>
          </w:p>
        </w:tc>
        <w:tc>
          <w:tcPr>
            <w:tcW w:w="1237" w:type="dxa"/>
            <w:tcBorders>
              <w:bottom w:val="single" w:sz="12" w:space="0" w:color="auto"/>
            </w:tcBorders>
            <w:vAlign w:val="center"/>
          </w:tcPr>
          <w:p w14:paraId="020D9C08" w14:textId="4B39DE7D" w:rsidR="004B05C6" w:rsidRPr="00187271" w:rsidRDefault="004B05C6" w:rsidP="004B05C6">
            <w:pPr>
              <w:spacing w:line="240" w:lineRule="auto"/>
              <w:rPr>
                <w:sz w:val="20"/>
                <w:szCs w:val="20"/>
              </w:rPr>
            </w:pPr>
            <w:r w:rsidRPr="00187271">
              <w:rPr>
                <w:sz w:val="20"/>
                <w:szCs w:val="20"/>
              </w:rPr>
              <w:t>774.</w:t>
            </w:r>
            <w:r>
              <w:rPr>
                <w:sz w:val="20"/>
                <w:szCs w:val="20"/>
              </w:rPr>
              <w:t>9</w:t>
            </w:r>
            <w:r w:rsidRPr="00187271">
              <w:rPr>
                <w:sz w:val="20"/>
                <w:szCs w:val="20"/>
              </w:rPr>
              <w:t xml:space="preserve"> (±150.2)</w:t>
            </w:r>
          </w:p>
        </w:tc>
        <w:tc>
          <w:tcPr>
            <w:tcW w:w="1228" w:type="dxa"/>
            <w:tcBorders>
              <w:bottom w:val="single" w:sz="12" w:space="0" w:color="auto"/>
            </w:tcBorders>
            <w:vAlign w:val="center"/>
          </w:tcPr>
          <w:p w14:paraId="6AD3B9F5" w14:textId="2B41EB79" w:rsidR="004B05C6" w:rsidRPr="00187271" w:rsidRDefault="00410296" w:rsidP="004B05C6">
            <w:pPr>
              <w:spacing w:line="240" w:lineRule="auto"/>
              <w:rPr>
                <w:sz w:val="20"/>
                <w:szCs w:val="20"/>
              </w:rPr>
            </w:pPr>
            <w:r>
              <w:rPr>
                <w:sz w:val="20"/>
                <w:szCs w:val="20"/>
              </w:rPr>
              <w:t>17.64</w:t>
            </w:r>
          </w:p>
        </w:tc>
        <w:tc>
          <w:tcPr>
            <w:tcW w:w="1488" w:type="dxa"/>
            <w:tcBorders>
              <w:bottom w:val="single" w:sz="12" w:space="0" w:color="auto"/>
            </w:tcBorders>
            <w:vAlign w:val="center"/>
          </w:tcPr>
          <w:p w14:paraId="4B7514A2" w14:textId="77777777" w:rsidR="004B05C6" w:rsidRPr="00FE6558" w:rsidRDefault="00FE6558" w:rsidP="004B05C6">
            <w:pPr>
              <w:spacing w:line="240" w:lineRule="auto"/>
              <w:rPr>
                <w:sz w:val="20"/>
                <w:szCs w:val="20"/>
              </w:rPr>
            </w:pPr>
            <w:r w:rsidRPr="00FE6558">
              <w:rPr>
                <w:sz w:val="20"/>
                <w:szCs w:val="20"/>
              </w:rPr>
              <w:t>3.19</w:t>
            </w:r>
          </w:p>
          <w:p w14:paraId="5791D786" w14:textId="4D3C6653" w:rsidR="00FE6558" w:rsidRPr="00FE6558" w:rsidRDefault="00FE6558" w:rsidP="004B05C6">
            <w:pPr>
              <w:spacing w:line="240" w:lineRule="auto"/>
              <w:rPr>
                <w:sz w:val="20"/>
                <w:szCs w:val="20"/>
              </w:rPr>
            </w:pPr>
            <w:r w:rsidRPr="00FE6558">
              <w:rPr>
                <w:sz w:val="20"/>
                <w:szCs w:val="20"/>
              </w:rPr>
              <w:t>(±3.15)</w:t>
            </w:r>
          </w:p>
        </w:tc>
      </w:tr>
    </w:tbl>
    <w:p w14:paraId="3409F635" w14:textId="77777777" w:rsidR="00F64388" w:rsidRPr="006F1F4B" w:rsidRDefault="00F64388" w:rsidP="00D13D88">
      <w:pPr>
        <w:rPr>
          <w:rStyle w:val="TitleChar"/>
        </w:rPr>
      </w:pPr>
      <w:r w:rsidRPr="006F1F4B">
        <w:rPr>
          <w:rStyle w:val="TitleChar"/>
        </w:rPr>
        <w:br w:type="page"/>
      </w:r>
    </w:p>
    <w:p w14:paraId="438CDE09" w14:textId="54BD356E" w:rsidR="00AB4886" w:rsidRPr="006F1F4B" w:rsidRDefault="229A3934" w:rsidP="00D13D88">
      <w:r w:rsidRPr="006F1F4B">
        <w:rPr>
          <w:rStyle w:val="TitleChar"/>
        </w:rPr>
        <w:lastRenderedPageBreak/>
        <w:t>Table 2.</w:t>
      </w:r>
      <w:r w:rsidRPr="006F1F4B">
        <w:t xml:space="preserve"> Results from indicator species analysis indicating associations between diet items and the species (Arctic char or Sculpin) or year (2017, 2018, or 2019) </w:t>
      </w:r>
      <w:r w:rsidR="1E4B8685" w:rsidRPr="006F1F4B">
        <w:t>of consumption</w:t>
      </w:r>
      <w:r w:rsidRPr="006F1F4B">
        <w:t>. Significant associations for the prey species (row) with the predator species or year (column)</w:t>
      </w:r>
      <w:r w:rsidR="39ECB4F1" w:rsidRPr="006F1F4B">
        <w:t xml:space="preserve"> are denoted in bold. Missing values indicate that diet item was not consumed by</w:t>
      </w:r>
      <w:r w:rsidR="00FF14BF" w:rsidRPr="006F1F4B">
        <w:t xml:space="preserve"> that species or </w:t>
      </w:r>
      <w:r w:rsidR="39ECB4F1" w:rsidRPr="006F1F4B">
        <w:t xml:space="preserve">during </w:t>
      </w:r>
      <w:r w:rsidR="00FF14BF" w:rsidRPr="006F1F4B">
        <w:t xml:space="preserve">that </w:t>
      </w:r>
      <w:r w:rsidR="39ECB4F1" w:rsidRPr="006F1F4B">
        <w:t>year</w:t>
      </w:r>
      <w:r w:rsidRPr="006F1F4B">
        <w:t xml:space="preserve">. </w:t>
      </w:r>
    </w:p>
    <w:tbl>
      <w:tblPr>
        <w:tblStyle w:val="TableGrid"/>
        <w:tblW w:w="957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836"/>
        <w:gridCol w:w="1548"/>
        <w:gridCol w:w="1547"/>
        <w:gridCol w:w="1548"/>
        <w:gridCol w:w="1549"/>
        <w:gridCol w:w="1549"/>
      </w:tblGrid>
      <w:tr w:rsidR="00E26D55" w14:paraId="6045A20D" w14:textId="77777777" w:rsidTr="00F27A8B">
        <w:trPr>
          <w:trHeight w:val="467"/>
        </w:trPr>
        <w:tc>
          <w:tcPr>
            <w:tcW w:w="1836" w:type="dxa"/>
            <w:tcBorders>
              <w:bottom w:val="double" w:sz="4" w:space="0" w:color="auto"/>
            </w:tcBorders>
            <w:vAlign w:val="center"/>
          </w:tcPr>
          <w:p w14:paraId="5C9AF995" w14:textId="7378D917" w:rsidR="004819C9" w:rsidRPr="003271A6" w:rsidRDefault="004819C9" w:rsidP="00F27A8B">
            <w:pPr>
              <w:spacing w:line="240" w:lineRule="auto"/>
              <w:rPr>
                <w:rFonts w:eastAsia="Times New Roman"/>
                <w:b/>
                <w:bCs/>
              </w:rPr>
            </w:pPr>
            <w:r w:rsidRPr="003271A6">
              <w:rPr>
                <w:rFonts w:eastAsia="Times New Roman"/>
                <w:b/>
                <w:bCs/>
              </w:rPr>
              <w:t>Species</w:t>
            </w:r>
          </w:p>
        </w:tc>
        <w:tc>
          <w:tcPr>
            <w:tcW w:w="1548" w:type="dxa"/>
            <w:tcBorders>
              <w:bottom w:val="double" w:sz="4" w:space="0" w:color="auto"/>
            </w:tcBorders>
            <w:vAlign w:val="center"/>
          </w:tcPr>
          <w:p w14:paraId="4065C1D7" w14:textId="11DC8528" w:rsidR="004819C9" w:rsidRPr="003271A6" w:rsidRDefault="004819C9" w:rsidP="00F27A8B">
            <w:pPr>
              <w:spacing w:line="240" w:lineRule="auto"/>
              <w:jc w:val="center"/>
              <w:rPr>
                <w:rFonts w:eastAsia="Times New Roman"/>
                <w:b/>
                <w:bCs/>
              </w:rPr>
            </w:pPr>
            <w:r w:rsidRPr="003271A6">
              <w:rPr>
                <w:rFonts w:eastAsia="Times New Roman"/>
                <w:b/>
                <w:bCs/>
              </w:rPr>
              <w:t>Arctic char</w:t>
            </w:r>
          </w:p>
        </w:tc>
        <w:tc>
          <w:tcPr>
            <w:tcW w:w="1547" w:type="dxa"/>
            <w:tcBorders>
              <w:bottom w:val="double" w:sz="4" w:space="0" w:color="auto"/>
            </w:tcBorders>
            <w:vAlign w:val="center"/>
          </w:tcPr>
          <w:p w14:paraId="1ACA207C" w14:textId="69CE57F4" w:rsidR="004819C9" w:rsidRPr="003271A6" w:rsidRDefault="004819C9" w:rsidP="00F27A8B">
            <w:pPr>
              <w:spacing w:line="240" w:lineRule="auto"/>
              <w:jc w:val="center"/>
              <w:rPr>
                <w:rFonts w:eastAsia="Times New Roman"/>
                <w:b/>
                <w:bCs/>
              </w:rPr>
            </w:pPr>
            <w:r w:rsidRPr="003271A6">
              <w:rPr>
                <w:rFonts w:eastAsia="Times New Roman"/>
                <w:b/>
                <w:bCs/>
              </w:rPr>
              <w:t>Sculpins</w:t>
            </w:r>
          </w:p>
        </w:tc>
        <w:tc>
          <w:tcPr>
            <w:tcW w:w="1548" w:type="dxa"/>
            <w:tcBorders>
              <w:bottom w:val="double" w:sz="4" w:space="0" w:color="auto"/>
            </w:tcBorders>
            <w:vAlign w:val="center"/>
          </w:tcPr>
          <w:p w14:paraId="574D048B" w14:textId="37C7F74B" w:rsidR="004819C9" w:rsidRPr="003271A6" w:rsidRDefault="004819C9" w:rsidP="00F27A8B">
            <w:pPr>
              <w:spacing w:line="240" w:lineRule="auto"/>
              <w:jc w:val="center"/>
              <w:rPr>
                <w:rFonts w:eastAsia="Times New Roman"/>
                <w:b/>
                <w:bCs/>
              </w:rPr>
            </w:pPr>
            <w:r w:rsidRPr="003271A6">
              <w:rPr>
                <w:rFonts w:eastAsia="Times New Roman"/>
                <w:b/>
                <w:bCs/>
              </w:rPr>
              <w:t>2017</w:t>
            </w:r>
          </w:p>
        </w:tc>
        <w:tc>
          <w:tcPr>
            <w:tcW w:w="1549" w:type="dxa"/>
            <w:tcBorders>
              <w:bottom w:val="double" w:sz="4" w:space="0" w:color="auto"/>
            </w:tcBorders>
            <w:vAlign w:val="center"/>
          </w:tcPr>
          <w:p w14:paraId="40B43DFC" w14:textId="58368B55" w:rsidR="004819C9" w:rsidRPr="003271A6" w:rsidRDefault="004819C9" w:rsidP="00F27A8B">
            <w:pPr>
              <w:spacing w:line="240" w:lineRule="auto"/>
              <w:jc w:val="center"/>
              <w:rPr>
                <w:rFonts w:eastAsia="Times New Roman"/>
                <w:b/>
                <w:bCs/>
              </w:rPr>
            </w:pPr>
            <w:r w:rsidRPr="003271A6">
              <w:rPr>
                <w:rFonts w:eastAsia="Times New Roman"/>
                <w:b/>
                <w:bCs/>
              </w:rPr>
              <w:t>2018</w:t>
            </w:r>
          </w:p>
        </w:tc>
        <w:tc>
          <w:tcPr>
            <w:tcW w:w="1549" w:type="dxa"/>
            <w:tcBorders>
              <w:bottom w:val="double" w:sz="4" w:space="0" w:color="auto"/>
            </w:tcBorders>
            <w:vAlign w:val="center"/>
          </w:tcPr>
          <w:p w14:paraId="5DBABF31" w14:textId="046030AB" w:rsidR="004819C9" w:rsidRPr="003271A6" w:rsidRDefault="004819C9" w:rsidP="00F27A8B">
            <w:pPr>
              <w:spacing w:line="240" w:lineRule="auto"/>
              <w:jc w:val="center"/>
              <w:rPr>
                <w:rFonts w:eastAsia="Times New Roman"/>
                <w:b/>
                <w:bCs/>
              </w:rPr>
            </w:pPr>
            <w:r w:rsidRPr="003271A6">
              <w:rPr>
                <w:rFonts w:eastAsia="Times New Roman"/>
                <w:b/>
                <w:bCs/>
              </w:rPr>
              <w:t>2019</w:t>
            </w:r>
          </w:p>
        </w:tc>
      </w:tr>
      <w:tr w:rsidR="00E26D55" w14:paraId="69B26246" w14:textId="77777777" w:rsidTr="00F27A8B">
        <w:trPr>
          <w:trHeight w:val="379"/>
        </w:trPr>
        <w:tc>
          <w:tcPr>
            <w:tcW w:w="1836" w:type="dxa"/>
            <w:tcBorders>
              <w:top w:val="double" w:sz="4" w:space="0" w:color="auto"/>
            </w:tcBorders>
            <w:vAlign w:val="center"/>
          </w:tcPr>
          <w:p w14:paraId="6A66B219" w14:textId="66247872" w:rsidR="004819C9" w:rsidRDefault="004819C9" w:rsidP="00F27A8B">
            <w:pPr>
              <w:spacing w:line="240" w:lineRule="auto"/>
              <w:jc w:val="right"/>
              <w:rPr>
                <w:rFonts w:eastAsia="Times New Roman"/>
              </w:rPr>
            </w:pPr>
            <w:r>
              <w:rPr>
                <w:rFonts w:eastAsia="Times New Roman"/>
              </w:rPr>
              <w:t>Arctic cod</w:t>
            </w:r>
          </w:p>
        </w:tc>
        <w:tc>
          <w:tcPr>
            <w:tcW w:w="1548" w:type="dxa"/>
            <w:tcBorders>
              <w:top w:val="double" w:sz="4" w:space="0" w:color="auto"/>
            </w:tcBorders>
            <w:vAlign w:val="center"/>
          </w:tcPr>
          <w:p w14:paraId="00CB6013" w14:textId="12E50699" w:rsidR="004819C9" w:rsidRPr="003271A6" w:rsidRDefault="004819C9" w:rsidP="00F27A8B">
            <w:pPr>
              <w:spacing w:line="240" w:lineRule="auto"/>
              <w:jc w:val="center"/>
              <w:rPr>
                <w:rFonts w:eastAsia="Times New Roman"/>
                <w:b/>
                <w:bCs/>
              </w:rPr>
            </w:pPr>
            <w:r w:rsidRPr="003271A6">
              <w:rPr>
                <w:rFonts w:eastAsia="Times New Roman"/>
                <w:b/>
                <w:bCs/>
              </w:rPr>
              <w:t>0.442</w:t>
            </w:r>
            <w:r w:rsidRPr="00E26D55">
              <w:rPr>
                <w:rFonts w:eastAsia="Times New Roman"/>
                <w:b/>
                <w:bCs/>
                <w:vertAlign w:val="superscript"/>
              </w:rPr>
              <w:t>***</w:t>
            </w:r>
          </w:p>
        </w:tc>
        <w:tc>
          <w:tcPr>
            <w:tcW w:w="1547" w:type="dxa"/>
            <w:tcBorders>
              <w:top w:val="double" w:sz="4" w:space="0" w:color="auto"/>
            </w:tcBorders>
            <w:vAlign w:val="center"/>
          </w:tcPr>
          <w:p w14:paraId="1531571A" w14:textId="77777777" w:rsidR="004819C9" w:rsidRDefault="004819C9" w:rsidP="00F27A8B">
            <w:pPr>
              <w:spacing w:line="240" w:lineRule="auto"/>
              <w:jc w:val="center"/>
              <w:rPr>
                <w:rFonts w:eastAsia="Times New Roman"/>
              </w:rPr>
            </w:pPr>
          </w:p>
        </w:tc>
        <w:tc>
          <w:tcPr>
            <w:tcW w:w="1548" w:type="dxa"/>
            <w:tcBorders>
              <w:top w:val="double" w:sz="4" w:space="0" w:color="auto"/>
            </w:tcBorders>
            <w:vAlign w:val="center"/>
          </w:tcPr>
          <w:p w14:paraId="20E73BA4" w14:textId="50FDF3E1" w:rsidR="004819C9" w:rsidRDefault="00364A1C" w:rsidP="00F27A8B">
            <w:pPr>
              <w:spacing w:line="240" w:lineRule="auto"/>
              <w:jc w:val="center"/>
              <w:rPr>
                <w:rFonts w:eastAsia="Times New Roman"/>
              </w:rPr>
            </w:pPr>
            <w:r>
              <w:rPr>
                <w:rFonts w:eastAsia="Times New Roman"/>
              </w:rPr>
              <w:t>0.1291</w:t>
            </w:r>
          </w:p>
        </w:tc>
        <w:tc>
          <w:tcPr>
            <w:tcW w:w="1549" w:type="dxa"/>
            <w:tcBorders>
              <w:top w:val="double" w:sz="4" w:space="0" w:color="auto"/>
            </w:tcBorders>
            <w:vAlign w:val="center"/>
          </w:tcPr>
          <w:p w14:paraId="61E7D496" w14:textId="37A59994" w:rsidR="004819C9" w:rsidRDefault="00364A1C" w:rsidP="00F27A8B">
            <w:pPr>
              <w:spacing w:line="240" w:lineRule="auto"/>
              <w:jc w:val="center"/>
              <w:rPr>
                <w:rFonts w:eastAsia="Times New Roman"/>
              </w:rPr>
            </w:pPr>
            <w:r>
              <w:rPr>
                <w:rFonts w:eastAsia="Times New Roman"/>
              </w:rPr>
              <w:t>0.0295</w:t>
            </w:r>
          </w:p>
        </w:tc>
        <w:tc>
          <w:tcPr>
            <w:tcW w:w="1549" w:type="dxa"/>
            <w:tcBorders>
              <w:top w:val="double" w:sz="4" w:space="0" w:color="auto"/>
            </w:tcBorders>
            <w:vAlign w:val="center"/>
          </w:tcPr>
          <w:p w14:paraId="15D3640F" w14:textId="03CE1280" w:rsidR="00364A1C" w:rsidRPr="003271A6" w:rsidRDefault="00364A1C" w:rsidP="00F27A8B">
            <w:pPr>
              <w:spacing w:line="240" w:lineRule="auto"/>
              <w:jc w:val="center"/>
              <w:rPr>
                <w:rFonts w:eastAsia="Times New Roman"/>
                <w:b/>
                <w:bCs/>
              </w:rPr>
            </w:pPr>
            <w:r w:rsidRPr="003271A6">
              <w:rPr>
                <w:rFonts w:eastAsia="Times New Roman"/>
                <w:b/>
                <w:bCs/>
              </w:rPr>
              <w:t>0.3188</w:t>
            </w:r>
            <w:r w:rsidRPr="00E26D55">
              <w:rPr>
                <w:rFonts w:eastAsia="Times New Roman"/>
                <w:b/>
                <w:bCs/>
                <w:vertAlign w:val="superscript"/>
              </w:rPr>
              <w:t>***</w:t>
            </w:r>
          </w:p>
        </w:tc>
      </w:tr>
      <w:tr w:rsidR="00E26D55" w14:paraId="641B314C" w14:textId="77777777" w:rsidTr="00F27A8B">
        <w:trPr>
          <w:trHeight w:val="379"/>
        </w:trPr>
        <w:tc>
          <w:tcPr>
            <w:tcW w:w="1836" w:type="dxa"/>
            <w:vAlign w:val="center"/>
          </w:tcPr>
          <w:p w14:paraId="7B70F490" w14:textId="0992FD30" w:rsidR="004819C9" w:rsidRDefault="00364A1C" w:rsidP="00F27A8B">
            <w:pPr>
              <w:spacing w:line="240" w:lineRule="auto"/>
              <w:jc w:val="right"/>
              <w:rPr>
                <w:rFonts w:eastAsia="Times New Roman"/>
              </w:rPr>
            </w:pPr>
            <w:r>
              <w:rPr>
                <w:rFonts w:eastAsia="Times New Roman"/>
              </w:rPr>
              <w:t>Sand lance</w:t>
            </w:r>
          </w:p>
        </w:tc>
        <w:tc>
          <w:tcPr>
            <w:tcW w:w="1548" w:type="dxa"/>
            <w:vAlign w:val="center"/>
          </w:tcPr>
          <w:p w14:paraId="3763300C" w14:textId="367B86D2" w:rsidR="004819C9" w:rsidRPr="003271A6" w:rsidRDefault="00364A1C" w:rsidP="00F27A8B">
            <w:pPr>
              <w:spacing w:line="240" w:lineRule="auto"/>
              <w:jc w:val="center"/>
              <w:rPr>
                <w:rFonts w:eastAsia="Times New Roman"/>
                <w:b/>
                <w:bCs/>
              </w:rPr>
            </w:pPr>
            <w:r w:rsidRPr="003271A6">
              <w:rPr>
                <w:rFonts w:eastAsia="Times New Roman"/>
                <w:b/>
                <w:bCs/>
              </w:rPr>
              <w:t>0.2397</w:t>
            </w:r>
            <w:r w:rsidRPr="00E26D55">
              <w:rPr>
                <w:rFonts w:eastAsia="Times New Roman"/>
                <w:b/>
                <w:bCs/>
                <w:vertAlign w:val="superscript"/>
              </w:rPr>
              <w:t>**</w:t>
            </w:r>
          </w:p>
        </w:tc>
        <w:tc>
          <w:tcPr>
            <w:tcW w:w="1547" w:type="dxa"/>
            <w:vAlign w:val="center"/>
          </w:tcPr>
          <w:p w14:paraId="73372063" w14:textId="77777777" w:rsidR="004819C9" w:rsidRDefault="004819C9" w:rsidP="00F27A8B">
            <w:pPr>
              <w:spacing w:line="240" w:lineRule="auto"/>
              <w:jc w:val="center"/>
              <w:rPr>
                <w:rFonts w:eastAsia="Times New Roman"/>
              </w:rPr>
            </w:pPr>
          </w:p>
        </w:tc>
        <w:tc>
          <w:tcPr>
            <w:tcW w:w="1548" w:type="dxa"/>
            <w:vAlign w:val="center"/>
          </w:tcPr>
          <w:p w14:paraId="24E2629D" w14:textId="5F2EFE4F" w:rsidR="004819C9" w:rsidRDefault="00364A1C" w:rsidP="00F27A8B">
            <w:pPr>
              <w:spacing w:line="240" w:lineRule="auto"/>
              <w:jc w:val="center"/>
              <w:rPr>
                <w:rFonts w:eastAsia="Times New Roman"/>
              </w:rPr>
            </w:pPr>
            <w:r>
              <w:rPr>
                <w:rFonts w:eastAsia="Times New Roman"/>
              </w:rPr>
              <w:t>0.0579</w:t>
            </w:r>
          </w:p>
        </w:tc>
        <w:tc>
          <w:tcPr>
            <w:tcW w:w="1549" w:type="dxa"/>
            <w:vAlign w:val="center"/>
          </w:tcPr>
          <w:p w14:paraId="1BEDE333" w14:textId="700E4CDA" w:rsidR="004819C9" w:rsidRDefault="00364A1C" w:rsidP="00F27A8B">
            <w:pPr>
              <w:spacing w:line="240" w:lineRule="auto"/>
              <w:jc w:val="center"/>
              <w:rPr>
                <w:rFonts w:eastAsia="Times New Roman"/>
              </w:rPr>
            </w:pPr>
            <w:r>
              <w:rPr>
                <w:rFonts w:eastAsia="Times New Roman"/>
              </w:rPr>
              <w:t>0.1786</w:t>
            </w:r>
          </w:p>
        </w:tc>
        <w:tc>
          <w:tcPr>
            <w:tcW w:w="1549" w:type="dxa"/>
            <w:vAlign w:val="center"/>
          </w:tcPr>
          <w:p w14:paraId="1031DDEB" w14:textId="77777777" w:rsidR="004819C9" w:rsidRDefault="004819C9" w:rsidP="00F27A8B">
            <w:pPr>
              <w:spacing w:line="240" w:lineRule="auto"/>
              <w:jc w:val="center"/>
              <w:rPr>
                <w:rFonts w:eastAsia="Times New Roman"/>
              </w:rPr>
            </w:pPr>
          </w:p>
        </w:tc>
      </w:tr>
      <w:tr w:rsidR="00E26D55" w14:paraId="228D145F" w14:textId="77777777" w:rsidTr="00F27A8B">
        <w:trPr>
          <w:trHeight w:val="379"/>
        </w:trPr>
        <w:tc>
          <w:tcPr>
            <w:tcW w:w="1836" w:type="dxa"/>
            <w:vAlign w:val="center"/>
          </w:tcPr>
          <w:p w14:paraId="023F21E8" w14:textId="702CC309" w:rsidR="004819C9" w:rsidRDefault="00364A1C" w:rsidP="00F27A8B">
            <w:pPr>
              <w:spacing w:line="240" w:lineRule="auto"/>
              <w:jc w:val="right"/>
              <w:rPr>
                <w:rFonts w:eastAsia="Times New Roman"/>
              </w:rPr>
            </w:pPr>
            <w:r>
              <w:rPr>
                <w:rFonts w:eastAsia="Times New Roman"/>
              </w:rPr>
              <w:t>Unid. Fish</w:t>
            </w:r>
          </w:p>
        </w:tc>
        <w:tc>
          <w:tcPr>
            <w:tcW w:w="1548" w:type="dxa"/>
            <w:vAlign w:val="center"/>
          </w:tcPr>
          <w:p w14:paraId="4B0466F8" w14:textId="3301645E" w:rsidR="004819C9" w:rsidRPr="003271A6" w:rsidRDefault="00976FE7" w:rsidP="00F27A8B">
            <w:pPr>
              <w:spacing w:line="240" w:lineRule="auto"/>
              <w:jc w:val="center"/>
              <w:rPr>
                <w:rFonts w:eastAsia="Times New Roman"/>
                <w:b/>
                <w:bCs/>
              </w:rPr>
            </w:pPr>
            <w:r w:rsidRPr="003271A6">
              <w:rPr>
                <w:rFonts w:eastAsia="Times New Roman"/>
                <w:b/>
                <w:bCs/>
              </w:rPr>
              <w:t>0.5335</w:t>
            </w:r>
            <w:r w:rsidRPr="00E26D55">
              <w:rPr>
                <w:rFonts w:eastAsia="Times New Roman"/>
                <w:b/>
                <w:bCs/>
                <w:vertAlign w:val="superscript"/>
              </w:rPr>
              <w:t>***</w:t>
            </w:r>
          </w:p>
        </w:tc>
        <w:tc>
          <w:tcPr>
            <w:tcW w:w="1547" w:type="dxa"/>
            <w:vAlign w:val="center"/>
          </w:tcPr>
          <w:p w14:paraId="02EF1FF3" w14:textId="2C9F18B6" w:rsidR="004819C9" w:rsidRDefault="00976FE7" w:rsidP="00F27A8B">
            <w:pPr>
              <w:spacing w:line="240" w:lineRule="auto"/>
              <w:jc w:val="center"/>
              <w:rPr>
                <w:rFonts w:eastAsia="Times New Roman"/>
              </w:rPr>
            </w:pPr>
            <w:r>
              <w:rPr>
                <w:rFonts w:eastAsia="Times New Roman"/>
              </w:rPr>
              <w:t>0.2637</w:t>
            </w:r>
          </w:p>
        </w:tc>
        <w:tc>
          <w:tcPr>
            <w:tcW w:w="1548" w:type="dxa"/>
            <w:vAlign w:val="center"/>
          </w:tcPr>
          <w:p w14:paraId="2AA96E51" w14:textId="0A0D737E" w:rsidR="004819C9" w:rsidRDefault="00976FE7" w:rsidP="00F27A8B">
            <w:pPr>
              <w:spacing w:line="240" w:lineRule="auto"/>
              <w:jc w:val="center"/>
              <w:rPr>
                <w:rFonts w:eastAsia="Times New Roman"/>
              </w:rPr>
            </w:pPr>
            <w:r>
              <w:rPr>
                <w:rFonts w:eastAsia="Times New Roman"/>
              </w:rPr>
              <w:t>0.1914</w:t>
            </w:r>
          </w:p>
        </w:tc>
        <w:tc>
          <w:tcPr>
            <w:tcW w:w="1549" w:type="dxa"/>
            <w:vAlign w:val="center"/>
          </w:tcPr>
          <w:p w14:paraId="40F9E661" w14:textId="4EF2E289" w:rsidR="004819C9" w:rsidRDefault="00976FE7" w:rsidP="00F27A8B">
            <w:pPr>
              <w:spacing w:line="240" w:lineRule="auto"/>
              <w:jc w:val="center"/>
              <w:rPr>
                <w:rFonts w:eastAsia="Times New Roman"/>
              </w:rPr>
            </w:pPr>
            <w:r>
              <w:rPr>
                <w:rFonts w:eastAsia="Times New Roman"/>
              </w:rPr>
              <w:t>0.1764</w:t>
            </w:r>
          </w:p>
        </w:tc>
        <w:tc>
          <w:tcPr>
            <w:tcW w:w="1549" w:type="dxa"/>
            <w:vAlign w:val="center"/>
          </w:tcPr>
          <w:p w14:paraId="4E07F69F" w14:textId="3A5981E2" w:rsidR="004819C9" w:rsidRPr="003271A6" w:rsidRDefault="00976FE7" w:rsidP="00F27A8B">
            <w:pPr>
              <w:spacing w:line="240" w:lineRule="auto"/>
              <w:jc w:val="center"/>
              <w:rPr>
                <w:rFonts w:eastAsia="Times New Roman"/>
                <w:b/>
                <w:bCs/>
              </w:rPr>
            </w:pPr>
            <w:r w:rsidRPr="003271A6">
              <w:rPr>
                <w:rFonts w:eastAsia="Times New Roman"/>
                <w:b/>
                <w:bCs/>
              </w:rPr>
              <w:t>0.6702</w:t>
            </w:r>
            <w:r w:rsidRPr="00E26D55">
              <w:rPr>
                <w:rFonts w:eastAsia="Times New Roman"/>
                <w:b/>
                <w:bCs/>
                <w:vertAlign w:val="superscript"/>
              </w:rPr>
              <w:t>***</w:t>
            </w:r>
          </w:p>
        </w:tc>
      </w:tr>
      <w:tr w:rsidR="00E26D55" w14:paraId="7B40AF0A" w14:textId="77777777" w:rsidTr="00F27A8B">
        <w:trPr>
          <w:trHeight w:val="355"/>
        </w:trPr>
        <w:tc>
          <w:tcPr>
            <w:tcW w:w="1836" w:type="dxa"/>
            <w:vAlign w:val="center"/>
          </w:tcPr>
          <w:p w14:paraId="1953357D" w14:textId="0243F1BC" w:rsidR="004819C9" w:rsidRPr="00976FE7" w:rsidRDefault="00976FE7" w:rsidP="00F27A8B">
            <w:pPr>
              <w:spacing w:line="240" w:lineRule="auto"/>
              <w:jc w:val="right"/>
              <w:rPr>
                <w:rFonts w:eastAsia="Times New Roman"/>
              </w:rPr>
            </w:pPr>
            <w:r>
              <w:rPr>
                <w:rFonts w:eastAsia="Times New Roman"/>
                <w:i/>
                <w:iCs/>
              </w:rPr>
              <w:t>Gammarus</w:t>
            </w:r>
            <w:r>
              <w:rPr>
                <w:rFonts w:eastAsia="Times New Roman"/>
              </w:rPr>
              <w:t xml:space="preserve"> sp.</w:t>
            </w:r>
          </w:p>
        </w:tc>
        <w:tc>
          <w:tcPr>
            <w:tcW w:w="1548" w:type="dxa"/>
            <w:vAlign w:val="center"/>
          </w:tcPr>
          <w:p w14:paraId="2837BFFF" w14:textId="222C75DE" w:rsidR="004819C9" w:rsidRDefault="00976FE7" w:rsidP="00F27A8B">
            <w:pPr>
              <w:spacing w:line="240" w:lineRule="auto"/>
              <w:jc w:val="center"/>
              <w:rPr>
                <w:rFonts w:eastAsia="Times New Roman"/>
              </w:rPr>
            </w:pPr>
            <w:r>
              <w:rPr>
                <w:rFonts w:eastAsia="Times New Roman"/>
              </w:rPr>
              <w:t>0.1538</w:t>
            </w:r>
          </w:p>
        </w:tc>
        <w:tc>
          <w:tcPr>
            <w:tcW w:w="1547" w:type="dxa"/>
            <w:vAlign w:val="center"/>
          </w:tcPr>
          <w:p w14:paraId="7DCD6D54" w14:textId="3804C8C0" w:rsidR="004819C9" w:rsidRDefault="00976FE7" w:rsidP="00F27A8B">
            <w:pPr>
              <w:spacing w:line="240" w:lineRule="auto"/>
              <w:jc w:val="center"/>
              <w:rPr>
                <w:rFonts w:eastAsia="Times New Roman"/>
              </w:rPr>
            </w:pPr>
            <w:r>
              <w:rPr>
                <w:rFonts w:eastAsia="Times New Roman"/>
              </w:rPr>
              <w:t>0.3693</w:t>
            </w:r>
          </w:p>
        </w:tc>
        <w:tc>
          <w:tcPr>
            <w:tcW w:w="1548" w:type="dxa"/>
            <w:vAlign w:val="center"/>
          </w:tcPr>
          <w:p w14:paraId="4CE82B99" w14:textId="20EA581D" w:rsidR="004819C9" w:rsidRDefault="00976FE7" w:rsidP="00F27A8B">
            <w:pPr>
              <w:spacing w:line="240" w:lineRule="auto"/>
              <w:jc w:val="center"/>
              <w:rPr>
                <w:rFonts w:eastAsia="Times New Roman"/>
              </w:rPr>
            </w:pPr>
            <w:r>
              <w:rPr>
                <w:rFonts w:eastAsia="Times New Roman"/>
              </w:rPr>
              <w:t>0.235</w:t>
            </w:r>
          </w:p>
        </w:tc>
        <w:tc>
          <w:tcPr>
            <w:tcW w:w="1549" w:type="dxa"/>
            <w:vAlign w:val="center"/>
          </w:tcPr>
          <w:p w14:paraId="01DD5EA2" w14:textId="3474A4A0" w:rsidR="004819C9" w:rsidRDefault="00976FE7" w:rsidP="00F27A8B">
            <w:pPr>
              <w:spacing w:line="240" w:lineRule="auto"/>
              <w:jc w:val="center"/>
              <w:rPr>
                <w:rFonts w:eastAsia="Times New Roman"/>
              </w:rPr>
            </w:pPr>
            <w:r>
              <w:rPr>
                <w:rFonts w:eastAsia="Times New Roman"/>
              </w:rPr>
              <w:t>0.2732</w:t>
            </w:r>
          </w:p>
        </w:tc>
        <w:tc>
          <w:tcPr>
            <w:tcW w:w="1549" w:type="dxa"/>
            <w:vAlign w:val="center"/>
          </w:tcPr>
          <w:p w14:paraId="24841C5C" w14:textId="5360B5FF" w:rsidR="004819C9" w:rsidRDefault="00712DAB" w:rsidP="00F27A8B">
            <w:pPr>
              <w:spacing w:line="240" w:lineRule="auto"/>
              <w:jc w:val="center"/>
              <w:rPr>
                <w:rFonts w:eastAsia="Times New Roman"/>
              </w:rPr>
            </w:pPr>
            <w:r>
              <w:rPr>
                <w:rFonts w:eastAsia="Times New Roman"/>
              </w:rPr>
              <w:t>0.1622</w:t>
            </w:r>
          </w:p>
        </w:tc>
      </w:tr>
      <w:tr w:rsidR="00E26D55" w14:paraId="274BEFAA" w14:textId="77777777" w:rsidTr="00F27A8B">
        <w:trPr>
          <w:trHeight w:val="758"/>
        </w:trPr>
        <w:tc>
          <w:tcPr>
            <w:tcW w:w="1836" w:type="dxa"/>
            <w:vAlign w:val="center"/>
          </w:tcPr>
          <w:p w14:paraId="7B881D9F" w14:textId="077A0FE2" w:rsidR="004819C9" w:rsidRPr="00712DAB" w:rsidRDefault="00712DAB" w:rsidP="00F27A8B">
            <w:pPr>
              <w:spacing w:line="240" w:lineRule="auto"/>
              <w:jc w:val="right"/>
              <w:rPr>
                <w:rFonts w:eastAsia="Times New Roman"/>
              </w:rPr>
            </w:pPr>
            <w:r>
              <w:rPr>
                <w:rFonts w:eastAsia="Times New Roman"/>
                <w:i/>
                <w:iCs/>
              </w:rPr>
              <w:t>Gammaracanthus</w:t>
            </w:r>
            <w:r>
              <w:rPr>
                <w:rFonts w:eastAsia="Times New Roman"/>
              </w:rPr>
              <w:t xml:space="preserve"> sp.</w:t>
            </w:r>
          </w:p>
        </w:tc>
        <w:tc>
          <w:tcPr>
            <w:tcW w:w="1548" w:type="dxa"/>
            <w:vAlign w:val="center"/>
          </w:tcPr>
          <w:p w14:paraId="2FE55ADE" w14:textId="36034102" w:rsidR="004819C9" w:rsidRDefault="00712DAB" w:rsidP="00F27A8B">
            <w:pPr>
              <w:spacing w:line="240" w:lineRule="auto"/>
              <w:jc w:val="center"/>
              <w:rPr>
                <w:rFonts w:eastAsia="Times New Roman"/>
              </w:rPr>
            </w:pPr>
            <w:r>
              <w:rPr>
                <w:rFonts w:eastAsia="Times New Roman"/>
              </w:rPr>
              <w:t>0.0914</w:t>
            </w:r>
          </w:p>
        </w:tc>
        <w:tc>
          <w:tcPr>
            <w:tcW w:w="1547" w:type="dxa"/>
            <w:vAlign w:val="center"/>
          </w:tcPr>
          <w:p w14:paraId="0CDBC51A" w14:textId="6D249ADE" w:rsidR="004819C9" w:rsidRDefault="00712DAB" w:rsidP="00F27A8B">
            <w:pPr>
              <w:spacing w:line="240" w:lineRule="auto"/>
              <w:jc w:val="center"/>
              <w:rPr>
                <w:rFonts w:eastAsia="Times New Roman"/>
              </w:rPr>
            </w:pPr>
            <w:r>
              <w:rPr>
                <w:rFonts w:eastAsia="Times New Roman"/>
              </w:rPr>
              <w:t>0.286</w:t>
            </w:r>
          </w:p>
        </w:tc>
        <w:tc>
          <w:tcPr>
            <w:tcW w:w="1548" w:type="dxa"/>
            <w:vAlign w:val="center"/>
          </w:tcPr>
          <w:p w14:paraId="662530BD" w14:textId="50ED1F83" w:rsidR="004819C9" w:rsidRPr="003271A6" w:rsidRDefault="00712DAB" w:rsidP="00F27A8B">
            <w:pPr>
              <w:spacing w:line="240" w:lineRule="auto"/>
              <w:jc w:val="center"/>
              <w:rPr>
                <w:rFonts w:eastAsia="Times New Roman"/>
                <w:b/>
                <w:bCs/>
              </w:rPr>
            </w:pPr>
            <w:r w:rsidRPr="003271A6">
              <w:rPr>
                <w:rFonts w:eastAsia="Times New Roman"/>
                <w:b/>
                <w:bCs/>
              </w:rPr>
              <w:t>0.3371</w:t>
            </w:r>
            <w:r w:rsidRPr="00E26D55">
              <w:rPr>
                <w:rFonts w:eastAsia="Times New Roman"/>
                <w:b/>
                <w:bCs/>
                <w:vertAlign w:val="superscript"/>
              </w:rPr>
              <w:t>**</w:t>
            </w:r>
          </w:p>
        </w:tc>
        <w:tc>
          <w:tcPr>
            <w:tcW w:w="1549" w:type="dxa"/>
            <w:vAlign w:val="center"/>
          </w:tcPr>
          <w:p w14:paraId="3BCBA8A3" w14:textId="0704536F" w:rsidR="004819C9" w:rsidRDefault="00712DAB" w:rsidP="00F27A8B">
            <w:pPr>
              <w:spacing w:line="240" w:lineRule="auto"/>
              <w:jc w:val="center"/>
              <w:rPr>
                <w:rFonts w:eastAsia="Times New Roman"/>
              </w:rPr>
            </w:pPr>
            <w:r>
              <w:rPr>
                <w:rFonts w:eastAsia="Times New Roman"/>
              </w:rPr>
              <w:t>0.0693</w:t>
            </w:r>
          </w:p>
        </w:tc>
        <w:tc>
          <w:tcPr>
            <w:tcW w:w="1549" w:type="dxa"/>
            <w:vAlign w:val="center"/>
          </w:tcPr>
          <w:p w14:paraId="0F115739" w14:textId="77777777" w:rsidR="004819C9" w:rsidRDefault="004819C9" w:rsidP="00F27A8B">
            <w:pPr>
              <w:spacing w:line="240" w:lineRule="auto"/>
              <w:jc w:val="center"/>
              <w:rPr>
                <w:rFonts w:eastAsia="Times New Roman"/>
              </w:rPr>
            </w:pPr>
          </w:p>
        </w:tc>
      </w:tr>
      <w:tr w:rsidR="00E26D55" w14:paraId="7E538E14" w14:textId="77777777" w:rsidTr="00F27A8B">
        <w:trPr>
          <w:trHeight w:val="379"/>
        </w:trPr>
        <w:tc>
          <w:tcPr>
            <w:tcW w:w="1836" w:type="dxa"/>
            <w:vAlign w:val="center"/>
          </w:tcPr>
          <w:p w14:paraId="27360AF3" w14:textId="35755F2A" w:rsidR="004819C9" w:rsidRPr="00712DAB" w:rsidRDefault="00712DAB" w:rsidP="00F27A8B">
            <w:pPr>
              <w:spacing w:line="240" w:lineRule="auto"/>
              <w:jc w:val="right"/>
              <w:rPr>
                <w:rFonts w:eastAsia="Times New Roman"/>
              </w:rPr>
            </w:pPr>
            <w:r>
              <w:rPr>
                <w:rFonts w:eastAsia="Times New Roman"/>
                <w:i/>
                <w:iCs/>
              </w:rPr>
              <w:t xml:space="preserve">Onisimus </w:t>
            </w:r>
            <w:r>
              <w:rPr>
                <w:rFonts w:eastAsia="Times New Roman"/>
              </w:rPr>
              <w:t>sp.</w:t>
            </w:r>
          </w:p>
        </w:tc>
        <w:tc>
          <w:tcPr>
            <w:tcW w:w="1548" w:type="dxa"/>
            <w:vAlign w:val="center"/>
          </w:tcPr>
          <w:p w14:paraId="5F4EDCF9" w14:textId="368240EA" w:rsidR="004819C9" w:rsidRPr="003271A6" w:rsidRDefault="00712DAB" w:rsidP="00F27A8B">
            <w:pPr>
              <w:spacing w:line="240" w:lineRule="auto"/>
              <w:jc w:val="center"/>
              <w:rPr>
                <w:rFonts w:eastAsia="Times New Roman"/>
                <w:b/>
                <w:bCs/>
              </w:rPr>
            </w:pPr>
            <w:r w:rsidRPr="003271A6">
              <w:rPr>
                <w:rFonts w:eastAsia="Times New Roman"/>
                <w:b/>
                <w:bCs/>
              </w:rPr>
              <w:t>0.5057</w:t>
            </w:r>
            <w:r w:rsidRPr="00E26D55">
              <w:rPr>
                <w:rFonts w:eastAsia="Times New Roman"/>
                <w:b/>
                <w:bCs/>
                <w:vertAlign w:val="superscript"/>
              </w:rPr>
              <w:t>**</w:t>
            </w:r>
          </w:p>
        </w:tc>
        <w:tc>
          <w:tcPr>
            <w:tcW w:w="1547" w:type="dxa"/>
            <w:vAlign w:val="center"/>
          </w:tcPr>
          <w:p w14:paraId="6F802E58" w14:textId="7E033054" w:rsidR="004819C9" w:rsidRDefault="00712DAB" w:rsidP="00F27A8B">
            <w:pPr>
              <w:spacing w:line="240" w:lineRule="auto"/>
              <w:jc w:val="center"/>
              <w:rPr>
                <w:rFonts w:eastAsia="Times New Roman"/>
              </w:rPr>
            </w:pPr>
            <w:r>
              <w:rPr>
                <w:rFonts w:eastAsia="Times New Roman"/>
              </w:rPr>
              <w:t>0.3125</w:t>
            </w:r>
          </w:p>
        </w:tc>
        <w:tc>
          <w:tcPr>
            <w:tcW w:w="1548" w:type="dxa"/>
            <w:vAlign w:val="center"/>
          </w:tcPr>
          <w:p w14:paraId="237EE9C5" w14:textId="1B905E44" w:rsidR="004819C9" w:rsidRDefault="00712DAB" w:rsidP="00F27A8B">
            <w:pPr>
              <w:spacing w:line="240" w:lineRule="auto"/>
              <w:jc w:val="center"/>
              <w:rPr>
                <w:rFonts w:eastAsia="Times New Roman"/>
              </w:rPr>
            </w:pPr>
            <w:r>
              <w:rPr>
                <w:rFonts w:eastAsia="Times New Roman"/>
              </w:rPr>
              <w:t>0.1265</w:t>
            </w:r>
          </w:p>
        </w:tc>
        <w:tc>
          <w:tcPr>
            <w:tcW w:w="1549" w:type="dxa"/>
            <w:vAlign w:val="center"/>
          </w:tcPr>
          <w:p w14:paraId="56DAF186" w14:textId="2301193E" w:rsidR="004819C9" w:rsidRPr="003271A6" w:rsidRDefault="007E6A4D" w:rsidP="00F27A8B">
            <w:pPr>
              <w:spacing w:line="240" w:lineRule="auto"/>
              <w:jc w:val="center"/>
              <w:rPr>
                <w:rFonts w:eastAsia="Times New Roman"/>
                <w:b/>
                <w:bCs/>
              </w:rPr>
            </w:pPr>
            <w:r w:rsidRPr="003271A6">
              <w:rPr>
                <w:rFonts w:eastAsia="Times New Roman"/>
                <w:b/>
                <w:bCs/>
              </w:rPr>
              <w:t>0.4943</w:t>
            </w:r>
            <w:r w:rsidRPr="00E26D55">
              <w:rPr>
                <w:rFonts w:eastAsia="Times New Roman"/>
                <w:b/>
                <w:bCs/>
                <w:vertAlign w:val="superscript"/>
              </w:rPr>
              <w:t>**</w:t>
            </w:r>
          </w:p>
        </w:tc>
        <w:tc>
          <w:tcPr>
            <w:tcW w:w="1549" w:type="dxa"/>
            <w:vAlign w:val="center"/>
          </w:tcPr>
          <w:p w14:paraId="28707C0C" w14:textId="5F330E88" w:rsidR="004819C9" w:rsidRDefault="007E6A4D" w:rsidP="00F27A8B">
            <w:pPr>
              <w:spacing w:line="240" w:lineRule="auto"/>
              <w:jc w:val="center"/>
              <w:rPr>
                <w:rFonts w:eastAsia="Times New Roman"/>
              </w:rPr>
            </w:pPr>
            <w:r>
              <w:rPr>
                <w:rFonts w:eastAsia="Times New Roman"/>
              </w:rPr>
              <w:t>0.4618</w:t>
            </w:r>
          </w:p>
        </w:tc>
      </w:tr>
      <w:tr w:rsidR="00E26D55" w14:paraId="7BC7F3A6" w14:textId="77777777" w:rsidTr="00F27A8B">
        <w:trPr>
          <w:trHeight w:val="379"/>
        </w:trPr>
        <w:tc>
          <w:tcPr>
            <w:tcW w:w="1836" w:type="dxa"/>
            <w:vAlign w:val="center"/>
          </w:tcPr>
          <w:p w14:paraId="667E9E88" w14:textId="029F4432" w:rsidR="004819C9" w:rsidRPr="007E6A4D" w:rsidRDefault="007E6A4D" w:rsidP="00F27A8B">
            <w:pPr>
              <w:spacing w:line="240" w:lineRule="auto"/>
              <w:jc w:val="right"/>
              <w:rPr>
                <w:rFonts w:eastAsia="Times New Roman"/>
              </w:rPr>
            </w:pPr>
            <w:r>
              <w:rPr>
                <w:rFonts w:eastAsia="Times New Roman"/>
                <w:i/>
                <w:iCs/>
              </w:rPr>
              <w:t>Themisto</w:t>
            </w:r>
            <w:r>
              <w:rPr>
                <w:rFonts w:eastAsia="Times New Roman"/>
              </w:rPr>
              <w:t xml:space="preserve"> sp.</w:t>
            </w:r>
          </w:p>
        </w:tc>
        <w:tc>
          <w:tcPr>
            <w:tcW w:w="1548" w:type="dxa"/>
            <w:vAlign w:val="center"/>
          </w:tcPr>
          <w:p w14:paraId="2294BE9F" w14:textId="03E2DFE7" w:rsidR="004819C9" w:rsidRPr="003271A6" w:rsidRDefault="007E6A4D" w:rsidP="00F27A8B">
            <w:pPr>
              <w:spacing w:line="240" w:lineRule="auto"/>
              <w:jc w:val="center"/>
              <w:rPr>
                <w:rFonts w:eastAsia="Times New Roman"/>
                <w:b/>
                <w:bCs/>
              </w:rPr>
            </w:pPr>
            <w:r w:rsidRPr="003271A6">
              <w:rPr>
                <w:rFonts w:eastAsia="Times New Roman"/>
                <w:b/>
                <w:bCs/>
              </w:rPr>
              <w:t>0.5673</w:t>
            </w:r>
            <w:r w:rsidRPr="00E26D55">
              <w:rPr>
                <w:rFonts w:eastAsia="Times New Roman"/>
                <w:b/>
                <w:bCs/>
                <w:vertAlign w:val="superscript"/>
              </w:rPr>
              <w:t>***</w:t>
            </w:r>
          </w:p>
        </w:tc>
        <w:tc>
          <w:tcPr>
            <w:tcW w:w="1547" w:type="dxa"/>
            <w:vAlign w:val="center"/>
          </w:tcPr>
          <w:p w14:paraId="3F618CDD" w14:textId="77777777" w:rsidR="004819C9" w:rsidRDefault="004819C9" w:rsidP="00F27A8B">
            <w:pPr>
              <w:spacing w:line="240" w:lineRule="auto"/>
              <w:jc w:val="center"/>
              <w:rPr>
                <w:rFonts w:eastAsia="Times New Roman"/>
              </w:rPr>
            </w:pPr>
          </w:p>
        </w:tc>
        <w:tc>
          <w:tcPr>
            <w:tcW w:w="1548" w:type="dxa"/>
            <w:vAlign w:val="center"/>
          </w:tcPr>
          <w:p w14:paraId="1C65CF7B" w14:textId="77777777" w:rsidR="004819C9" w:rsidRDefault="004819C9" w:rsidP="00F27A8B">
            <w:pPr>
              <w:spacing w:line="240" w:lineRule="auto"/>
              <w:jc w:val="center"/>
              <w:rPr>
                <w:rFonts w:eastAsia="Times New Roman"/>
              </w:rPr>
            </w:pPr>
          </w:p>
        </w:tc>
        <w:tc>
          <w:tcPr>
            <w:tcW w:w="1549" w:type="dxa"/>
            <w:vAlign w:val="center"/>
          </w:tcPr>
          <w:p w14:paraId="08D56952" w14:textId="77777777" w:rsidR="004819C9" w:rsidRDefault="004819C9" w:rsidP="00F27A8B">
            <w:pPr>
              <w:spacing w:line="240" w:lineRule="auto"/>
              <w:jc w:val="center"/>
              <w:rPr>
                <w:rFonts w:eastAsia="Times New Roman"/>
              </w:rPr>
            </w:pPr>
          </w:p>
        </w:tc>
        <w:tc>
          <w:tcPr>
            <w:tcW w:w="1549" w:type="dxa"/>
            <w:vAlign w:val="center"/>
          </w:tcPr>
          <w:p w14:paraId="7E3614C6" w14:textId="0DD14C0C" w:rsidR="004819C9" w:rsidRPr="003271A6" w:rsidRDefault="007E6A4D" w:rsidP="00F27A8B">
            <w:pPr>
              <w:spacing w:line="240" w:lineRule="auto"/>
              <w:jc w:val="center"/>
              <w:rPr>
                <w:rFonts w:eastAsia="Times New Roman"/>
                <w:b/>
                <w:bCs/>
              </w:rPr>
            </w:pPr>
            <w:r w:rsidRPr="003271A6">
              <w:rPr>
                <w:rFonts w:eastAsia="Times New Roman"/>
                <w:b/>
                <w:bCs/>
              </w:rPr>
              <w:t>0.7802</w:t>
            </w:r>
            <w:r w:rsidRPr="00E26D55">
              <w:rPr>
                <w:rFonts w:eastAsia="Times New Roman"/>
                <w:b/>
                <w:bCs/>
                <w:vertAlign w:val="superscript"/>
              </w:rPr>
              <w:t>***</w:t>
            </w:r>
          </w:p>
        </w:tc>
      </w:tr>
      <w:tr w:rsidR="00F92EC8" w14:paraId="1C3400E3" w14:textId="77777777" w:rsidTr="00F27A8B">
        <w:trPr>
          <w:trHeight w:val="379"/>
        </w:trPr>
        <w:tc>
          <w:tcPr>
            <w:tcW w:w="1836" w:type="dxa"/>
            <w:vAlign w:val="center"/>
          </w:tcPr>
          <w:p w14:paraId="2C5526FB" w14:textId="01F04D6C" w:rsidR="007E6A4D" w:rsidRPr="007E6A4D" w:rsidRDefault="003B5627" w:rsidP="00F27A8B">
            <w:pPr>
              <w:spacing w:line="240" w:lineRule="auto"/>
              <w:jc w:val="right"/>
              <w:rPr>
                <w:rFonts w:eastAsia="Times New Roman"/>
              </w:rPr>
            </w:pPr>
            <w:r>
              <w:rPr>
                <w:rFonts w:eastAsia="Times New Roman"/>
              </w:rPr>
              <w:t xml:space="preserve">Unid. </w:t>
            </w:r>
            <w:r w:rsidR="007E6A4D">
              <w:rPr>
                <w:rFonts w:eastAsia="Times New Roman"/>
              </w:rPr>
              <w:t>Amphipod</w:t>
            </w:r>
          </w:p>
        </w:tc>
        <w:tc>
          <w:tcPr>
            <w:tcW w:w="1548" w:type="dxa"/>
            <w:vAlign w:val="center"/>
          </w:tcPr>
          <w:p w14:paraId="59C53E5A" w14:textId="3945C313" w:rsidR="007E6A4D" w:rsidRDefault="007E6A4D" w:rsidP="00F27A8B">
            <w:pPr>
              <w:spacing w:line="240" w:lineRule="auto"/>
              <w:jc w:val="center"/>
              <w:rPr>
                <w:rFonts w:eastAsia="Times New Roman"/>
              </w:rPr>
            </w:pPr>
            <w:r>
              <w:rPr>
                <w:rFonts w:eastAsia="Times New Roman"/>
              </w:rPr>
              <w:t>0.3286</w:t>
            </w:r>
          </w:p>
        </w:tc>
        <w:tc>
          <w:tcPr>
            <w:tcW w:w="1547" w:type="dxa"/>
            <w:vAlign w:val="center"/>
          </w:tcPr>
          <w:p w14:paraId="7EF5F45C" w14:textId="54C98579" w:rsidR="007E6A4D" w:rsidRPr="003271A6" w:rsidRDefault="007E6A4D" w:rsidP="00F27A8B">
            <w:pPr>
              <w:spacing w:line="240" w:lineRule="auto"/>
              <w:jc w:val="center"/>
              <w:rPr>
                <w:rFonts w:eastAsia="Times New Roman"/>
                <w:b/>
                <w:bCs/>
              </w:rPr>
            </w:pPr>
            <w:r w:rsidRPr="003271A6">
              <w:rPr>
                <w:rFonts w:eastAsia="Times New Roman"/>
                <w:b/>
                <w:bCs/>
              </w:rPr>
              <w:t>0.5458</w:t>
            </w:r>
            <w:r w:rsidRPr="00E26D55">
              <w:rPr>
                <w:rFonts w:eastAsia="Times New Roman"/>
                <w:b/>
                <w:bCs/>
                <w:vertAlign w:val="superscript"/>
              </w:rPr>
              <w:t>*</w:t>
            </w:r>
          </w:p>
        </w:tc>
        <w:tc>
          <w:tcPr>
            <w:tcW w:w="1548" w:type="dxa"/>
            <w:vAlign w:val="center"/>
          </w:tcPr>
          <w:p w14:paraId="3CAC5C51" w14:textId="33327F54" w:rsidR="007E6A4D" w:rsidRPr="003271A6" w:rsidRDefault="003B5627" w:rsidP="00F27A8B">
            <w:pPr>
              <w:spacing w:line="240" w:lineRule="auto"/>
              <w:jc w:val="center"/>
              <w:rPr>
                <w:rFonts w:eastAsia="Times New Roman"/>
                <w:b/>
                <w:bCs/>
              </w:rPr>
            </w:pPr>
            <w:r w:rsidRPr="003271A6">
              <w:rPr>
                <w:rFonts w:eastAsia="Times New Roman"/>
                <w:b/>
                <w:bCs/>
              </w:rPr>
              <w:t>0.6531</w:t>
            </w:r>
            <w:r w:rsidRPr="00E26D55">
              <w:rPr>
                <w:rFonts w:eastAsia="Times New Roman"/>
                <w:b/>
                <w:bCs/>
                <w:vertAlign w:val="superscript"/>
              </w:rPr>
              <w:t>***</w:t>
            </w:r>
          </w:p>
        </w:tc>
        <w:tc>
          <w:tcPr>
            <w:tcW w:w="1549" w:type="dxa"/>
            <w:vAlign w:val="center"/>
          </w:tcPr>
          <w:p w14:paraId="3B5E62AC" w14:textId="47E3FEA4" w:rsidR="007E6A4D" w:rsidRDefault="003B5627" w:rsidP="00F27A8B">
            <w:pPr>
              <w:spacing w:line="240" w:lineRule="auto"/>
              <w:jc w:val="center"/>
              <w:rPr>
                <w:rFonts w:eastAsia="Times New Roman"/>
              </w:rPr>
            </w:pPr>
            <w:r>
              <w:rPr>
                <w:rFonts w:eastAsia="Times New Roman"/>
              </w:rPr>
              <w:t>0.1314</w:t>
            </w:r>
          </w:p>
        </w:tc>
        <w:tc>
          <w:tcPr>
            <w:tcW w:w="1549" w:type="dxa"/>
            <w:vAlign w:val="center"/>
          </w:tcPr>
          <w:p w14:paraId="2EFC32C2" w14:textId="3B11CE82" w:rsidR="007E6A4D" w:rsidRDefault="003B5627" w:rsidP="00F27A8B">
            <w:pPr>
              <w:spacing w:line="240" w:lineRule="auto"/>
              <w:jc w:val="center"/>
              <w:rPr>
                <w:rFonts w:eastAsia="Times New Roman"/>
              </w:rPr>
            </w:pPr>
            <w:r>
              <w:rPr>
                <w:rFonts w:eastAsia="Times New Roman"/>
              </w:rPr>
              <w:t>0.1803</w:t>
            </w:r>
          </w:p>
        </w:tc>
      </w:tr>
      <w:tr w:rsidR="00F92EC8" w14:paraId="0601947E" w14:textId="77777777" w:rsidTr="00F27A8B">
        <w:trPr>
          <w:trHeight w:val="379"/>
        </w:trPr>
        <w:tc>
          <w:tcPr>
            <w:tcW w:w="1836" w:type="dxa"/>
            <w:vAlign w:val="center"/>
          </w:tcPr>
          <w:p w14:paraId="06C9E788" w14:textId="3600859C" w:rsidR="003B5627" w:rsidRDefault="003B5627" w:rsidP="00F27A8B">
            <w:pPr>
              <w:spacing w:line="240" w:lineRule="auto"/>
              <w:jc w:val="right"/>
              <w:rPr>
                <w:rFonts w:eastAsia="Times New Roman"/>
              </w:rPr>
            </w:pPr>
            <w:r>
              <w:rPr>
                <w:rFonts w:eastAsia="Times New Roman"/>
              </w:rPr>
              <w:t>Krill</w:t>
            </w:r>
          </w:p>
        </w:tc>
        <w:tc>
          <w:tcPr>
            <w:tcW w:w="1548" w:type="dxa"/>
            <w:vAlign w:val="center"/>
          </w:tcPr>
          <w:p w14:paraId="0AC3F612" w14:textId="46578922" w:rsidR="003B5627" w:rsidRDefault="003B5627" w:rsidP="00F27A8B">
            <w:pPr>
              <w:spacing w:line="240" w:lineRule="auto"/>
              <w:jc w:val="center"/>
              <w:rPr>
                <w:rFonts w:eastAsia="Times New Roman"/>
              </w:rPr>
            </w:pPr>
            <w:r>
              <w:rPr>
                <w:rFonts w:eastAsia="Times New Roman"/>
              </w:rPr>
              <w:t>0.339</w:t>
            </w:r>
          </w:p>
        </w:tc>
        <w:tc>
          <w:tcPr>
            <w:tcW w:w="1547" w:type="dxa"/>
            <w:vAlign w:val="center"/>
          </w:tcPr>
          <w:p w14:paraId="1AC3C3B8" w14:textId="78AB7B0E" w:rsidR="003B5627" w:rsidRDefault="003B5627" w:rsidP="00F27A8B">
            <w:pPr>
              <w:spacing w:line="240" w:lineRule="auto"/>
              <w:jc w:val="center"/>
              <w:rPr>
                <w:rFonts w:eastAsia="Times New Roman"/>
              </w:rPr>
            </w:pPr>
            <w:r>
              <w:rPr>
                <w:rFonts w:eastAsia="Times New Roman"/>
              </w:rPr>
              <w:t>0.4748</w:t>
            </w:r>
          </w:p>
        </w:tc>
        <w:tc>
          <w:tcPr>
            <w:tcW w:w="1548" w:type="dxa"/>
            <w:vAlign w:val="center"/>
          </w:tcPr>
          <w:p w14:paraId="63381FA4" w14:textId="73CCBB1C" w:rsidR="003B5627" w:rsidRDefault="003B5627" w:rsidP="00F27A8B">
            <w:pPr>
              <w:spacing w:line="240" w:lineRule="auto"/>
              <w:jc w:val="center"/>
              <w:rPr>
                <w:rFonts w:eastAsia="Times New Roman"/>
              </w:rPr>
            </w:pPr>
            <w:r>
              <w:rPr>
                <w:rFonts w:eastAsia="Times New Roman"/>
              </w:rPr>
              <w:t>0.3991</w:t>
            </w:r>
          </w:p>
        </w:tc>
        <w:tc>
          <w:tcPr>
            <w:tcW w:w="1549" w:type="dxa"/>
            <w:vAlign w:val="center"/>
          </w:tcPr>
          <w:p w14:paraId="7B22C073" w14:textId="3A8466F6" w:rsidR="003B5627" w:rsidRDefault="003B5627" w:rsidP="00F27A8B">
            <w:pPr>
              <w:spacing w:line="240" w:lineRule="auto"/>
              <w:jc w:val="center"/>
              <w:rPr>
                <w:rFonts w:eastAsia="Times New Roman"/>
              </w:rPr>
            </w:pPr>
            <w:r>
              <w:rPr>
                <w:rFonts w:eastAsia="Times New Roman"/>
              </w:rPr>
              <w:t>0.2688</w:t>
            </w:r>
          </w:p>
        </w:tc>
        <w:tc>
          <w:tcPr>
            <w:tcW w:w="1549" w:type="dxa"/>
            <w:vAlign w:val="center"/>
          </w:tcPr>
          <w:p w14:paraId="7F3DEEDD" w14:textId="45305B7E" w:rsidR="003B5627" w:rsidRDefault="003B5627" w:rsidP="00F27A8B">
            <w:pPr>
              <w:spacing w:line="240" w:lineRule="auto"/>
              <w:jc w:val="center"/>
              <w:rPr>
                <w:rFonts w:eastAsia="Times New Roman"/>
              </w:rPr>
            </w:pPr>
            <w:r>
              <w:rPr>
                <w:rFonts w:eastAsia="Times New Roman"/>
              </w:rPr>
              <w:t>0.3276</w:t>
            </w:r>
          </w:p>
        </w:tc>
      </w:tr>
      <w:tr w:rsidR="00F92EC8" w14:paraId="1AE93E54" w14:textId="77777777" w:rsidTr="00F27A8B">
        <w:trPr>
          <w:trHeight w:val="379"/>
        </w:trPr>
        <w:tc>
          <w:tcPr>
            <w:tcW w:w="1836" w:type="dxa"/>
            <w:vAlign w:val="center"/>
          </w:tcPr>
          <w:p w14:paraId="1A2DF440" w14:textId="1CE9552D" w:rsidR="003B5627" w:rsidRDefault="003B5627" w:rsidP="00F27A8B">
            <w:pPr>
              <w:spacing w:line="240" w:lineRule="auto"/>
              <w:jc w:val="right"/>
              <w:rPr>
                <w:rFonts w:eastAsia="Times New Roman"/>
              </w:rPr>
            </w:pPr>
            <w:r>
              <w:rPr>
                <w:rFonts w:eastAsia="Times New Roman"/>
              </w:rPr>
              <w:t>Mysid</w:t>
            </w:r>
          </w:p>
        </w:tc>
        <w:tc>
          <w:tcPr>
            <w:tcW w:w="1548" w:type="dxa"/>
            <w:vAlign w:val="center"/>
          </w:tcPr>
          <w:p w14:paraId="70000D38" w14:textId="77777777" w:rsidR="003B5627" w:rsidRDefault="003B5627" w:rsidP="00F27A8B">
            <w:pPr>
              <w:spacing w:line="240" w:lineRule="auto"/>
              <w:jc w:val="center"/>
              <w:rPr>
                <w:rFonts w:eastAsia="Times New Roman"/>
              </w:rPr>
            </w:pPr>
          </w:p>
        </w:tc>
        <w:tc>
          <w:tcPr>
            <w:tcW w:w="1547" w:type="dxa"/>
            <w:vAlign w:val="center"/>
          </w:tcPr>
          <w:p w14:paraId="4D08129B" w14:textId="5321D8C0" w:rsidR="003B5627" w:rsidRPr="003271A6" w:rsidRDefault="003B5627" w:rsidP="00F27A8B">
            <w:pPr>
              <w:spacing w:line="240" w:lineRule="auto"/>
              <w:jc w:val="center"/>
              <w:rPr>
                <w:rFonts w:eastAsia="Times New Roman"/>
                <w:b/>
                <w:bCs/>
              </w:rPr>
            </w:pPr>
            <w:r w:rsidRPr="003271A6">
              <w:rPr>
                <w:rFonts w:eastAsia="Times New Roman"/>
                <w:b/>
                <w:bCs/>
              </w:rPr>
              <w:t>0.2919</w:t>
            </w:r>
            <w:r w:rsidRPr="00E26D55">
              <w:rPr>
                <w:rFonts w:eastAsia="Times New Roman"/>
                <w:b/>
                <w:bCs/>
                <w:vertAlign w:val="superscript"/>
              </w:rPr>
              <w:t>**</w:t>
            </w:r>
          </w:p>
        </w:tc>
        <w:tc>
          <w:tcPr>
            <w:tcW w:w="1548" w:type="dxa"/>
            <w:vAlign w:val="center"/>
          </w:tcPr>
          <w:p w14:paraId="49BEA87D" w14:textId="6AA33C37" w:rsidR="003B5627" w:rsidRPr="003271A6" w:rsidRDefault="003B5627" w:rsidP="00F27A8B">
            <w:pPr>
              <w:spacing w:line="240" w:lineRule="auto"/>
              <w:jc w:val="center"/>
              <w:rPr>
                <w:rFonts w:eastAsia="Times New Roman"/>
                <w:b/>
                <w:bCs/>
              </w:rPr>
            </w:pPr>
            <w:r w:rsidRPr="003271A6">
              <w:rPr>
                <w:rFonts w:eastAsia="Times New Roman"/>
                <w:b/>
                <w:bCs/>
              </w:rPr>
              <w:t>0.2892</w:t>
            </w:r>
            <w:r w:rsidRPr="00E26D55">
              <w:rPr>
                <w:rFonts w:eastAsia="Times New Roman"/>
                <w:b/>
                <w:bCs/>
                <w:vertAlign w:val="superscript"/>
              </w:rPr>
              <w:t>*</w:t>
            </w:r>
          </w:p>
        </w:tc>
        <w:tc>
          <w:tcPr>
            <w:tcW w:w="1549" w:type="dxa"/>
            <w:vAlign w:val="center"/>
          </w:tcPr>
          <w:p w14:paraId="325297A1" w14:textId="3EDE6B46" w:rsidR="003B5627" w:rsidRDefault="003B5627" w:rsidP="00F27A8B">
            <w:pPr>
              <w:spacing w:line="240" w:lineRule="auto"/>
              <w:jc w:val="center"/>
              <w:rPr>
                <w:rFonts w:eastAsia="Times New Roman"/>
              </w:rPr>
            </w:pPr>
            <w:r>
              <w:rPr>
                <w:rFonts w:eastAsia="Times New Roman"/>
              </w:rPr>
              <w:t>0.0425</w:t>
            </w:r>
          </w:p>
        </w:tc>
        <w:tc>
          <w:tcPr>
            <w:tcW w:w="1549" w:type="dxa"/>
            <w:vAlign w:val="center"/>
          </w:tcPr>
          <w:p w14:paraId="258FDBA0" w14:textId="77777777" w:rsidR="003B5627" w:rsidRDefault="003B5627" w:rsidP="00F27A8B">
            <w:pPr>
              <w:spacing w:line="240" w:lineRule="auto"/>
              <w:jc w:val="center"/>
              <w:rPr>
                <w:rFonts w:eastAsia="Times New Roman"/>
              </w:rPr>
            </w:pPr>
          </w:p>
        </w:tc>
      </w:tr>
      <w:tr w:rsidR="00F92EC8" w14:paraId="64DA3ECD" w14:textId="77777777" w:rsidTr="00F27A8B">
        <w:trPr>
          <w:trHeight w:val="355"/>
        </w:trPr>
        <w:tc>
          <w:tcPr>
            <w:tcW w:w="1836" w:type="dxa"/>
            <w:vAlign w:val="center"/>
          </w:tcPr>
          <w:p w14:paraId="758F6483" w14:textId="3AC6FCFF" w:rsidR="003B5627" w:rsidRDefault="003B5627" w:rsidP="00F27A8B">
            <w:pPr>
              <w:spacing w:line="240" w:lineRule="auto"/>
              <w:jc w:val="right"/>
              <w:rPr>
                <w:rFonts w:eastAsia="Times New Roman"/>
              </w:rPr>
            </w:pPr>
            <w:r>
              <w:rPr>
                <w:rFonts w:eastAsia="Times New Roman"/>
              </w:rPr>
              <w:t>Copepod</w:t>
            </w:r>
          </w:p>
        </w:tc>
        <w:tc>
          <w:tcPr>
            <w:tcW w:w="1548" w:type="dxa"/>
            <w:vAlign w:val="center"/>
          </w:tcPr>
          <w:p w14:paraId="190FF499" w14:textId="066E530F" w:rsidR="003B5627" w:rsidRPr="003271A6" w:rsidRDefault="003B5627" w:rsidP="00F27A8B">
            <w:pPr>
              <w:spacing w:line="240" w:lineRule="auto"/>
              <w:jc w:val="center"/>
              <w:rPr>
                <w:rFonts w:eastAsia="Times New Roman"/>
                <w:b/>
                <w:bCs/>
              </w:rPr>
            </w:pPr>
            <w:r w:rsidRPr="003271A6">
              <w:rPr>
                <w:rFonts w:eastAsia="Times New Roman"/>
                <w:b/>
                <w:bCs/>
              </w:rPr>
              <w:t>0.5229</w:t>
            </w:r>
            <w:r w:rsidRPr="00E26D55">
              <w:rPr>
                <w:rFonts w:eastAsia="Times New Roman"/>
                <w:b/>
                <w:bCs/>
                <w:vertAlign w:val="superscript"/>
              </w:rPr>
              <w:t>***</w:t>
            </w:r>
          </w:p>
        </w:tc>
        <w:tc>
          <w:tcPr>
            <w:tcW w:w="1547" w:type="dxa"/>
            <w:vAlign w:val="center"/>
          </w:tcPr>
          <w:p w14:paraId="14274091" w14:textId="732E6981" w:rsidR="003B5627" w:rsidRDefault="003B5627" w:rsidP="00F27A8B">
            <w:pPr>
              <w:spacing w:line="240" w:lineRule="auto"/>
              <w:jc w:val="center"/>
              <w:rPr>
                <w:rFonts w:eastAsia="Times New Roman"/>
              </w:rPr>
            </w:pPr>
            <w:r>
              <w:rPr>
                <w:rFonts w:eastAsia="Times New Roman"/>
              </w:rPr>
              <w:t>0.1584</w:t>
            </w:r>
          </w:p>
        </w:tc>
        <w:tc>
          <w:tcPr>
            <w:tcW w:w="1548" w:type="dxa"/>
            <w:vAlign w:val="center"/>
          </w:tcPr>
          <w:p w14:paraId="40E4A9E2" w14:textId="4F994938" w:rsidR="003B5627" w:rsidRDefault="003B5627" w:rsidP="00F27A8B">
            <w:pPr>
              <w:spacing w:line="240" w:lineRule="auto"/>
              <w:jc w:val="center"/>
              <w:rPr>
                <w:rFonts w:eastAsia="Times New Roman"/>
              </w:rPr>
            </w:pPr>
            <w:r>
              <w:rPr>
                <w:rFonts w:eastAsia="Times New Roman"/>
              </w:rPr>
              <w:t>0.2648</w:t>
            </w:r>
          </w:p>
        </w:tc>
        <w:tc>
          <w:tcPr>
            <w:tcW w:w="1549" w:type="dxa"/>
            <w:vAlign w:val="center"/>
          </w:tcPr>
          <w:p w14:paraId="1F560737" w14:textId="453C7F08" w:rsidR="003B5627" w:rsidRDefault="003B5627" w:rsidP="00F27A8B">
            <w:pPr>
              <w:spacing w:line="240" w:lineRule="auto"/>
              <w:jc w:val="center"/>
              <w:rPr>
                <w:rFonts w:eastAsia="Times New Roman"/>
              </w:rPr>
            </w:pPr>
            <w:r>
              <w:rPr>
                <w:rFonts w:eastAsia="Times New Roman"/>
              </w:rPr>
              <w:t>0.0908</w:t>
            </w:r>
          </w:p>
        </w:tc>
        <w:tc>
          <w:tcPr>
            <w:tcW w:w="1549" w:type="dxa"/>
            <w:vAlign w:val="center"/>
          </w:tcPr>
          <w:p w14:paraId="425F80BA" w14:textId="4FA085F5" w:rsidR="003B5627" w:rsidRPr="003271A6" w:rsidRDefault="003B5627" w:rsidP="00F27A8B">
            <w:pPr>
              <w:spacing w:line="240" w:lineRule="auto"/>
              <w:jc w:val="center"/>
              <w:rPr>
                <w:rFonts w:eastAsia="Times New Roman"/>
                <w:b/>
                <w:bCs/>
              </w:rPr>
            </w:pPr>
            <w:r w:rsidRPr="003271A6">
              <w:rPr>
                <w:rFonts w:eastAsia="Times New Roman"/>
                <w:b/>
                <w:bCs/>
              </w:rPr>
              <w:t>0.4203</w:t>
            </w:r>
            <w:r w:rsidRPr="00E26D55">
              <w:rPr>
                <w:rFonts w:eastAsia="Times New Roman"/>
                <w:b/>
                <w:bCs/>
                <w:vertAlign w:val="superscript"/>
              </w:rPr>
              <w:t>**</w:t>
            </w:r>
          </w:p>
        </w:tc>
      </w:tr>
      <w:tr w:rsidR="00F92EC8" w14:paraId="704F8B7C" w14:textId="77777777" w:rsidTr="00F27A8B">
        <w:trPr>
          <w:trHeight w:val="379"/>
        </w:trPr>
        <w:tc>
          <w:tcPr>
            <w:tcW w:w="1836" w:type="dxa"/>
            <w:vAlign w:val="center"/>
          </w:tcPr>
          <w:p w14:paraId="236272E7" w14:textId="2CE5F6CC" w:rsidR="003B5627" w:rsidRDefault="003B5627" w:rsidP="00F27A8B">
            <w:pPr>
              <w:spacing w:line="240" w:lineRule="auto"/>
              <w:jc w:val="right"/>
              <w:rPr>
                <w:rFonts w:eastAsia="Times New Roman"/>
              </w:rPr>
            </w:pPr>
            <w:r>
              <w:rPr>
                <w:rFonts w:eastAsia="Times New Roman"/>
              </w:rPr>
              <w:t>Chironomid</w:t>
            </w:r>
          </w:p>
        </w:tc>
        <w:tc>
          <w:tcPr>
            <w:tcW w:w="1548" w:type="dxa"/>
            <w:vAlign w:val="center"/>
          </w:tcPr>
          <w:p w14:paraId="12DECB6E" w14:textId="77777777" w:rsidR="003B5627" w:rsidRDefault="003B5627" w:rsidP="00F27A8B">
            <w:pPr>
              <w:spacing w:line="240" w:lineRule="auto"/>
              <w:jc w:val="center"/>
              <w:rPr>
                <w:rFonts w:eastAsia="Times New Roman"/>
              </w:rPr>
            </w:pPr>
          </w:p>
        </w:tc>
        <w:tc>
          <w:tcPr>
            <w:tcW w:w="1547" w:type="dxa"/>
            <w:vAlign w:val="center"/>
          </w:tcPr>
          <w:p w14:paraId="082F07B1" w14:textId="06F00611" w:rsidR="003B5627" w:rsidRDefault="003B5627" w:rsidP="00F27A8B">
            <w:pPr>
              <w:spacing w:line="240" w:lineRule="auto"/>
              <w:jc w:val="center"/>
              <w:rPr>
                <w:rFonts w:eastAsia="Times New Roman"/>
              </w:rPr>
            </w:pPr>
            <w:r>
              <w:rPr>
                <w:rFonts w:eastAsia="Times New Roman"/>
              </w:rPr>
              <w:t>0.1994</w:t>
            </w:r>
          </w:p>
        </w:tc>
        <w:tc>
          <w:tcPr>
            <w:tcW w:w="1548" w:type="dxa"/>
            <w:vAlign w:val="center"/>
          </w:tcPr>
          <w:p w14:paraId="0F46C4C8" w14:textId="2C93C510" w:rsidR="003B5627" w:rsidRDefault="003B5627" w:rsidP="00F27A8B">
            <w:pPr>
              <w:spacing w:line="240" w:lineRule="auto"/>
              <w:jc w:val="center"/>
              <w:rPr>
                <w:rFonts w:eastAsia="Times New Roman"/>
              </w:rPr>
            </w:pPr>
            <w:r>
              <w:rPr>
                <w:rFonts w:eastAsia="Times New Roman"/>
              </w:rPr>
              <w:t>0.219</w:t>
            </w:r>
          </w:p>
        </w:tc>
        <w:tc>
          <w:tcPr>
            <w:tcW w:w="1549" w:type="dxa"/>
            <w:vAlign w:val="center"/>
          </w:tcPr>
          <w:p w14:paraId="28F7D7F7" w14:textId="77777777" w:rsidR="003B5627" w:rsidRDefault="003B5627" w:rsidP="00F27A8B">
            <w:pPr>
              <w:spacing w:line="240" w:lineRule="auto"/>
              <w:jc w:val="center"/>
              <w:rPr>
                <w:rFonts w:eastAsia="Times New Roman"/>
              </w:rPr>
            </w:pPr>
          </w:p>
        </w:tc>
        <w:tc>
          <w:tcPr>
            <w:tcW w:w="1549" w:type="dxa"/>
            <w:vAlign w:val="center"/>
          </w:tcPr>
          <w:p w14:paraId="4724F81F" w14:textId="77777777" w:rsidR="003B5627" w:rsidRDefault="003B5627" w:rsidP="00F27A8B">
            <w:pPr>
              <w:spacing w:line="240" w:lineRule="auto"/>
              <w:jc w:val="center"/>
              <w:rPr>
                <w:rFonts w:eastAsia="Times New Roman"/>
              </w:rPr>
            </w:pPr>
          </w:p>
        </w:tc>
      </w:tr>
      <w:tr w:rsidR="00F92EC8" w14:paraId="6187519C" w14:textId="77777777" w:rsidTr="00F27A8B">
        <w:trPr>
          <w:trHeight w:val="379"/>
        </w:trPr>
        <w:tc>
          <w:tcPr>
            <w:tcW w:w="1836" w:type="dxa"/>
            <w:vAlign w:val="center"/>
          </w:tcPr>
          <w:p w14:paraId="75A21A4A" w14:textId="5773442D" w:rsidR="003B5627" w:rsidRDefault="003B5627" w:rsidP="00F27A8B">
            <w:pPr>
              <w:spacing w:line="240" w:lineRule="auto"/>
              <w:jc w:val="right"/>
              <w:rPr>
                <w:rFonts w:eastAsia="Times New Roman"/>
              </w:rPr>
            </w:pPr>
            <w:r>
              <w:rPr>
                <w:rFonts w:eastAsia="Times New Roman"/>
              </w:rPr>
              <w:t>Jellyfish</w:t>
            </w:r>
          </w:p>
        </w:tc>
        <w:tc>
          <w:tcPr>
            <w:tcW w:w="1548" w:type="dxa"/>
            <w:vAlign w:val="center"/>
          </w:tcPr>
          <w:p w14:paraId="66D7894F" w14:textId="1C77063D" w:rsidR="003B5627" w:rsidRDefault="008F427D" w:rsidP="00F27A8B">
            <w:pPr>
              <w:spacing w:line="240" w:lineRule="auto"/>
              <w:jc w:val="center"/>
              <w:rPr>
                <w:rFonts w:eastAsia="Times New Roman"/>
              </w:rPr>
            </w:pPr>
            <w:r>
              <w:rPr>
                <w:rFonts w:eastAsia="Times New Roman"/>
              </w:rPr>
              <w:t>0.0621</w:t>
            </w:r>
          </w:p>
        </w:tc>
        <w:tc>
          <w:tcPr>
            <w:tcW w:w="1547" w:type="dxa"/>
            <w:vAlign w:val="center"/>
          </w:tcPr>
          <w:p w14:paraId="75BB826C" w14:textId="0FAA35CD" w:rsidR="003B5627" w:rsidRDefault="008F427D" w:rsidP="00F27A8B">
            <w:pPr>
              <w:spacing w:line="240" w:lineRule="auto"/>
              <w:jc w:val="center"/>
              <w:rPr>
                <w:rFonts w:eastAsia="Times New Roman"/>
              </w:rPr>
            </w:pPr>
            <w:r>
              <w:rPr>
                <w:rFonts w:eastAsia="Times New Roman"/>
              </w:rPr>
              <w:t>0.1229</w:t>
            </w:r>
          </w:p>
        </w:tc>
        <w:tc>
          <w:tcPr>
            <w:tcW w:w="1548" w:type="dxa"/>
            <w:vAlign w:val="center"/>
          </w:tcPr>
          <w:p w14:paraId="35876A90" w14:textId="5234E7EC" w:rsidR="003B5627" w:rsidRDefault="008F427D" w:rsidP="00F27A8B">
            <w:pPr>
              <w:spacing w:line="240" w:lineRule="auto"/>
              <w:jc w:val="center"/>
              <w:rPr>
                <w:rFonts w:eastAsia="Times New Roman"/>
              </w:rPr>
            </w:pPr>
            <w:r>
              <w:rPr>
                <w:rFonts w:eastAsia="Times New Roman"/>
              </w:rPr>
              <w:t>0.1345</w:t>
            </w:r>
          </w:p>
        </w:tc>
        <w:tc>
          <w:tcPr>
            <w:tcW w:w="1549" w:type="dxa"/>
            <w:vAlign w:val="center"/>
          </w:tcPr>
          <w:p w14:paraId="270FDD92" w14:textId="7A0253B8" w:rsidR="003B5627" w:rsidRDefault="008F427D" w:rsidP="00F27A8B">
            <w:pPr>
              <w:spacing w:line="240" w:lineRule="auto"/>
              <w:jc w:val="center"/>
              <w:rPr>
                <w:rFonts w:eastAsia="Times New Roman"/>
              </w:rPr>
            </w:pPr>
            <w:r>
              <w:rPr>
                <w:rFonts w:eastAsia="Times New Roman"/>
              </w:rPr>
              <w:t>0.0692</w:t>
            </w:r>
          </w:p>
        </w:tc>
        <w:tc>
          <w:tcPr>
            <w:tcW w:w="1549" w:type="dxa"/>
            <w:vAlign w:val="center"/>
          </w:tcPr>
          <w:p w14:paraId="26B3F9EA" w14:textId="77777777" w:rsidR="003B5627" w:rsidRDefault="003B5627" w:rsidP="00F27A8B">
            <w:pPr>
              <w:spacing w:line="240" w:lineRule="auto"/>
              <w:jc w:val="center"/>
              <w:rPr>
                <w:rFonts w:eastAsia="Times New Roman"/>
              </w:rPr>
            </w:pPr>
          </w:p>
        </w:tc>
      </w:tr>
      <w:tr w:rsidR="00F92EC8" w14:paraId="67C3D782" w14:textId="77777777" w:rsidTr="00F27A8B">
        <w:trPr>
          <w:trHeight w:val="379"/>
        </w:trPr>
        <w:tc>
          <w:tcPr>
            <w:tcW w:w="1836" w:type="dxa"/>
            <w:vAlign w:val="center"/>
          </w:tcPr>
          <w:p w14:paraId="336CDF77" w14:textId="4467A347" w:rsidR="008F427D" w:rsidRDefault="008F427D" w:rsidP="00F27A8B">
            <w:pPr>
              <w:spacing w:line="240" w:lineRule="auto"/>
              <w:jc w:val="right"/>
              <w:rPr>
                <w:rFonts w:eastAsia="Times New Roman"/>
              </w:rPr>
            </w:pPr>
            <w:r>
              <w:rPr>
                <w:rFonts w:eastAsia="Times New Roman"/>
              </w:rPr>
              <w:t>Sea Angel</w:t>
            </w:r>
          </w:p>
        </w:tc>
        <w:tc>
          <w:tcPr>
            <w:tcW w:w="1548" w:type="dxa"/>
            <w:vAlign w:val="center"/>
          </w:tcPr>
          <w:p w14:paraId="72C598E4" w14:textId="6ACE5F4D" w:rsidR="008F427D" w:rsidRDefault="008F427D" w:rsidP="00F27A8B">
            <w:pPr>
              <w:spacing w:line="240" w:lineRule="auto"/>
              <w:jc w:val="center"/>
              <w:rPr>
                <w:rFonts w:eastAsia="Times New Roman"/>
              </w:rPr>
            </w:pPr>
            <w:r>
              <w:rPr>
                <w:rFonts w:eastAsia="Times New Roman"/>
              </w:rPr>
              <w:t>0.0879</w:t>
            </w:r>
          </w:p>
        </w:tc>
        <w:tc>
          <w:tcPr>
            <w:tcW w:w="1547" w:type="dxa"/>
            <w:vAlign w:val="center"/>
          </w:tcPr>
          <w:p w14:paraId="218759AB" w14:textId="1B16BAFE" w:rsidR="008F427D" w:rsidRDefault="008F427D" w:rsidP="00F27A8B">
            <w:pPr>
              <w:spacing w:line="240" w:lineRule="auto"/>
              <w:jc w:val="center"/>
              <w:rPr>
                <w:rFonts w:eastAsia="Times New Roman"/>
              </w:rPr>
            </w:pPr>
            <w:r>
              <w:rPr>
                <w:rFonts w:eastAsia="Times New Roman"/>
              </w:rPr>
              <w:t>0.1737</w:t>
            </w:r>
          </w:p>
        </w:tc>
        <w:tc>
          <w:tcPr>
            <w:tcW w:w="1548" w:type="dxa"/>
            <w:vAlign w:val="center"/>
          </w:tcPr>
          <w:p w14:paraId="6087ABE4" w14:textId="06BB47E9" w:rsidR="008F427D" w:rsidRDefault="008F427D" w:rsidP="00F27A8B">
            <w:pPr>
              <w:spacing w:line="240" w:lineRule="auto"/>
              <w:jc w:val="center"/>
              <w:rPr>
                <w:rFonts w:eastAsia="Times New Roman"/>
              </w:rPr>
            </w:pPr>
            <w:r>
              <w:rPr>
                <w:rFonts w:eastAsia="Times New Roman"/>
              </w:rPr>
              <w:t>0.1224</w:t>
            </w:r>
          </w:p>
        </w:tc>
        <w:tc>
          <w:tcPr>
            <w:tcW w:w="1549" w:type="dxa"/>
            <w:vAlign w:val="center"/>
          </w:tcPr>
          <w:p w14:paraId="4FDA4190" w14:textId="54934761" w:rsidR="008F427D" w:rsidRDefault="008F427D" w:rsidP="00F27A8B">
            <w:pPr>
              <w:spacing w:line="240" w:lineRule="auto"/>
              <w:jc w:val="center"/>
              <w:rPr>
                <w:rFonts w:eastAsia="Times New Roman"/>
              </w:rPr>
            </w:pPr>
            <w:r>
              <w:rPr>
                <w:rFonts w:eastAsia="Times New Roman"/>
              </w:rPr>
              <w:t>0.0839</w:t>
            </w:r>
          </w:p>
        </w:tc>
        <w:tc>
          <w:tcPr>
            <w:tcW w:w="1549" w:type="dxa"/>
            <w:vAlign w:val="center"/>
          </w:tcPr>
          <w:p w14:paraId="03121532" w14:textId="6B7D7FE9" w:rsidR="008F427D" w:rsidRDefault="008F427D" w:rsidP="00F27A8B">
            <w:pPr>
              <w:spacing w:line="240" w:lineRule="auto"/>
              <w:jc w:val="center"/>
              <w:rPr>
                <w:rFonts w:eastAsia="Times New Roman"/>
              </w:rPr>
            </w:pPr>
            <w:r>
              <w:rPr>
                <w:rFonts w:eastAsia="Times New Roman"/>
              </w:rPr>
              <w:t>0.1295</w:t>
            </w:r>
          </w:p>
        </w:tc>
      </w:tr>
      <w:tr w:rsidR="00F92EC8" w14:paraId="1C321C0F" w14:textId="77777777" w:rsidTr="00F27A8B">
        <w:trPr>
          <w:trHeight w:val="758"/>
        </w:trPr>
        <w:tc>
          <w:tcPr>
            <w:tcW w:w="1836" w:type="dxa"/>
            <w:vAlign w:val="center"/>
          </w:tcPr>
          <w:p w14:paraId="79107D0D" w14:textId="7D45B036" w:rsidR="008F427D" w:rsidRDefault="008F427D" w:rsidP="00F27A8B">
            <w:pPr>
              <w:spacing w:line="240" w:lineRule="auto"/>
              <w:jc w:val="right"/>
              <w:rPr>
                <w:rFonts w:eastAsia="Times New Roman"/>
              </w:rPr>
            </w:pPr>
            <w:r>
              <w:rPr>
                <w:rFonts w:eastAsia="Times New Roman"/>
              </w:rPr>
              <w:t>Miscellaneous Invertebrates</w:t>
            </w:r>
          </w:p>
        </w:tc>
        <w:tc>
          <w:tcPr>
            <w:tcW w:w="1548" w:type="dxa"/>
            <w:vAlign w:val="center"/>
          </w:tcPr>
          <w:p w14:paraId="089A4C7E" w14:textId="77777777" w:rsidR="008F427D" w:rsidRDefault="008F427D" w:rsidP="00F27A8B">
            <w:pPr>
              <w:spacing w:line="240" w:lineRule="auto"/>
              <w:jc w:val="center"/>
              <w:rPr>
                <w:rFonts w:eastAsia="Times New Roman"/>
              </w:rPr>
            </w:pPr>
          </w:p>
        </w:tc>
        <w:tc>
          <w:tcPr>
            <w:tcW w:w="1547" w:type="dxa"/>
            <w:vAlign w:val="center"/>
          </w:tcPr>
          <w:p w14:paraId="22753F7D" w14:textId="26349301" w:rsidR="008F427D" w:rsidRDefault="008F427D" w:rsidP="00F27A8B">
            <w:pPr>
              <w:spacing w:line="240" w:lineRule="auto"/>
              <w:jc w:val="center"/>
              <w:rPr>
                <w:rFonts w:eastAsia="Times New Roman"/>
              </w:rPr>
            </w:pPr>
            <w:r>
              <w:rPr>
                <w:rFonts w:eastAsia="Times New Roman"/>
              </w:rPr>
              <w:t>0.0754</w:t>
            </w:r>
          </w:p>
        </w:tc>
        <w:tc>
          <w:tcPr>
            <w:tcW w:w="1548" w:type="dxa"/>
            <w:vAlign w:val="center"/>
          </w:tcPr>
          <w:p w14:paraId="07115D5B" w14:textId="504F61D8" w:rsidR="008F427D" w:rsidRDefault="008F427D" w:rsidP="00F27A8B">
            <w:pPr>
              <w:spacing w:line="240" w:lineRule="auto"/>
              <w:jc w:val="center"/>
              <w:rPr>
                <w:rFonts w:eastAsia="Times New Roman"/>
              </w:rPr>
            </w:pPr>
            <w:r>
              <w:rPr>
                <w:rFonts w:eastAsia="Times New Roman"/>
              </w:rPr>
              <w:t>0.0828</w:t>
            </w:r>
          </w:p>
        </w:tc>
        <w:tc>
          <w:tcPr>
            <w:tcW w:w="1549" w:type="dxa"/>
            <w:vAlign w:val="center"/>
          </w:tcPr>
          <w:p w14:paraId="40370F5A" w14:textId="77777777" w:rsidR="008F427D" w:rsidRDefault="008F427D" w:rsidP="00F27A8B">
            <w:pPr>
              <w:spacing w:line="240" w:lineRule="auto"/>
              <w:jc w:val="center"/>
              <w:rPr>
                <w:rFonts w:eastAsia="Times New Roman"/>
              </w:rPr>
            </w:pPr>
          </w:p>
        </w:tc>
        <w:tc>
          <w:tcPr>
            <w:tcW w:w="1549" w:type="dxa"/>
            <w:vAlign w:val="center"/>
          </w:tcPr>
          <w:p w14:paraId="1B54B861" w14:textId="77777777" w:rsidR="008F427D" w:rsidRDefault="008F427D" w:rsidP="00F27A8B">
            <w:pPr>
              <w:spacing w:line="240" w:lineRule="auto"/>
              <w:jc w:val="center"/>
              <w:rPr>
                <w:rFonts w:eastAsia="Times New Roman"/>
              </w:rPr>
            </w:pPr>
          </w:p>
        </w:tc>
      </w:tr>
      <w:tr w:rsidR="00F92EC8" w14:paraId="3EBF514C" w14:textId="77777777" w:rsidTr="00F27A8B">
        <w:trPr>
          <w:trHeight w:val="379"/>
        </w:trPr>
        <w:tc>
          <w:tcPr>
            <w:tcW w:w="1836" w:type="dxa"/>
            <w:vAlign w:val="center"/>
          </w:tcPr>
          <w:p w14:paraId="043A5FEF" w14:textId="7EF30E03" w:rsidR="008F427D" w:rsidRDefault="008F427D" w:rsidP="00F27A8B">
            <w:pPr>
              <w:spacing w:line="240" w:lineRule="auto"/>
              <w:jc w:val="right"/>
              <w:rPr>
                <w:rFonts w:eastAsia="Times New Roman"/>
              </w:rPr>
            </w:pPr>
            <w:r>
              <w:rPr>
                <w:rFonts w:eastAsia="Times New Roman"/>
              </w:rPr>
              <w:t>Miscellaneous</w:t>
            </w:r>
          </w:p>
        </w:tc>
        <w:tc>
          <w:tcPr>
            <w:tcW w:w="1548" w:type="dxa"/>
            <w:vAlign w:val="center"/>
          </w:tcPr>
          <w:p w14:paraId="4E7F1683" w14:textId="27DE5FAD" w:rsidR="008F427D" w:rsidRDefault="00593CB0" w:rsidP="00F27A8B">
            <w:pPr>
              <w:spacing w:line="240" w:lineRule="auto"/>
              <w:jc w:val="center"/>
              <w:rPr>
                <w:rFonts w:eastAsia="Times New Roman"/>
              </w:rPr>
            </w:pPr>
            <w:r>
              <w:rPr>
                <w:rFonts w:eastAsia="Times New Roman"/>
              </w:rPr>
              <w:t>0.1072</w:t>
            </w:r>
          </w:p>
        </w:tc>
        <w:tc>
          <w:tcPr>
            <w:tcW w:w="1547" w:type="dxa"/>
            <w:vAlign w:val="center"/>
          </w:tcPr>
          <w:p w14:paraId="7C8F6C63" w14:textId="77777777" w:rsidR="008F427D" w:rsidRDefault="008F427D" w:rsidP="00F27A8B">
            <w:pPr>
              <w:spacing w:line="240" w:lineRule="auto"/>
              <w:jc w:val="center"/>
              <w:rPr>
                <w:rFonts w:eastAsia="Times New Roman"/>
              </w:rPr>
            </w:pPr>
          </w:p>
        </w:tc>
        <w:tc>
          <w:tcPr>
            <w:tcW w:w="1548" w:type="dxa"/>
            <w:vAlign w:val="center"/>
          </w:tcPr>
          <w:p w14:paraId="253E1923" w14:textId="77777777" w:rsidR="008F427D" w:rsidRDefault="008F427D" w:rsidP="00F27A8B">
            <w:pPr>
              <w:spacing w:line="240" w:lineRule="auto"/>
              <w:jc w:val="center"/>
              <w:rPr>
                <w:rFonts w:eastAsia="Times New Roman"/>
              </w:rPr>
            </w:pPr>
          </w:p>
        </w:tc>
        <w:tc>
          <w:tcPr>
            <w:tcW w:w="1549" w:type="dxa"/>
            <w:vAlign w:val="center"/>
          </w:tcPr>
          <w:p w14:paraId="5A572144" w14:textId="77777777" w:rsidR="008F427D" w:rsidRDefault="008F427D" w:rsidP="00F27A8B">
            <w:pPr>
              <w:spacing w:line="240" w:lineRule="auto"/>
              <w:jc w:val="center"/>
              <w:rPr>
                <w:rFonts w:eastAsia="Times New Roman"/>
              </w:rPr>
            </w:pPr>
          </w:p>
        </w:tc>
        <w:tc>
          <w:tcPr>
            <w:tcW w:w="1549" w:type="dxa"/>
            <w:vAlign w:val="center"/>
          </w:tcPr>
          <w:p w14:paraId="5BA40777" w14:textId="7355052B" w:rsidR="008F427D" w:rsidRDefault="00593CB0" w:rsidP="00F27A8B">
            <w:pPr>
              <w:spacing w:line="240" w:lineRule="auto"/>
              <w:jc w:val="center"/>
              <w:rPr>
                <w:rFonts w:eastAsia="Times New Roman"/>
              </w:rPr>
            </w:pPr>
            <w:r>
              <w:rPr>
                <w:rFonts w:eastAsia="Times New Roman"/>
              </w:rPr>
              <w:t>0.1474</w:t>
            </w:r>
          </w:p>
        </w:tc>
      </w:tr>
      <w:tr w:rsidR="00F92EC8" w14:paraId="0C51F5AC" w14:textId="77777777" w:rsidTr="00F27A8B">
        <w:trPr>
          <w:trHeight w:val="355"/>
        </w:trPr>
        <w:tc>
          <w:tcPr>
            <w:tcW w:w="1836" w:type="dxa"/>
            <w:vAlign w:val="center"/>
          </w:tcPr>
          <w:p w14:paraId="29D587BC" w14:textId="3C3899B5" w:rsidR="00593CB0" w:rsidRDefault="00593CB0" w:rsidP="00F27A8B">
            <w:pPr>
              <w:spacing w:line="240" w:lineRule="auto"/>
              <w:jc w:val="right"/>
              <w:rPr>
                <w:rFonts w:eastAsia="Times New Roman"/>
              </w:rPr>
            </w:pPr>
            <w:r>
              <w:rPr>
                <w:rFonts w:eastAsia="Times New Roman"/>
              </w:rPr>
              <w:t>Algae</w:t>
            </w:r>
          </w:p>
        </w:tc>
        <w:tc>
          <w:tcPr>
            <w:tcW w:w="1548" w:type="dxa"/>
            <w:vAlign w:val="center"/>
          </w:tcPr>
          <w:p w14:paraId="7FC4FCE7" w14:textId="77777777" w:rsidR="00593CB0" w:rsidRDefault="00593CB0" w:rsidP="00F27A8B">
            <w:pPr>
              <w:spacing w:line="240" w:lineRule="auto"/>
              <w:jc w:val="center"/>
              <w:rPr>
                <w:rFonts w:eastAsia="Times New Roman"/>
              </w:rPr>
            </w:pPr>
          </w:p>
        </w:tc>
        <w:tc>
          <w:tcPr>
            <w:tcW w:w="1547" w:type="dxa"/>
            <w:vAlign w:val="center"/>
          </w:tcPr>
          <w:p w14:paraId="4327204E" w14:textId="17E9F4C8" w:rsidR="00593CB0" w:rsidRDefault="00593CB0" w:rsidP="00F27A8B">
            <w:pPr>
              <w:spacing w:line="240" w:lineRule="auto"/>
              <w:jc w:val="center"/>
              <w:rPr>
                <w:rFonts w:eastAsia="Times New Roman"/>
              </w:rPr>
            </w:pPr>
            <w:r>
              <w:rPr>
                <w:rFonts w:eastAsia="Times New Roman"/>
              </w:rPr>
              <w:t>0.1306</w:t>
            </w:r>
          </w:p>
        </w:tc>
        <w:tc>
          <w:tcPr>
            <w:tcW w:w="1548" w:type="dxa"/>
            <w:vAlign w:val="center"/>
          </w:tcPr>
          <w:p w14:paraId="4F0F29E0" w14:textId="06B0AA45" w:rsidR="00593CB0" w:rsidRDefault="00593CB0" w:rsidP="00F27A8B">
            <w:pPr>
              <w:spacing w:line="240" w:lineRule="auto"/>
              <w:jc w:val="center"/>
              <w:rPr>
                <w:rFonts w:eastAsia="Times New Roman"/>
              </w:rPr>
            </w:pPr>
            <w:r>
              <w:rPr>
                <w:rFonts w:eastAsia="Times New Roman"/>
              </w:rPr>
              <w:t>0.0822</w:t>
            </w:r>
          </w:p>
        </w:tc>
        <w:tc>
          <w:tcPr>
            <w:tcW w:w="1549" w:type="dxa"/>
            <w:vAlign w:val="center"/>
          </w:tcPr>
          <w:p w14:paraId="13C6528A" w14:textId="46679466" w:rsidR="00593CB0" w:rsidRDefault="00593CB0" w:rsidP="00F27A8B">
            <w:pPr>
              <w:spacing w:line="240" w:lineRule="auto"/>
              <w:jc w:val="center"/>
              <w:rPr>
                <w:rFonts w:eastAsia="Times New Roman"/>
              </w:rPr>
            </w:pPr>
            <w:r>
              <w:rPr>
                <w:rFonts w:eastAsia="Times New Roman"/>
              </w:rPr>
              <w:t>0.0845</w:t>
            </w:r>
          </w:p>
        </w:tc>
        <w:tc>
          <w:tcPr>
            <w:tcW w:w="1549" w:type="dxa"/>
            <w:vAlign w:val="center"/>
          </w:tcPr>
          <w:p w14:paraId="3A593BA5" w14:textId="77777777" w:rsidR="00593CB0" w:rsidRDefault="00593CB0" w:rsidP="00F27A8B">
            <w:pPr>
              <w:spacing w:line="240" w:lineRule="auto"/>
              <w:jc w:val="center"/>
              <w:rPr>
                <w:rFonts w:eastAsia="Times New Roman"/>
              </w:rPr>
            </w:pPr>
          </w:p>
        </w:tc>
      </w:tr>
      <w:tr w:rsidR="00F92EC8" w14:paraId="3494C3AF" w14:textId="77777777" w:rsidTr="00F27A8B">
        <w:trPr>
          <w:trHeight w:val="758"/>
        </w:trPr>
        <w:tc>
          <w:tcPr>
            <w:tcW w:w="1836" w:type="dxa"/>
            <w:vAlign w:val="center"/>
          </w:tcPr>
          <w:p w14:paraId="1E04FE30" w14:textId="40A2808C" w:rsidR="00593CB0" w:rsidRDefault="00593CB0" w:rsidP="00F27A8B">
            <w:pPr>
              <w:spacing w:line="240" w:lineRule="auto"/>
              <w:jc w:val="right"/>
              <w:rPr>
                <w:rFonts w:eastAsia="Times New Roman"/>
              </w:rPr>
            </w:pPr>
            <w:r>
              <w:rPr>
                <w:rFonts w:eastAsia="Times New Roman"/>
              </w:rPr>
              <w:t>Undigestible Material</w:t>
            </w:r>
          </w:p>
        </w:tc>
        <w:tc>
          <w:tcPr>
            <w:tcW w:w="1548" w:type="dxa"/>
            <w:vAlign w:val="center"/>
          </w:tcPr>
          <w:p w14:paraId="40984883" w14:textId="77777777" w:rsidR="00593CB0" w:rsidRDefault="00593CB0" w:rsidP="00F27A8B">
            <w:pPr>
              <w:spacing w:line="240" w:lineRule="auto"/>
              <w:jc w:val="center"/>
              <w:rPr>
                <w:rFonts w:eastAsia="Times New Roman"/>
              </w:rPr>
            </w:pPr>
          </w:p>
        </w:tc>
        <w:tc>
          <w:tcPr>
            <w:tcW w:w="1547" w:type="dxa"/>
            <w:vAlign w:val="center"/>
          </w:tcPr>
          <w:p w14:paraId="2D229199" w14:textId="3F97A449" w:rsidR="00593CB0" w:rsidRDefault="00593CB0" w:rsidP="00F27A8B">
            <w:pPr>
              <w:spacing w:line="240" w:lineRule="auto"/>
              <w:jc w:val="center"/>
              <w:rPr>
                <w:rFonts w:eastAsia="Times New Roman"/>
              </w:rPr>
            </w:pPr>
            <w:r>
              <w:rPr>
                <w:rFonts w:eastAsia="Times New Roman"/>
              </w:rPr>
              <w:t>0.2132</w:t>
            </w:r>
          </w:p>
        </w:tc>
        <w:tc>
          <w:tcPr>
            <w:tcW w:w="1548" w:type="dxa"/>
            <w:vAlign w:val="center"/>
          </w:tcPr>
          <w:p w14:paraId="2238636A" w14:textId="145C291B" w:rsidR="00593CB0" w:rsidRDefault="00F455B3" w:rsidP="00F27A8B">
            <w:pPr>
              <w:spacing w:line="240" w:lineRule="auto"/>
              <w:jc w:val="center"/>
              <w:rPr>
                <w:rFonts w:eastAsia="Times New Roman"/>
              </w:rPr>
            </w:pPr>
            <w:r>
              <w:rPr>
                <w:rFonts w:eastAsia="Times New Roman"/>
              </w:rPr>
              <w:t>0.2341</w:t>
            </w:r>
          </w:p>
        </w:tc>
        <w:tc>
          <w:tcPr>
            <w:tcW w:w="1549" w:type="dxa"/>
            <w:vAlign w:val="center"/>
          </w:tcPr>
          <w:p w14:paraId="684AA243" w14:textId="77777777" w:rsidR="00593CB0" w:rsidRDefault="00593CB0" w:rsidP="00F27A8B">
            <w:pPr>
              <w:spacing w:line="240" w:lineRule="auto"/>
              <w:jc w:val="center"/>
              <w:rPr>
                <w:rFonts w:eastAsia="Times New Roman"/>
              </w:rPr>
            </w:pPr>
          </w:p>
        </w:tc>
        <w:tc>
          <w:tcPr>
            <w:tcW w:w="1549" w:type="dxa"/>
            <w:vAlign w:val="center"/>
          </w:tcPr>
          <w:p w14:paraId="123FCC7E" w14:textId="77777777" w:rsidR="00593CB0" w:rsidRDefault="00593CB0" w:rsidP="00F27A8B">
            <w:pPr>
              <w:spacing w:line="240" w:lineRule="auto"/>
              <w:jc w:val="center"/>
              <w:rPr>
                <w:rFonts w:eastAsia="Times New Roman"/>
              </w:rPr>
            </w:pPr>
          </w:p>
        </w:tc>
      </w:tr>
      <w:tr w:rsidR="00F92EC8" w14:paraId="72A51772" w14:textId="77777777" w:rsidTr="00F27A8B">
        <w:trPr>
          <w:trHeight w:val="567"/>
        </w:trPr>
        <w:tc>
          <w:tcPr>
            <w:tcW w:w="1836" w:type="dxa"/>
            <w:vAlign w:val="center"/>
          </w:tcPr>
          <w:p w14:paraId="61840663" w14:textId="6E267A54" w:rsidR="00F455B3" w:rsidRDefault="00F455B3" w:rsidP="00F27A8B">
            <w:pPr>
              <w:spacing w:line="240" w:lineRule="auto"/>
              <w:jc w:val="right"/>
              <w:rPr>
                <w:rFonts w:eastAsia="Times New Roman"/>
              </w:rPr>
            </w:pPr>
            <w:r>
              <w:rPr>
                <w:rFonts w:eastAsia="Times New Roman"/>
              </w:rPr>
              <w:t>Digested Material</w:t>
            </w:r>
          </w:p>
        </w:tc>
        <w:tc>
          <w:tcPr>
            <w:tcW w:w="1548" w:type="dxa"/>
            <w:vAlign w:val="center"/>
          </w:tcPr>
          <w:p w14:paraId="20F5E2D4" w14:textId="1F95D920" w:rsidR="00F455B3" w:rsidRDefault="00F455B3" w:rsidP="00F27A8B">
            <w:pPr>
              <w:spacing w:line="240" w:lineRule="auto"/>
              <w:jc w:val="center"/>
              <w:rPr>
                <w:rFonts w:eastAsia="Times New Roman"/>
              </w:rPr>
            </w:pPr>
            <w:r>
              <w:rPr>
                <w:rFonts w:eastAsia="Times New Roman"/>
              </w:rPr>
              <w:t>0.2739</w:t>
            </w:r>
          </w:p>
        </w:tc>
        <w:tc>
          <w:tcPr>
            <w:tcW w:w="1547" w:type="dxa"/>
            <w:vAlign w:val="center"/>
          </w:tcPr>
          <w:p w14:paraId="140B90D9" w14:textId="6F34D904" w:rsidR="00F455B3" w:rsidRPr="003271A6" w:rsidRDefault="00F455B3" w:rsidP="00F27A8B">
            <w:pPr>
              <w:spacing w:line="240" w:lineRule="auto"/>
              <w:jc w:val="center"/>
              <w:rPr>
                <w:rFonts w:eastAsia="Times New Roman"/>
                <w:b/>
                <w:bCs/>
              </w:rPr>
            </w:pPr>
            <w:r w:rsidRPr="003271A6">
              <w:rPr>
                <w:rFonts w:eastAsia="Times New Roman"/>
                <w:b/>
                <w:bCs/>
              </w:rPr>
              <w:t>0.4814</w:t>
            </w:r>
            <w:r w:rsidRPr="00E26D55">
              <w:rPr>
                <w:rFonts w:eastAsia="Times New Roman"/>
                <w:b/>
                <w:bCs/>
                <w:vertAlign w:val="superscript"/>
              </w:rPr>
              <w:t>*</w:t>
            </w:r>
          </w:p>
        </w:tc>
        <w:tc>
          <w:tcPr>
            <w:tcW w:w="1548" w:type="dxa"/>
            <w:vAlign w:val="center"/>
          </w:tcPr>
          <w:p w14:paraId="1AC0804B" w14:textId="516A4316" w:rsidR="00F455B3" w:rsidRDefault="00F455B3" w:rsidP="00F27A8B">
            <w:pPr>
              <w:spacing w:line="240" w:lineRule="auto"/>
              <w:jc w:val="center"/>
              <w:rPr>
                <w:rFonts w:eastAsia="Times New Roman"/>
              </w:rPr>
            </w:pPr>
            <w:r>
              <w:rPr>
                <w:rFonts w:eastAsia="Times New Roman"/>
              </w:rPr>
              <w:t>0.1756</w:t>
            </w:r>
          </w:p>
        </w:tc>
        <w:tc>
          <w:tcPr>
            <w:tcW w:w="1549" w:type="dxa"/>
            <w:vAlign w:val="center"/>
          </w:tcPr>
          <w:p w14:paraId="66067E35" w14:textId="7F5443B4" w:rsidR="00F455B3" w:rsidRPr="003271A6" w:rsidRDefault="00F455B3" w:rsidP="00F27A8B">
            <w:pPr>
              <w:spacing w:line="240" w:lineRule="auto"/>
              <w:jc w:val="center"/>
              <w:rPr>
                <w:rFonts w:eastAsia="Times New Roman"/>
                <w:b/>
                <w:bCs/>
              </w:rPr>
            </w:pPr>
            <w:r w:rsidRPr="003271A6">
              <w:rPr>
                <w:rFonts w:eastAsia="Times New Roman"/>
                <w:b/>
                <w:bCs/>
              </w:rPr>
              <w:t>0.6668</w:t>
            </w:r>
            <w:r w:rsidRPr="00E26D55">
              <w:rPr>
                <w:rFonts w:eastAsia="Times New Roman"/>
                <w:b/>
                <w:bCs/>
                <w:vertAlign w:val="superscript"/>
              </w:rPr>
              <w:t>***</w:t>
            </w:r>
          </w:p>
        </w:tc>
        <w:tc>
          <w:tcPr>
            <w:tcW w:w="1549" w:type="dxa"/>
            <w:vAlign w:val="center"/>
          </w:tcPr>
          <w:p w14:paraId="2224A39A" w14:textId="4F110B16" w:rsidR="00F455B3" w:rsidRDefault="00F455B3" w:rsidP="00F27A8B">
            <w:pPr>
              <w:spacing w:line="240" w:lineRule="auto"/>
              <w:jc w:val="center"/>
              <w:rPr>
                <w:rFonts w:eastAsia="Times New Roman"/>
              </w:rPr>
            </w:pPr>
            <w:r>
              <w:rPr>
                <w:rFonts w:eastAsia="Times New Roman"/>
              </w:rPr>
              <w:t>0.1715</w:t>
            </w:r>
          </w:p>
        </w:tc>
      </w:tr>
    </w:tbl>
    <w:p w14:paraId="26E1CF87" w14:textId="260712D0" w:rsidR="00956B62" w:rsidRPr="006F1F4B" w:rsidRDefault="00FF447B" w:rsidP="00D13D88">
      <w:r w:rsidRPr="006F1F4B">
        <w:t>***p&lt;0.001 **0.001&lt;p&lt;0.01 *0.01&lt;p&lt;0.05</w:t>
      </w:r>
      <w:r w:rsidR="00956B62" w:rsidRPr="006F1F4B">
        <w:rPr>
          <w:b/>
          <w:bCs/>
        </w:rPr>
        <w:br w:type="page"/>
      </w:r>
    </w:p>
    <w:p w14:paraId="242B5370" w14:textId="08E07B2B" w:rsidR="7AAF77E1" w:rsidRPr="006F1F4B" w:rsidRDefault="4F7ADE61" w:rsidP="00D13D88">
      <w:r w:rsidRPr="4F7ADE61">
        <w:rPr>
          <w:b/>
          <w:bCs/>
        </w:rPr>
        <w:lastRenderedPageBreak/>
        <w:t>Table 3.</w:t>
      </w:r>
      <w:r>
        <w:t xml:space="preserve"> Generalized linear model (GLM) with </w:t>
      </w:r>
      <w:commentRangeStart w:id="15"/>
      <w:r>
        <w:t>model weight &gt; 0.10 determined via all subsets regression. AICc: Akaike’s information criterion adjusted for small sample size; W</w:t>
      </w:r>
      <w:r w:rsidRPr="4F7ADE61">
        <w:rPr>
          <w:vertAlign w:val="subscript"/>
        </w:rPr>
        <w:t>i</w:t>
      </w:r>
      <w:r>
        <w:t>: Akaike weight</w:t>
      </w:r>
      <w:commentRangeEnd w:id="15"/>
      <w:r w:rsidR="35A80ECA">
        <w:rPr>
          <w:rStyle w:val="CommentReference"/>
        </w:rPr>
        <w:commentReference w:id="15"/>
      </w:r>
      <w:r>
        <w:t xml:space="preserve">. The response variables and best-fit models are presented in </w:t>
      </w:r>
      <w:r w:rsidRPr="4F7ADE61">
        <w:rPr>
          <w:b/>
          <w:bCs/>
        </w:rPr>
        <w:t>bold</w:t>
      </w:r>
      <w:r>
        <w:t>. Additional models for a given response variable fall below the best-fit model, and the response variable is not shown.</w:t>
      </w:r>
    </w:p>
    <w:tbl>
      <w:tblPr>
        <w:tblStyle w:val="TableGrid"/>
        <w:tblW w:w="0" w:type="auto"/>
        <w:tblBorders>
          <w:top w:val="none" w:sz="4" w:space="0" w:color="FFFFFF" w:themeColor="background1"/>
          <w:left w:val="none" w:sz="4" w:space="0" w:color="FFFFFF" w:themeColor="background1"/>
          <w:bottom w:val="none" w:sz="4" w:space="0" w:color="FFFFFF" w:themeColor="background1"/>
          <w:right w:val="none" w:sz="4" w:space="0" w:color="FFFFFF" w:themeColor="background1"/>
          <w:insideH w:val="none" w:sz="4" w:space="0" w:color="FFFFFF" w:themeColor="background1"/>
          <w:insideV w:val="none" w:sz="4" w:space="0" w:color="FFFFFF" w:themeColor="background1"/>
        </w:tblBorders>
        <w:tblLayout w:type="fixed"/>
        <w:tblLook w:val="06A0" w:firstRow="1" w:lastRow="0" w:firstColumn="1" w:lastColumn="0" w:noHBand="1" w:noVBand="1"/>
      </w:tblPr>
      <w:tblGrid>
        <w:gridCol w:w="2625"/>
        <w:gridCol w:w="2724"/>
        <w:gridCol w:w="1337"/>
        <w:gridCol w:w="1337"/>
        <w:gridCol w:w="1337"/>
      </w:tblGrid>
      <w:tr w:rsidR="296A2FDC" w:rsidRPr="006F1F4B" w14:paraId="473271BF" w14:textId="77777777" w:rsidTr="00321E19">
        <w:trPr>
          <w:trHeight w:val="300"/>
        </w:trPr>
        <w:tc>
          <w:tcPr>
            <w:tcW w:w="2625" w:type="dxa"/>
            <w:tcBorders>
              <w:top w:val="none" w:sz="4" w:space="0" w:color="FFFFFF" w:themeColor="background1"/>
              <w:left w:val="none" w:sz="4" w:space="0" w:color="FFFFFF" w:themeColor="background1"/>
              <w:bottom w:val="double" w:sz="4" w:space="0" w:color="auto"/>
              <w:right w:val="none" w:sz="4" w:space="0" w:color="FFFFFF" w:themeColor="background1"/>
            </w:tcBorders>
          </w:tcPr>
          <w:p w14:paraId="15149016" w14:textId="4C8031D9" w:rsidR="5A7C774D" w:rsidRPr="006F1F4B" w:rsidRDefault="5A7C774D" w:rsidP="00D13D88">
            <w:r w:rsidRPr="006F1F4B">
              <w:t>Response</w:t>
            </w:r>
          </w:p>
        </w:tc>
        <w:tc>
          <w:tcPr>
            <w:tcW w:w="2724" w:type="dxa"/>
            <w:tcBorders>
              <w:top w:val="none" w:sz="4" w:space="0" w:color="FFFFFF" w:themeColor="background1"/>
              <w:left w:val="none" w:sz="4" w:space="0" w:color="FFFFFF" w:themeColor="background1"/>
              <w:bottom w:val="double" w:sz="4" w:space="0" w:color="auto"/>
              <w:right w:val="none" w:sz="4" w:space="0" w:color="FFFFFF" w:themeColor="background1"/>
            </w:tcBorders>
          </w:tcPr>
          <w:p w14:paraId="42201DE5" w14:textId="14525AA8" w:rsidR="5A7C774D" w:rsidRPr="006F1F4B" w:rsidRDefault="5A7C774D" w:rsidP="00D13D88">
            <w:r w:rsidRPr="006F1F4B">
              <w:t>Model</w:t>
            </w:r>
          </w:p>
        </w:tc>
        <w:tc>
          <w:tcPr>
            <w:tcW w:w="1337" w:type="dxa"/>
            <w:tcBorders>
              <w:top w:val="none" w:sz="4" w:space="0" w:color="FFFFFF" w:themeColor="background1"/>
              <w:left w:val="none" w:sz="4" w:space="0" w:color="FFFFFF" w:themeColor="background1"/>
              <w:bottom w:val="double" w:sz="4" w:space="0" w:color="auto"/>
              <w:right w:val="none" w:sz="4" w:space="0" w:color="FFFFFF" w:themeColor="background1"/>
            </w:tcBorders>
          </w:tcPr>
          <w:p w14:paraId="7CAD1180" w14:textId="09234448" w:rsidR="5A7C774D" w:rsidRPr="006F1F4B" w:rsidRDefault="5A7C774D" w:rsidP="00D13D88">
            <w:r w:rsidRPr="006F1F4B">
              <w:t>loglik</w:t>
            </w:r>
          </w:p>
        </w:tc>
        <w:tc>
          <w:tcPr>
            <w:tcW w:w="1337" w:type="dxa"/>
            <w:tcBorders>
              <w:top w:val="none" w:sz="4" w:space="0" w:color="FFFFFF" w:themeColor="background1"/>
              <w:left w:val="none" w:sz="4" w:space="0" w:color="FFFFFF" w:themeColor="background1"/>
              <w:bottom w:val="double" w:sz="4" w:space="0" w:color="auto"/>
              <w:right w:val="none" w:sz="4" w:space="0" w:color="FFFFFF" w:themeColor="background1"/>
            </w:tcBorders>
          </w:tcPr>
          <w:p w14:paraId="36BDA503" w14:textId="134D1386" w:rsidR="5A7C774D" w:rsidRPr="006F1F4B" w:rsidRDefault="5A7C774D" w:rsidP="00D13D88">
            <w:r w:rsidRPr="006F1F4B">
              <w:t>AICc</w:t>
            </w:r>
          </w:p>
        </w:tc>
        <w:tc>
          <w:tcPr>
            <w:tcW w:w="1337" w:type="dxa"/>
            <w:tcBorders>
              <w:top w:val="none" w:sz="4" w:space="0" w:color="FFFFFF" w:themeColor="background1"/>
              <w:left w:val="none" w:sz="4" w:space="0" w:color="FFFFFF" w:themeColor="background1"/>
              <w:bottom w:val="double" w:sz="4" w:space="0" w:color="auto"/>
              <w:right w:val="none" w:sz="4" w:space="0" w:color="FFFFFF" w:themeColor="background1"/>
            </w:tcBorders>
          </w:tcPr>
          <w:p w14:paraId="4D65D90F" w14:textId="090B56D1" w:rsidR="5A7C774D" w:rsidRPr="006F1F4B" w:rsidRDefault="5A7C774D" w:rsidP="00D13D88">
            <w:r w:rsidRPr="006F1F4B">
              <w:t>W</w:t>
            </w:r>
            <w:r w:rsidRPr="006F1F4B">
              <w:rPr>
                <w:vertAlign w:val="subscript"/>
              </w:rPr>
              <w:t>i</w:t>
            </w:r>
          </w:p>
        </w:tc>
      </w:tr>
      <w:tr w:rsidR="296A2FDC" w:rsidRPr="006F1F4B" w14:paraId="250BAFB0" w14:textId="77777777" w:rsidTr="00321E19">
        <w:trPr>
          <w:trHeight w:val="300"/>
        </w:trPr>
        <w:tc>
          <w:tcPr>
            <w:tcW w:w="2625" w:type="dxa"/>
            <w:vMerge w:val="restart"/>
            <w:tcBorders>
              <w:top w:val="double" w:sz="4" w:space="0" w:color="auto"/>
            </w:tcBorders>
          </w:tcPr>
          <w:p w14:paraId="78B19C06" w14:textId="1F748525" w:rsidR="257A737C" w:rsidRPr="006F1F4B" w:rsidRDefault="257A737C" w:rsidP="00D13D88">
            <w:r w:rsidRPr="006F1F4B">
              <w:t>Food in Stomach (0 or 1)</w:t>
            </w:r>
          </w:p>
        </w:tc>
        <w:tc>
          <w:tcPr>
            <w:tcW w:w="2724" w:type="dxa"/>
            <w:tcBorders>
              <w:top w:val="double" w:sz="4" w:space="0" w:color="auto"/>
            </w:tcBorders>
          </w:tcPr>
          <w:p w14:paraId="32CF860E" w14:textId="63C6C3A5" w:rsidR="72A1872C" w:rsidRPr="006F1F4B" w:rsidRDefault="330F1380" w:rsidP="00D13D88">
            <w:r w:rsidRPr="006F1F4B">
              <w:t>Species</w:t>
            </w:r>
          </w:p>
        </w:tc>
        <w:tc>
          <w:tcPr>
            <w:tcW w:w="1337" w:type="dxa"/>
            <w:tcBorders>
              <w:top w:val="double" w:sz="4" w:space="0" w:color="auto"/>
            </w:tcBorders>
          </w:tcPr>
          <w:p w14:paraId="6018C393" w14:textId="5D0A75A3" w:rsidR="72A1872C" w:rsidRPr="006F1F4B" w:rsidRDefault="330F1380" w:rsidP="00D13D88">
            <w:r w:rsidRPr="006F1F4B">
              <w:t>-36.188</w:t>
            </w:r>
          </w:p>
        </w:tc>
        <w:tc>
          <w:tcPr>
            <w:tcW w:w="1337" w:type="dxa"/>
            <w:tcBorders>
              <w:top w:val="double" w:sz="4" w:space="0" w:color="auto"/>
            </w:tcBorders>
          </w:tcPr>
          <w:p w14:paraId="6626BDE4" w14:textId="5B401254" w:rsidR="72A1872C" w:rsidRPr="006F1F4B" w:rsidRDefault="330F1380" w:rsidP="00D13D88">
            <w:r w:rsidRPr="006F1F4B">
              <w:t>76.5</w:t>
            </w:r>
          </w:p>
        </w:tc>
        <w:tc>
          <w:tcPr>
            <w:tcW w:w="1337" w:type="dxa"/>
            <w:tcBorders>
              <w:top w:val="double" w:sz="4" w:space="0" w:color="auto"/>
            </w:tcBorders>
          </w:tcPr>
          <w:p w14:paraId="5EB790B1" w14:textId="7491EAB8" w:rsidR="72A1872C" w:rsidRPr="006F1F4B" w:rsidRDefault="330F1380" w:rsidP="00D13D88">
            <w:r w:rsidRPr="006F1F4B">
              <w:t>0.473</w:t>
            </w:r>
          </w:p>
        </w:tc>
      </w:tr>
      <w:tr w:rsidR="296A2FDC" w:rsidRPr="006F1F4B" w14:paraId="2DF022A0" w14:textId="77777777" w:rsidTr="67142E0A">
        <w:trPr>
          <w:trHeight w:val="405"/>
        </w:trPr>
        <w:tc>
          <w:tcPr>
            <w:tcW w:w="2625" w:type="dxa"/>
            <w:vMerge/>
          </w:tcPr>
          <w:p w14:paraId="04C5A9CD" w14:textId="77777777" w:rsidR="00111DA7" w:rsidRPr="006F1F4B" w:rsidRDefault="00111DA7" w:rsidP="00D13D88"/>
        </w:tc>
        <w:tc>
          <w:tcPr>
            <w:tcW w:w="2724" w:type="dxa"/>
          </w:tcPr>
          <w:p w14:paraId="292B4081" w14:textId="76FF02DE" w:rsidR="72A1872C" w:rsidRPr="006F1F4B" w:rsidRDefault="72A1872C" w:rsidP="00D13D88">
            <w:r w:rsidRPr="006F1F4B">
              <w:t>Species + Year</w:t>
            </w:r>
          </w:p>
        </w:tc>
        <w:tc>
          <w:tcPr>
            <w:tcW w:w="1337" w:type="dxa"/>
          </w:tcPr>
          <w:p w14:paraId="659B4288" w14:textId="15C04840" w:rsidR="72A1872C" w:rsidRPr="006F1F4B" w:rsidRDefault="72A1872C" w:rsidP="00D13D88">
            <w:r w:rsidRPr="006F1F4B">
              <w:t>-35.982</w:t>
            </w:r>
          </w:p>
        </w:tc>
        <w:tc>
          <w:tcPr>
            <w:tcW w:w="1337" w:type="dxa"/>
          </w:tcPr>
          <w:p w14:paraId="0B41AD66" w14:textId="3BD600D2" w:rsidR="72A1872C" w:rsidRPr="006F1F4B" w:rsidRDefault="72A1872C" w:rsidP="00D13D88">
            <w:r w:rsidRPr="006F1F4B">
              <w:t>78.2</w:t>
            </w:r>
          </w:p>
        </w:tc>
        <w:tc>
          <w:tcPr>
            <w:tcW w:w="1337" w:type="dxa"/>
          </w:tcPr>
          <w:p w14:paraId="6EA84001" w14:textId="45A37884" w:rsidR="72A1872C" w:rsidRPr="006F1F4B" w:rsidRDefault="72A1872C" w:rsidP="00D13D88">
            <w:r w:rsidRPr="006F1F4B">
              <w:t>0.203</w:t>
            </w:r>
          </w:p>
        </w:tc>
      </w:tr>
      <w:tr w:rsidR="296A2FDC" w:rsidRPr="006F1F4B" w14:paraId="3254A475" w14:textId="77777777" w:rsidTr="00686C7B">
        <w:trPr>
          <w:trHeight w:val="300"/>
        </w:trPr>
        <w:tc>
          <w:tcPr>
            <w:tcW w:w="2625" w:type="dxa"/>
            <w:vMerge/>
            <w:tcBorders>
              <w:bottom w:val="single" w:sz="18" w:space="0" w:color="auto"/>
            </w:tcBorders>
          </w:tcPr>
          <w:p w14:paraId="7F057425" w14:textId="77777777" w:rsidR="00111DA7" w:rsidRPr="006F1F4B" w:rsidRDefault="00111DA7" w:rsidP="00D13D88"/>
        </w:tc>
        <w:tc>
          <w:tcPr>
            <w:tcW w:w="2724" w:type="dxa"/>
            <w:tcBorders>
              <w:bottom w:val="single" w:sz="18" w:space="0" w:color="auto"/>
            </w:tcBorders>
          </w:tcPr>
          <w:p w14:paraId="2CB2A2EB" w14:textId="071FE068" w:rsidR="72A1872C" w:rsidRPr="006F1F4B" w:rsidRDefault="72A1872C" w:rsidP="00D13D88">
            <w:r w:rsidRPr="006F1F4B">
              <w:t>Species + Month</w:t>
            </w:r>
          </w:p>
        </w:tc>
        <w:tc>
          <w:tcPr>
            <w:tcW w:w="1337" w:type="dxa"/>
            <w:tcBorders>
              <w:bottom w:val="single" w:sz="18" w:space="0" w:color="auto"/>
            </w:tcBorders>
          </w:tcPr>
          <w:p w14:paraId="356E7B91" w14:textId="34E98B15" w:rsidR="72A1872C" w:rsidRPr="006F1F4B" w:rsidRDefault="72A1872C" w:rsidP="00D13D88">
            <w:r w:rsidRPr="006F1F4B">
              <w:t>-35.132</w:t>
            </w:r>
          </w:p>
        </w:tc>
        <w:tc>
          <w:tcPr>
            <w:tcW w:w="1337" w:type="dxa"/>
            <w:tcBorders>
              <w:bottom w:val="single" w:sz="18" w:space="0" w:color="auto"/>
            </w:tcBorders>
          </w:tcPr>
          <w:p w14:paraId="46DB83ED" w14:textId="09B4E6FB" w:rsidR="72A1872C" w:rsidRPr="006F1F4B" w:rsidRDefault="72A1872C" w:rsidP="00D13D88">
            <w:r w:rsidRPr="006F1F4B">
              <w:t>78.6</w:t>
            </w:r>
          </w:p>
        </w:tc>
        <w:tc>
          <w:tcPr>
            <w:tcW w:w="1337" w:type="dxa"/>
            <w:tcBorders>
              <w:bottom w:val="single" w:sz="18" w:space="0" w:color="auto"/>
            </w:tcBorders>
          </w:tcPr>
          <w:p w14:paraId="02241CE4" w14:textId="78C335CE" w:rsidR="72A1872C" w:rsidRPr="006F1F4B" w:rsidRDefault="72A1872C" w:rsidP="00D13D88">
            <w:r w:rsidRPr="006F1F4B">
              <w:t>0.164</w:t>
            </w:r>
          </w:p>
        </w:tc>
      </w:tr>
      <w:tr w:rsidR="296A2FDC" w:rsidRPr="006F1F4B" w14:paraId="759A6777" w14:textId="77777777" w:rsidTr="00686C7B">
        <w:trPr>
          <w:trHeight w:val="300"/>
        </w:trPr>
        <w:tc>
          <w:tcPr>
            <w:tcW w:w="2625" w:type="dxa"/>
            <w:vMerge w:val="restart"/>
            <w:tcBorders>
              <w:top w:val="single" w:sz="18" w:space="0" w:color="auto"/>
            </w:tcBorders>
          </w:tcPr>
          <w:p w14:paraId="657BC5FE" w14:textId="2F339674" w:rsidR="72A1872C" w:rsidRPr="006F1F4B" w:rsidRDefault="330F1380" w:rsidP="00D13D88">
            <w:r w:rsidRPr="006F1F4B">
              <w:t>Relative Consumption</w:t>
            </w:r>
          </w:p>
        </w:tc>
        <w:tc>
          <w:tcPr>
            <w:tcW w:w="2724" w:type="dxa"/>
            <w:tcBorders>
              <w:top w:val="single" w:sz="18" w:space="0" w:color="auto"/>
            </w:tcBorders>
          </w:tcPr>
          <w:p w14:paraId="7E5A9A16" w14:textId="4497387D" w:rsidR="72A1872C" w:rsidRPr="006F1F4B" w:rsidRDefault="330F1380" w:rsidP="00D13D88">
            <w:r w:rsidRPr="006F1F4B">
              <w:t>Species + Year</w:t>
            </w:r>
          </w:p>
        </w:tc>
        <w:tc>
          <w:tcPr>
            <w:tcW w:w="1337" w:type="dxa"/>
            <w:tcBorders>
              <w:top w:val="single" w:sz="18" w:space="0" w:color="auto"/>
            </w:tcBorders>
          </w:tcPr>
          <w:p w14:paraId="678C1A10" w14:textId="1911541F" w:rsidR="72A1872C" w:rsidRPr="006F1F4B" w:rsidRDefault="330F1380" w:rsidP="00D13D88">
            <w:r w:rsidRPr="006F1F4B">
              <w:t>-222.535</w:t>
            </w:r>
          </w:p>
        </w:tc>
        <w:tc>
          <w:tcPr>
            <w:tcW w:w="1337" w:type="dxa"/>
            <w:tcBorders>
              <w:top w:val="single" w:sz="18" w:space="0" w:color="auto"/>
            </w:tcBorders>
          </w:tcPr>
          <w:p w14:paraId="51A7DB5F" w14:textId="2678AE20" w:rsidR="72A1872C" w:rsidRPr="006F1F4B" w:rsidRDefault="330F1380" w:rsidP="00D13D88">
            <w:r w:rsidRPr="006F1F4B">
              <w:t>453.4</w:t>
            </w:r>
          </w:p>
        </w:tc>
        <w:tc>
          <w:tcPr>
            <w:tcW w:w="1337" w:type="dxa"/>
            <w:tcBorders>
              <w:top w:val="single" w:sz="18" w:space="0" w:color="auto"/>
            </w:tcBorders>
          </w:tcPr>
          <w:p w14:paraId="243335B0" w14:textId="0A83B313" w:rsidR="72A1872C" w:rsidRPr="006F1F4B" w:rsidRDefault="330F1380" w:rsidP="00D13D88">
            <w:r w:rsidRPr="006F1F4B">
              <w:t>0.582</w:t>
            </w:r>
          </w:p>
        </w:tc>
      </w:tr>
      <w:tr w:rsidR="296A2FDC" w:rsidRPr="006F1F4B" w14:paraId="72F80A68" w14:textId="77777777" w:rsidTr="67142E0A">
        <w:trPr>
          <w:trHeight w:val="300"/>
        </w:trPr>
        <w:tc>
          <w:tcPr>
            <w:tcW w:w="2625" w:type="dxa"/>
            <w:vMerge/>
          </w:tcPr>
          <w:p w14:paraId="63152028" w14:textId="77777777" w:rsidR="00111DA7" w:rsidRPr="006F1F4B" w:rsidRDefault="00111DA7" w:rsidP="00D13D88"/>
        </w:tc>
        <w:tc>
          <w:tcPr>
            <w:tcW w:w="2724" w:type="dxa"/>
          </w:tcPr>
          <w:p w14:paraId="47D8C911" w14:textId="63517CF8" w:rsidR="72A1872C" w:rsidRPr="006F1F4B" w:rsidRDefault="72A1872C" w:rsidP="00D13D88">
            <w:r w:rsidRPr="006F1F4B">
              <w:t>Species</w:t>
            </w:r>
          </w:p>
        </w:tc>
        <w:tc>
          <w:tcPr>
            <w:tcW w:w="1337" w:type="dxa"/>
          </w:tcPr>
          <w:p w14:paraId="399552E5" w14:textId="42924F3A" w:rsidR="72A1872C" w:rsidRPr="006F1F4B" w:rsidRDefault="72A1872C" w:rsidP="00D13D88">
            <w:r w:rsidRPr="006F1F4B">
              <w:t>-224.346</w:t>
            </w:r>
          </w:p>
        </w:tc>
        <w:tc>
          <w:tcPr>
            <w:tcW w:w="1337" w:type="dxa"/>
          </w:tcPr>
          <w:p w14:paraId="0793147C" w14:textId="2349D161" w:rsidR="72A1872C" w:rsidRPr="006F1F4B" w:rsidRDefault="72A1872C" w:rsidP="00D13D88">
            <w:r w:rsidRPr="006F1F4B">
              <w:t>454.9</w:t>
            </w:r>
          </w:p>
        </w:tc>
        <w:tc>
          <w:tcPr>
            <w:tcW w:w="1337" w:type="dxa"/>
          </w:tcPr>
          <w:p w14:paraId="3E7C9488" w14:textId="43861923" w:rsidR="72A1872C" w:rsidRPr="006F1F4B" w:rsidRDefault="72A1872C" w:rsidP="00D13D88">
            <w:r w:rsidRPr="006F1F4B">
              <w:t>0.279</w:t>
            </w:r>
          </w:p>
        </w:tc>
      </w:tr>
    </w:tbl>
    <w:p w14:paraId="6404663B" w14:textId="77777777" w:rsidR="00321E19" w:rsidRPr="006F1F4B" w:rsidRDefault="00321E19" w:rsidP="00D13D88">
      <w:pPr>
        <w:rPr>
          <w:rFonts w:eastAsia="Times New Roman"/>
        </w:rPr>
      </w:pPr>
      <w:r w:rsidRPr="006F1F4B">
        <w:br w:type="page"/>
      </w:r>
    </w:p>
    <w:p w14:paraId="30120684" w14:textId="13D81759" w:rsidR="00FF447B" w:rsidRPr="006F1F4B" w:rsidRDefault="00F64388" w:rsidP="00D13D88">
      <w:pPr>
        <w:pStyle w:val="Heading1"/>
      </w:pPr>
      <w:r w:rsidRPr="006F1F4B">
        <w:lastRenderedPageBreak/>
        <w:t xml:space="preserve">Figure </w:t>
      </w:r>
      <w:r w:rsidR="00E3280D" w:rsidRPr="006F1F4B">
        <w:t>Legends</w:t>
      </w:r>
    </w:p>
    <w:p w14:paraId="1DC17179" w14:textId="28608BBB" w:rsidR="002558C2" w:rsidRPr="006F1F4B" w:rsidRDefault="002558C2" w:rsidP="00D13D88">
      <w:r w:rsidRPr="006F1F4B">
        <w:rPr>
          <w:rStyle w:val="TitleChar"/>
        </w:rPr>
        <w:t>Figure 1.</w:t>
      </w:r>
      <w:r w:rsidRPr="006F1F4B">
        <w:t xml:space="preserve"> Frequency of Occurrence for diet categories for both Arctic char (blue) and </w:t>
      </w:r>
      <w:r w:rsidR="00A76E01">
        <w:t>s</w:t>
      </w:r>
      <w:r w:rsidRPr="006F1F4B">
        <w:t>culpin</w:t>
      </w:r>
      <w:r w:rsidR="00A76E01">
        <w:t>s</w:t>
      </w:r>
      <w:r w:rsidRPr="006F1F4B">
        <w:t xml:space="preserve"> (yellow). Silhouettes </w:t>
      </w:r>
      <w:r w:rsidR="00AF6981" w:rsidRPr="006F1F4B">
        <w:t>indicate the general appearance</w:t>
      </w:r>
      <w:r w:rsidRPr="006F1F4B">
        <w:t xml:space="preserve"> of the diet item, note that all amphipod categories are covered under the same silhouette</w:t>
      </w:r>
      <w:r w:rsidR="00AF6981" w:rsidRPr="006F1F4B">
        <w:t xml:space="preserve"> despite differences in </w:t>
      </w:r>
      <w:r w:rsidR="002D7D8E" w:rsidRPr="006F1F4B">
        <w:t>genera</w:t>
      </w:r>
      <w:r w:rsidRPr="006F1F4B">
        <w:t>. Dotted vertical lines separate rough groupings of diet items (from left to right): Fish, Amphipod</w:t>
      </w:r>
      <w:r w:rsidR="00FF2903" w:rsidRPr="006F1F4B">
        <w:t>s</w:t>
      </w:r>
      <w:r w:rsidRPr="006F1F4B">
        <w:t xml:space="preserve">, Zooplankton/Invertebrates, Miscellaneous. </w:t>
      </w:r>
      <w:r w:rsidR="00071DC8">
        <w:t xml:space="preserve">Total Fish and Total Amphipods represent </w:t>
      </w:r>
      <w:r w:rsidR="00224FE6">
        <w:t>diets possessing any of the more specific or unidentified categories</w:t>
      </w:r>
      <w:r w:rsidR="00601EC6">
        <w:t>, respectively.</w:t>
      </w:r>
    </w:p>
    <w:p w14:paraId="164F5E80" w14:textId="437961A1" w:rsidR="002558C2" w:rsidRPr="006F1F4B" w:rsidRDefault="002558C2" w:rsidP="00D13D88">
      <w:r w:rsidRPr="006F1F4B">
        <w:rPr>
          <w:rStyle w:val="TitleChar"/>
        </w:rPr>
        <w:t>Figure 2.</w:t>
      </w:r>
      <w:r w:rsidRPr="006F1F4B">
        <w:t xml:space="preserve"> Non-metric multidimensional scaling ordination of predator diet compositions simplifying a 3-dimensional ordination to 2-dimensions. Points, which represent an individual, and convex hulls are group by species (Arctic char in blue; Sculpin in yellow) and year (2017 circle points and solid line; 2018 square points and dashed line; 2019 diamond points and dotted line). The group (species and year) centroids are indicated with a red point color and shape coded in the same manner. Black lines and prey items indicate the impact of that item on diet ordination position. </w:t>
      </w:r>
    </w:p>
    <w:p w14:paraId="5E676ED6" w14:textId="77777777" w:rsidR="002558C2" w:rsidRPr="006F1F4B" w:rsidRDefault="002558C2" w:rsidP="00D13D88">
      <w:r w:rsidRPr="006F1F4B">
        <w:rPr>
          <w:rStyle w:val="TitleChar"/>
        </w:rPr>
        <w:t>Figure 3.</w:t>
      </w:r>
      <w:r w:rsidRPr="006F1F4B">
        <w:t xml:space="preserve"> Boxplots of relative consumption (percent body weight consumed) between years for Arctic char and sculpin. Each dot represents an individual stomach, with open circles marking empty stomachs. Midlines indicate median values, hinges indicate the first and third (25th and 75th) percentiles, and whiskers extend to 1.5-times the interquartile range from each hinge. </w:t>
      </w:r>
    </w:p>
    <w:p w14:paraId="22AC6D10" w14:textId="77777777" w:rsidR="003C106B" w:rsidRPr="006F1F4B" w:rsidRDefault="002558C2" w:rsidP="00D13D88">
      <w:commentRangeStart w:id="16"/>
      <w:r w:rsidRPr="006F1F4B">
        <w:rPr>
          <w:rStyle w:val="TitleChar"/>
        </w:rPr>
        <w:t>Figure 4.</w:t>
      </w:r>
      <w:commentRangeEnd w:id="16"/>
      <w:r w:rsidRPr="006F1F4B">
        <w:rPr>
          <w:rStyle w:val="TitleChar"/>
        </w:rPr>
        <w:commentReference w:id="16"/>
      </w:r>
      <w:r w:rsidRPr="006F1F4B">
        <w:t xml:space="preserve"> Yearly prey accumulation curves for Arctic char and sculpin. The dashed line indicates a cumulative curve without discriminating between years. Circles mark random samples along the curve.</w:t>
      </w:r>
    </w:p>
    <w:p w14:paraId="1A8A1367" w14:textId="53388341" w:rsidR="002558C2" w:rsidRPr="006F1F4B" w:rsidRDefault="003C106B" w:rsidP="00D13D88">
      <w:r w:rsidRPr="006F1F4B">
        <w:rPr>
          <w:rStyle w:val="TitleChar"/>
        </w:rPr>
        <w:t>Figure 5.</w:t>
      </w:r>
      <w:r w:rsidRPr="006F1F4B">
        <w:t xml:space="preserve"> </w:t>
      </w:r>
      <w:r w:rsidR="00FE70BA" w:rsidRPr="006F1F4B">
        <w:t>Distance (a) between centroids</w:t>
      </w:r>
      <w:r w:rsidR="00667E05" w:rsidRPr="006F1F4B">
        <w:t xml:space="preserve"> of different groups</w:t>
      </w:r>
      <w:r w:rsidR="00FE70BA" w:rsidRPr="006F1F4B">
        <w:t xml:space="preserve"> </w:t>
      </w:r>
      <w:r w:rsidR="00E63D74" w:rsidRPr="006F1F4B">
        <w:t>and (b) between individuals</w:t>
      </w:r>
      <w:r w:rsidR="00667E05" w:rsidRPr="006F1F4B">
        <w:t xml:space="preserve"> to the centroid</w:t>
      </w:r>
      <w:r w:rsidR="00E63D74" w:rsidRPr="006F1F4B">
        <w:t xml:space="preserve"> within a group</w:t>
      </w:r>
      <w:r w:rsidR="00667E05" w:rsidRPr="006F1F4B">
        <w:t>. Groups are</w:t>
      </w:r>
      <w:r w:rsidR="006A6CEC" w:rsidRPr="006F1F4B">
        <w:t xml:space="preserve"> a combination of predator taxa </w:t>
      </w:r>
      <w:r w:rsidR="00667E05" w:rsidRPr="006F1F4B">
        <w:t xml:space="preserve">(Arctic char and Sculpins) </w:t>
      </w:r>
      <w:r w:rsidR="006A6CEC" w:rsidRPr="006F1F4B">
        <w:t>and year</w:t>
      </w:r>
      <w:r w:rsidR="00667E05" w:rsidRPr="006F1F4B">
        <w:t xml:space="preserve"> (2017, 2018, and 2019)</w:t>
      </w:r>
      <w:r w:rsidR="006A6CEC" w:rsidRPr="006F1F4B">
        <w:t xml:space="preserve">. </w:t>
      </w:r>
      <w:r w:rsidR="00703BF0" w:rsidRPr="006F1F4B">
        <w:t>In (a), c</w:t>
      </w:r>
      <w:r w:rsidR="00A83131" w:rsidRPr="006F1F4B">
        <w:t xml:space="preserve">ells include both the distance value and are color coded according to that </w:t>
      </w:r>
      <w:r w:rsidR="002E6EF2" w:rsidRPr="006F1F4B">
        <w:t xml:space="preserve">value. Fully black cells are those between the same groups and represent a distance of 0. </w:t>
      </w:r>
      <w:r w:rsidR="00AC39F6" w:rsidRPr="006F1F4B">
        <w:t xml:space="preserve">Black outlines </w:t>
      </w:r>
      <w:r w:rsidR="00242681" w:rsidRPr="006F1F4B">
        <w:t>highlight</w:t>
      </w:r>
      <w:r w:rsidR="00AC39F6" w:rsidRPr="006F1F4B">
        <w:t xml:space="preserve"> cells which </w:t>
      </w:r>
      <w:r w:rsidR="009364B8" w:rsidRPr="006F1F4B">
        <w:t>are between the same predator taxa across years</w:t>
      </w:r>
      <w:r w:rsidR="00861BAA" w:rsidRPr="006F1F4B">
        <w:t xml:space="preserve">, red outlines </w:t>
      </w:r>
      <w:r w:rsidR="00242681" w:rsidRPr="006F1F4B">
        <w:t>highlight</w:t>
      </w:r>
      <w:r w:rsidR="00861BAA" w:rsidRPr="006F1F4B">
        <w:t xml:space="preserve"> cells comparing predator taxa within the same year.</w:t>
      </w:r>
      <w:r w:rsidR="002558C2" w:rsidRPr="006F1F4B">
        <w:br w:type="page"/>
      </w:r>
    </w:p>
    <w:p w14:paraId="17EF6A97" w14:textId="31AFBEAD" w:rsidR="002558C2" w:rsidRPr="006F1F4B" w:rsidRDefault="002558C2" w:rsidP="00D13D88">
      <w:pPr>
        <w:pStyle w:val="Heading1"/>
      </w:pPr>
      <w:r w:rsidRPr="006F1F4B">
        <w:lastRenderedPageBreak/>
        <w:t>Figures</w:t>
      </w:r>
    </w:p>
    <w:p w14:paraId="745862BF" w14:textId="00B34DAD" w:rsidR="002558C2" w:rsidRPr="006F1F4B" w:rsidRDefault="002558C2" w:rsidP="00D13D88">
      <w:pPr>
        <w:pStyle w:val="Title"/>
      </w:pPr>
      <w:r w:rsidRPr="006F1F4B">
        <w:t>Figure 1</w:t>
      </w:r>
      <w:r w:rsidR="004B3ACF">
        <w:rPr>
          <w:noProof/>
        </w:rPr>
        <w:drawing>
          <wp:inline distT="0" distB="0" distL="0" distR="0" wp14:anchorId="2ED2F22A" wp14:editId="48A59505">
            <wp:extent cx="5953125" cy="3571875"/>
            <wp:effectExtent l="0" t="0" r="9525" b="9525"/>
            <wp:docPr id="354286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3125" cy="3571875"/>
                    </a:xfrm>
                    <a:prstGeom prst="rect">
                      <a:avLst/>
                    </a:prstGeom>
                    <a:noFill/>
                    <a:ln>
                      <a:noFill/>
                    </a:ln>
                  </pic:spPr>
                </pic:pic>
              </a:graphicData>
            </a:graphic>
          </wp:inline>
        </w:drawing>
      </w:r>
      <w:r w:rsidR="00952849" w:rsidRPr="006F1F4B">
        <w:t xml:space="preserve"> </w:t>
      </w:r>
      <w:r w:rsidRPr="006F1F4B">
        <w:rPr>
          <w:rFonts w:eastAsia="Times New Roman"/>
        </w:rPr>
        <w:br w:type="page"/>
      </w:r>
    </w:p>
    <w:p w14:paraId="7C6D47DA" w14:textId="73D959D6" w:rsidR="002558C2" w:rsidRPr="006F1F4B" w:rsidRDefault="002558C2" w:rsidP="00D13D88">
      <w:pPr>
        <w:pStyle w:val="Title"/>
      </w:pPr>
      <w:r w:rsidRPr="006F1F4B">
        <w:lastRenderedPageBreak/>
        <w:t>Figure 2</w:t>
      </w:r>
    </w:p>
    <w:p w14:paraId="2B2D769C" w14:textId="1FC2391C" w:rsidR="25FBD7F8" w:rsidRPr="006F1F4B" w:rsidRDefault="00743966" w:rsidP="00D13D88">
      <w:pPr>
        <w:pStyle w:val="Title"/>
        <w:rPr>
          <w:rFonts w:eastAsia="Times New Roman"/>
        </w:rPr>
      </w:pPr>
      <w:r>
        <w:rPr>
          <w:noProof/>
        </w:rPr>
        <w:drawing>
          <wp:inline distT="0" distB="0" distL="0" distR="0" wp14:anchorId="75AB313B" wp14:editId="3F5280A3">
            <wp:extent cx="4734079" cy="7896225"/>
            <wp:effectExtent l="0" t="0" r="9525" b="0"/>
            <wp:docPr id="560423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8068" cy="7936237"/>
                    </a:xfrm>
                    <a:prstGeom prst="rect">
                      <a:avLst/>
                    </a:prstGeom>
                    <a:noFill/>
                    <a:ln>
                      <a:noFill/>
                    </a:ln>
                  </pic:spPr>
                </pic:pic>
              </a:graphicData>
            </a:graphic>
          </wp:inline>
        </w:drawing>
      </w:r>
    </w:p>
    <w:p w14:paraId="5AE55E6E" w14:textId="77777777" w:rsidR="002558C2" w:rsidRPr="006F1F4B" w:rsidRDefault="002558C2" w:rsidP="00D13D88">
      <w:pPr>
        <w:pStyle w:val="Title"/>
      </w:pPr>
      <w:r w:rsidRPr="006F1F4B">
        <w:lastRenderedPageBreak/>
        <w:t>Figure 3</w:t>
      </w:r>
    </w:p>
    <w:p w14:paraId="4B34CAB2" w14:textId="1B44984C" w:rsidR="006502A5" w:rsidRPr="006F1F4B" w:rsidRDefault="22F7D9F3" w:rsidP="00D13D88">
      <w:pPr>
        <w:pStyle w:val="Title"/>
      </w:pPr>
      <w:r w:rsidRPr="006F1F4B">
        <w:rPr>
          <w:noProof/>
        </w:rPr>
        <w:drawing>
          <wp:inline distT="0" distB="0" distL="0" distR="0" wp14:anchorId="4964C814" wp14:editId="462A91D8">
            <wp:extent cx="4572000" cy="3867150"/>
            <wp:effectExtent l="0" t="0" r="0" b="0"/>
            <wp:docPr id="2117887681" name="Picture 2117887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887681"/>
                    <pic:cNvPicPr/>
                  </pic:nvPicPr>
                  <pic:blipFill>
                    <a:blip r:embed="rId17">
                      <a:extLst>
                        <a:ext uri="{28A0092B-C50C-407E-A947-70E740481C1C}">
                          <a14:useLocalDpi xmlns:a14="http://schemas.microsoft.com/office/drawing/2010/main" val="0"/>
                        </a:ext>
                      </a:extLst>
                    </a:blip>
                    <a:stretch>
                      <a:fillRect/>
                    </a:stretch>
                  </pic:blipFill>
                  <pic:spPr>
                    <a:xfrm>
                      <a:off x="0" y="0"/>
                      <a:ext cx="4572000" cy="3867150"/>
                    </a:xfrm>
                    <a:prstGeom prst="rect">
                      <a:avLst/>
                    </a:prstGeom>
                  </pic:spPr>
                </pic:pic>
              </a:graphicData>
            </a:graphic>
          </wp:inline>
        </w:drawing>
      </w:r>
      <w:r w:rsidR="006502A5" w:rsidRPr="006F1F4B">
        <w:br w:type="page"/>
      </w:r>
    </w:p>
    <w:p w14:paraId="4B383FCB" w14:textId="1ADA7E87" w:rsidR="002558C2" w:rsidRPr="006F1F4B" w:rsidRDefault="002558C2" w:rsidP="00D13D88">
      <w:pPr>
        <w:pStyle w:val="Title"/>
      </w:pPr>
      <w:r w:rsidRPr="006F1F4B">
        <w:lastRenderedPageBreak/>
        <w:t>Figure 4</w:t>
      </w:r>
    </w:p>
    <w:p w14:paraId="05921F41" w14:textId="03149903" w:rsidR="003C106B" w:rsidRPr="006F1F4B" w:rsidRDefault="5B63DDBC" w:rsidP="00D13D88">
      <w:pPr>
        <w:pStyle w:val="Title"/>
      </w:pPr>
      <w:r w:rsidRPr="006F1F4B">
        <w:rPr>
          <w:noProof/>
        </w:rPr>
        <w:drawing>
          <wp:inline distT="0" distB="0" distL="0" distR="0" wp14:anchorId="415714CC" wp14:editId="043E16E2">
            <wp:extent cx="4572000" cy="3867150"/>
            <wp:effectExtent l="0" t="0" r="0" b="0"/>
            <wp:docPr id="877379571" name="Picture 877379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379571"/>
                    <pic:cNvPicPr/>
                  </pic:nvPicPr>
                  <pic:blipFill>
                    <a:blip r:embed="rId18">
                      <a:extLst>
                        <a:ext uri="{28A0092B-C50C-407E-A947-70E740481C1C}">
                          <a14:useLocalDpi xmlns:a14="http://schemas.microsoft.com/office/drawing/2010/main" val="0"/>
                        </a:ext>
                      </a:extLst>
                    </a:blip>
                    <a:stretch>
                      <a:fillRect/>
                    </a:stretch>
                  </pic:blipFill>
                  <pic:spPr>
                    <a:xfrm>
                      <a:off x="0" y="0"/>
                      <a:ext cx="4572000" cy="3867150"/>
                    </a:xfrm>
                    <a:prstGeom prst="rect">
                      <a:avLst/>
                    </a:prstGeom>
                  </pic:spPr>
                </pic:pic>
              </a:graphicData>
            </a:graphic>
          </wp:inline>
        </w:drawing>
      </w:r>
      <w:r w:rsidR="003C106B" w:rsidRPr="006F1F4B">
        <w:br w:type="page"/>
      </w:r>
    </w:p>
    <w:p w14:paraId="6DABDEBD" w14:textId="77777777" w:rsidR="003C106B" w:rsidRPr="006F1F4B" w:rsidRDefault="003C106B" w:rsidP="00D13D88">
      <w:pPr>
        <w:pStyle w:val="Title"/>
      </w:pPr>
      <w:r w:rsidRPr="006F1F4B">
        <w:lastRenderedPageBreak/>
        <w:t>Figure 5</w:t>
      </w:r>
    </w:p>
    <w:p w14:paraId="53CC8F74" w14:textId="2DB2D7DD" w:rsidR="0010261B" w:rsidRPr="006F1F4B" w:rsidRDefault="0010261B" w:rsidP="00D2767B">
      <w:r w:rsidRPr="006F1F4B">
        <w:t>a</w:t>
      </w:r>
    </w:p>
    <w:p w14:paraId="21EA99E4" w14:textId="2F18D55C" w:rsidR="0010261B" w:rsidRPr="006F1F4B" w:rsidRDefault="00D2767B" w:rsidP="00D2767B">
      <w:r>
        <w:rPr>
          <w:noProof/>
        </w:rPr>
        <w:drawing>
          <wp:inline distT="0" distB="0" distL="0" distR="0" wp14:anchorId="381C01CE" wp14:editId="086C0A12">
            <wp:extent cx="4850296" cy="3173197"/>
            <wp:effectExtent l="0" t="0" r="7620" b="8255"/>
            <wp:docPr id="805892717" name="Picture 80589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56037" cy="3176953"/>
                    </a:xfrm>
                    <a:prstGeom prst="rect">
                      <a:avLst/>
                    </a:prstGeom>
                    <a:noFill/>
                    <a:ln>
                      <a:noFill/>
                    </a:ln>
                  </pic:spPr>
                </pic:pic>
              </a:graphicData>
            </a:graphic>
          </wp:inline>
        </w:drawing>
      </w:r>
    </w:p>
    <w:p w14:paraId="4DCD192E" w14:textId="77777777" w:rsidR="0010261B" w:rsidRPr="006F1F4B" w:rsidRDefault="0010261B" w:rsidP="00D2767B">
      <w:r w:rsidRPr="006F1F4B">
        <w:t>b</w:t>
      </w:r>
    </w:p>
    <w:p w14:paraId="4A9E7483" w14:textId="53C1B9DF" w:rsidR="00D13D88" w:rsidRDefault="000851E6" w:rsidP="00D13D88">
      <w:r>
        <w:rPr>
          <w:noProof/>
        </w:rPr>
        <w:drawing>
          <wp:inline distT="0" distB="0" distL="0" distR="0" wp14:anchorId="0FDBCF59" wp14:editId="1BE24D71">
            <wp:extent cx="5953125" cy="3571875"/>
            <wp:effectExtent l="0" t="0" r="9525" b="9525"/>
            <wp:docPr id="1382738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3125" cy="3571875"/>
                    </a:xfrm>
                    <a:prstGeom prst="rect">
                      <a:avLst/>
                    </a:prstGeom>
                    <a:noFill/>
                    <a:ln>
                      <a:noFill/>
                    </a:ln>
                  </pic:spPr>
                </pic:pic>
              </a:graphicData>
            </a:graphic>
          </wp:inline>
        </w:drawing>
      </w:r>
      <w:r w:rsidR="00D13D88">
        <w:br w:type="page"/>
      </w:r>
    </w:p>
    <w:p w14:paraId="375A3ACC" w14:textId="77777777" w:rsidR="00D13D88" w:rsidRDefault="00D13D88" w:rsidP="00D13D88">
      <w:pPr>
        <w:pStyle w:val="Heading1"/>
      </w:pPr>
      <w:r>
        <w:lastRenderedPageBreak/>
        <w:t>Declarations</w:t>
      </w:r>
    </w:p>
    <w:p w14:paraId="596EF0A1" w14:textId="1A763C94" w:rsidR="1AC42CCC" w:rsidRDefault="1AC42CCC" w:rsidP="1AC42CCC">
      <w:commentRangeStart w:id="17"/>
      <w:r w:rsidRPr="1AC42CCC">
        <w:rPr>
          <w:b/>
          <w:bCs/>
        </w:rPr>
        <w:t xml:space="preserve">Funding: </w:t>
      </w:r>
      <w:r>
        <w:t>This study was funded by the Department of Fisheries and Oceans Canada and the University of New Hampshire. NEH was supported by the Government of Nunavut, CanNor, Nunavut Fisheries Association, and NSERC Discovery.</w:t>
      </w:r>
      <w:commentRangeEnd w:id="17"/>
      <w:r>
        <w:rPr>
          <w:rStyle w:val="CommentReference"/>
        </w:rPr>
        <w:commentReference w:id="17"/>
      </w:r>
    </w:p>
    <w:p w14:paraId="1330FAB6" w14:textId="77777777" w:rsidR="00D13D88" w:rsidRPr="006F1F4B" w:rsidRDefault="00D13D88" w:rsidP="00D13D88">
      <w:r w:rsidRPr="006F1F4B">
        <w:rPr>
          <w:b/>
          <w:bCs/>
        </w:rPr>
        <w:t>Conflict of Interest:</w:t>
      </w:r>
      <w:r w:rsidRPr="006F1F4B">
        <w:t xml:space="preserve"> The authors declare that they have no conflict of interest.</w:t>
      </w:r>
    </w:p>
    <w:p w14:paraId="590ECD8A" w14:textId="50E4CE05" w:rsidR="00D13D88" w:rsidRDefault="0FBC90E6" w:rsidP="00D13D88">
      <w:r w:rsidRPr="0FBC90E6">
        <w:rPr>
          <w:b/>
          <w:bCs/>
        </w:rPr>
        <w:t xml:space="preserve">Ethical Approval: </w:t>
      </w:r>
      <w:r>
        <w:t>All applicable institutional and national guidelines for the care and use of animals were followed as approved by the University of Windsor (AUPP:#17-12), University of New Hampshire (IACUC:#180602), and the local Mittimatalik Hunters and Trappers Organization.</w:t>
      </w:r>
    </w:p>
    <w:p w14:paraId="7376657F" w14:textId="36AA8F02" w:rsidR="00A041E7" w:rsidRDefault="00A041E7" w:rsidP="00D13D88">
      <w:r>
        <w:rPr>
          <w:b/>
          <w:bCs/>
        </w:rPr>
        <w:t>Availability of data and material:</w:t>
      </w:r>
      <w:r w:rsidR="005A22AE">
        <w:rPr>
          <w:b/>
          <w:bCs/>
        </w:rPr>
        <w:t xml:space="preserve"> </w:t>
      </w:r>
      <w:r w:rsidR="002A2CBF">
        <w:t>The datasets used and analyzed during the current study are availability from the corresponding author on reasonable request.</w:t>
      </w:r>
    </w:p>
    <w:p w14:paraId="1C33C9CD" w14:textId="4A0D5D0E" w:rsidR="005A22AE" w:rsidRDefault="00B65D86" w:rsidP="00D13D88">
      <w:pPr>
        <w:rPr>
          <w:b/>
          <w:bCs/>
        </w:rPr>
      </w:pPr>
      <w:r>
        <w:rPr>
          <w:b/>
          <w:bCs/>
        </w:rPr>
        <w:t xml:space="preserve">Code availability: </w:t>
      </w:r>
      <w:r w:rsidR="00396EE2">
        <w:t xml:space="preserve">All code used for data analysis </w:t>
      </w:r>
      <w:r w:rsidR="005A22AE">
        <w:t xml:space="preserve">was completed in R and is available at: </w:t>
      </w:r>
      <w:hyperlink r:id="rId21" w:history="1">
        <w:r w:rsidR="005A22AE" w:rsidRPr="00962D26">
          <w:rPr>
            <w:rStyle w:val="Hyperlink"/>
          </w:rPr>
          <w:t>https://github.com/nhermann1/Hammer_Hermann</w:t>
        </w:r>
      </w:hyperlink>
    </w:p>
    <w:p w14:paraId="13E84670" w14:textId="27F01488" w:rsidR="002558C2" w:rsidRPr="00D13D88" w:rsidRDefault="00D13D88" w:rsidP="00D13D88">
      <w:r w:rsidRPr="00D13D88">
        <w:rPr>
          <w:b/>
          <w:bCs/>
        </w:rPr>
        <w:t>Author Contributions:</w:t>
      </w:r>
      <w:r w:rsidRPr="00D13D88">
        <w:t xml:space="preserve"> NEH, MM, and KJH contributed project design for the initial field program. Field work was completed by NEH, LJH, and NTH. Analyses were completed by LJH and NTH with advisement by NBF and NEH. LJH and NTH equally contributed to the writing of the manuscript with all other authors providing editorial advice. </w:t>
      </w:r>
      <w:r w:rsidR="002558C2" w:rsidRPr="00D13D88">
        <w:br w:type="page"/>
      </w:r>
    </w:p>
    <w:p w14:paraId="7CBC2702" w14:textId="2C347D16" w:rsidR="0E5EE1D7" w:rsidRPr="006F1F4B" w:rsidRDefault="4FBEDEF2" w:rsidP="00D13D88">
      <w:pPr>
        <w:pStyle w:val="Heading1"/>
      </w:pPr>
      <w:r w:rsidRPr="006F1F4B">
        <w:lastRenderedPageBreak/>
        <w:t>References</w:t>
      </w:r>
    </w:p>
    <w:p w14:paraId="4B526658" w14:textId="77777777" w:rsidR="00A70399" w:rsidRDefault="00727C28" w:rsidP="00A70399">
      <w:pPr>
        <w:pStyle w:val="Bibliography"/>
      </w:pPr>
      <w:r w:rsidRPr="006F1F4B">
        <w:rPr>
          <w:rFonts w:eastAsia="Times New Roman"/>
        </w:rPr>
        <w:fldChar w:fldCharType="begin"/>
      </w:r>
      <w:r w:rsidR="00A70399">
        <w:rPr>
          <w:rFonts w:eastAsia="Times New Roman"/>
        </w:rPr>
        <w:instrText xml:space="preserve"> ADDIN ZOTERO_BIBL {"uncited":[],"omitted":[],"custom":[]} CSL_BIBLIOGRAPHY </w:instrText>
      </w:r>
      <w:r w:rsidRPr="006F1F4B">
        <w:rPr>
          <w:rFonts w:eastAsia="Times New Roman"/>
        </w:rPr>
        <w:fldChar w:fldCharType="separate"/>
      </w:r>
      <w:r w:rsidR="00A70399">
        <w:t>AMAP (2017) Snow, Water, Ice and Permafrost in the Arctic (SWIPA) 2017. Oslo, Norway</w:t>
      </w:r>
    </w:p>
    <w:p w14:paraId="332D261F" w14:textId="77777777" w:rsidR="00A70399" w:rsidRDefault="00A70399" w:rsidP="00A70399">
      <w:pPr>
        <w:pStyle w:val="Bibliography"/>
      </w:pPr>
      <w:r>
        <w:t>Amundsen PA, Sánchez-Hernández J (2019) Feeding studies take guts – critical review and recommendations of methods for stomach contents analysis in fish. J Fish Biol 1364–1373. https://doi.org/10.1111/jfb.14151</w:t>
      </w:r>
    </w:p>
    <w:p w14:paraId="661C392B" w14:textId="77777777" w:rsidR="00A70399" w:rsidRDefault="00A70399" w:rsidP="00A70399">
      <w:pPr>
        <w:pStyle w:val="Bibliography"/>
      </w:pPr>
      <w:r>
        <w:t>Armstrong JB, Bond MH (2013) Phenotype flexibility in wild fish: Dolly Varden regulate assimilative capacity to capitalize on annual pulsed subsidies. J Anim Ecol 82:966–975. https://doi.org/10.1111/1365-2656.12066</w:t>
      </w:r>
    </w:p>
    <w:p w14:paraId="63CA1284" w14:textId="77777777" w:rsidR="00A70399" w:rsidRDefault="00A70399" w:rsidP="00A70399">
      <w:pPr>
        <w:pStyle w:val="Bibliography"/>
      </w:pPr>
      <w:r>
        <w:t>Armstrong JB, Schindler DE (2011) Excess digestive capacity in predators reflects a life of feast and famine. Nature 476:84–88. https://doi.org/10.1038/nature10240</w:t>
      </w:r>
    </w:p>
    <w:p w14:paraId="5A35415F" w14:textId="77777777" w:rsidR="00A70399" w:rsidRDefault="00A70399" w:rsidP="00A70399">
      <w:pPr>
        <w:pStyle w:val="Bibliography"/>
      </w:pPr>
      <w:r>
        <w:t>Armstrong JB, Schindler DE, Ruff CP, et al (2013) Diel horizontal migration in streams: Juvenile fish exploit spatial heterogeneity in thermal and trophic resources. Ecology 94:2066–2075. https://doi.org/10.1890/12-1200.1</w:t>
      </w:r>
    </w:p>
    <w:p w14:paraId="4819B72C" w14:textId="77777777" w:rsidR="00A70399" w:rsidRDefault="00A70399" w:rsidP="00A70399">
      <w:pPr>
        <w:pStyle w:val="Bibliography"/>
      </w:pPr>
      <w:r>
        <w:t>Arrington DA, Winemiller KO, Loftus WF, Akin S (2002) How Often Do Fishes “Run on Empty”? Ecology 83:2145–2151. https://doi.org/10.2307/3072046</w:t>
      </w:r>
    </w:p>
    <w:p w14:paraId="1D94EEC6" w14:textId="77777777" w:rsidR="00A70399" w:rsidRDefault="00A70399" w:rsidP="00A70399">
      <w:pPr>
        <w:pStyle w:val="Bibliography"/>
      </w:pPr>
      <w:r>
        <w:t>Balakirev ES, Kravchenko AYu, Semenchenko AA (2020) Genetic Evidence for a Mixed Composition of the Genus Myoxocephalus (Cottoidei: Cottidae) Necessitates Generic Realignment. Genes 11:1071–1085</w:t>
      </w:r>
    </w:p>
    <w:p w14:paraId="7598E8F5" w14:textId="77777777" w:rsidR="00A70399" w:rsidRDefault="00A70399" w:rsidP="00A70399">
      <w:pPr>
        <w:pStyle w:val="Bibliography"/>
      </w:pPr>
      <w:r>
        <w:t>Bartoń K (2020) MuMIn: Multi-Model Inference</w:t>
      </w:r>
    </w:p>
    <w:p w14:paraId="062E06B4" w14:textId="77777777" w:rsidR="00A70399" w:rsidRDefault="00A70399" w:rsidP="00A70399">
      <w:pPr>
        <w:pStyle w:val="Bibliography"/>
      </w:pPr>
      <w:r>
        <w:t>Barton MB, Vollenweider JJ, Heintz RA, et al (2020) Spatiotemporal variation of environmental conditions and prey availability that drive Arctic nearshore fish community structure in the Point Barrow, Alaska, region. Can J Fish Aquat Sci 77:1612–1624. https://doi.org/dx.doi.org/10.1139/cjfas-2019-0068</w:t>
      </w:r>
    </w:p>
    <w:p w14:paraId="2EC3D912" w14:textId="77777777" w:rsidR="00A70399" w:rsidRDefault="00A70399" w:rsidP="00A70399">
      <w:pPr>
        <w:pStyle w:val="Bibliography"/>
      </w:pPr>
      <w:r>
        <w:t>Bauer S, Hoye BJ (2014) Migratory Animals Couple Biodiversity and Ecosystem Functioning Worldwide. Science 344:1242552. https://doi.org/10.1126/science.1242552</w:t>
      </w:r>
    </w:p>
    <w:p w14:paraId="2A6B4B6D" w14:textId="77777777" w:rsidR="00A70399" w:rsidRDefault="00A70399" w:rsidP="00A70399">
      <w:pPr>
        <w:pStyle w:val="Bibliography"/>
      </w:pPr>
      <w:r>
        <w:t>Baumgartner MF, Tarrant AM (2017) The Physiology and Ecology of Diapause in Marine Copepods. Annu Rev Mar Sci 9:387–411. https://doi.org/10.1146/annurev-marine-010816-060505</w:t>
      </w:r>
    </w:p>
    <w:p w14:paraId="71395DCD" w14:textId="77777777" w:rsidR="00A70399" w:rsidRDefault="00A70399" w:rsidP="00A70399">
      <w:pPr>
        <w:pStyle w:val="Bibliography"/>
      </w:pPr>
      <w:r>
        <w:t>Becker SL, Finn JT, Novak AJ, et al (2020) Coarse- and fine-scale acoustic telemetry elucidates movement patterns and temporal variability in individual territories for a key coastal mesopredator. Environ Biol Fishes 103:13–29. https://doi.org/10.1007/s10641-019-00930-2</w:t>
      </w:r>
    </w:p>
    <w:p w14:paraId="40D06D12" w14:textId="77777777" w:rsidR="00A70399" w:rsidRDefault="00A70399" w:rsidP="00A70399">
      <w:pPr>
        <w:pStyle w:val="Bibliography"/>
      </w:pPr>
      <w:r>
        <w:t>Beddow TA, Deary C, McKinley RS (1998) Migratory and reproductive activity of radio-tagged Arctic char (</w:t>
      </w:r>
      <w:r>
        <w:rPr>
          <w:i/>
          <w:iCs/>
        </w:rPr>
        <w:t>Salvelinus alpinus</w:t>
      </w:r>
      <w:r>
        <w:t xml:space="preserve"> L.) in northern Labrador. In: Lagardère J-P, Anras M-LB, Claireaux G (eds) Advances in Invertebrates and Fish Telemetry. Springer Netherlands, Dordrecht, pp 249–262</w:t>
      </w:r>
    </w:p>
    <w:p w14:paraId="16F51F16" w14:textId="77777777" w:rsidR="00A70399" w:rsidRDefault="00A70399" w:rsidP="00A70399">
      <w:pPr>
        <w:pStyle w:val="Bibliography"/>
      </w:pPr>
      <w:r>
        <w:t>Berge J, Renaud PE, Darnis G, et al (2015) In the dark: A review of ecosystem processes during the Arctic polar night. Prog Oceanogr 139:258–271. https://doi.org/10.1016/j.pocean.2015.08.005</w:t>
      </w:r>
    </w:p>
    <w:p w14:paraId="54B656C6" w14:textId="77777777" w:rsidR="00A70399" w:rsidRDefault="00A70399" w:rsidP="00A70399">
      <w:pPr>
        <w:pStyle w:val="Bibliography"/>
      </w:pPr>
      <w:r>
        <w:lastRenderedPageBreak/>
        <w:t>Biro PA, Morton AE, Post JR, Parkinson EA (2004) Over-winter lipid depletion and mortality of age-0 rainbow trout (</w:t>
      </w:r>
      <w:r>
        <w:rPr>
          <w:i/>
          <w:iCs/>
        </w:rPr>
        <w:t>Oncorhynchus mykiss</w:t>
      </w:r>
      <w:r>
        <w:t>). Can J Fish Aquat Sci 61:1513–1519. https://doi.org/10.1139/F04-083</w:t>
      </w:r>
    </w:p>
    <w:p w14:paraId="722BC437" w14:textId="77777777" w:rsidR="00A70399" w:rsidRDefault="00A70399" w:rsidP="00A70399">
      <w:pPr>
        <w:pStyle w:val="Bibliography"/>
      </w:pPr>
      <w:r>
        <w:t>Blake S, Yackulic CB, Cabrera F, et al (2013) Vegetation dynamics drive segregation by body size in Galapagos tortoises migrating across altitudinal gradients. J Anim Ecol 82:310–321. https://doi.org/10.1111/1365-2656.12020</w:t>
      </w:r>
    </w:p>
    <w:p w14:paraId="14136D77" w14:textId="77777777" w:rsidR="00A70399" w:rsidRDefault="00A70399" w:rsidP="00A70399">
      <w:pPr>
        <w:pStyle w:val="Bibliography"/>
      </w:pPr>
      <w:r>
        <w:t>Bolker BM, Brooks ME, Clark CJ, et al (2009) Generalized linear mixed models: a practical guide for ecology and evolution. Trends Ecol Evol 24:127–135. https://doi.org/10.1016/j.tree.2008.10.008</w:t>
      </w:r>
    </w:p>
    <w:p w14:paraId="485B2EE5" w14:textId="77777777" w:rsidR="00A70399" w:rsidRDefault="00A70399" w:rsidP="00A70399">
      <w:pPr>
        <w:pStyle w:val="Bibliography"/>
      </w:pPr>
      <w:r>
        <w:t>Bolnick DI, Yang LH, Fordyce JA, et al (2002) Measuring Individual-Level Resource Specialization. Ecology 83:2936–2941. https://doi.org/10.1890/0012-9658(2002)083[2936:MILRS]2.0.CO;2</w:t>
      </w:r>
    </w:p>
    <w:p w14:paraId="6D22D7A9" w14:textId="77777777" w:rsidR="00A70399" w:rsidRDefault="00A70399" w:rsidP="00A70399">
      <w:pPr>
        <w:pStyle w:val="Bibliography"/>
      </w:pPr>
      <w:r>
        <w:t>Booth S, Watts P (2007) Canada’s Arctic Marine Fish Catches. In: Zeller D, Pauly D (eds) Reconstruction of marine fisheries catches for key countries and regions (1950-2005)., 2nd edn. Fisheries Centre, University of British Columbia, pp 3–15</w:t>
      </w:r>
    </w:p>
    <w:p w14:paraId="6CB871BE" w14:textId="77777777" w:rsidR="00A70399" w:rsidRDefault="00A70399" w:rsidP="00A70399">
      <w:pPr>
        <w:pStyle w:val="Bibliography"/>
      </w:pPr>
      <w:r>
        <w:t>Breen MJ, Ruetz CR, Thompson KJ, Kohler SL (2009) Movements of mottled sculpins (</w:t>
      </w:r>
      <w:r>
        <w:rPr>
          <w:i/>
          <w:iCs/>
        </w:rPr>
        <w:t>Cottus bairdii</w:t>
      </w:r>
      <w:r>
        <w:t>) in a Michigan stream: How restricted are they? Can J Fish Aquat Sci 66:31–41. https://doi.org/10.1139/F08-189</w:t>
      </w:r>
    </w:p>
    <w:p w14:paraId="7AF06FE5" w14:textId="77777777" w:rsidR="00A70399" w:rsidRDefault="00A70399" w:rsidP="00A70399">
      <w:pPr>
        <w:pStyle w:val="Bibliography"/>
      </w:pPr>
      <w:r>
        <w:t>Cant JP, McBride BW, Croom WJ (1996) The Regulation of Intestinal Metabolism and Its Impact on Whole Animal Energetics. J Anim Sci 74:2541–2553. https://doi.org/10.2527/1996.74102541x</w:t>
      </w:r>
    </w:p>
    <w:p w14:paraId="7501975A" w14:textId="77777777" w:rsidR="00A70399" w:rsidRDefault="00A70399" w:rsidP="00A70399">
      <w:pPr>
        <w:pStyle w:val="Bibliography"/>
      </w:pPr>
      <w:r>
        <w:t>Clark TD, Sandblom E, Jutfelt F (2013) Aerobic scope measurements of fishes in an era of climate change: Respirometry, relevance and recommendations. J Exp Biol 216:2771–2782. https://doi.org/10.1242/jeb.084251</w:t>
      </w:r>
    </w:p>
    <w:p w14:paraId="59185EF1" w14:textId="77777777" w:rsidR="00A70399" w:rsidRDefault="00A70399" w:rsidP="00A70399">
      <w:pPr>
        <w:pStyle w:val="Bibliography"/>
      </w:pPr>
      <w:r>
        <w:t>Dai A, Luo D, Song M, Liu J (2019) Arctic amplification is caused by sea-ice loss under increasing CO2. Nat Commun 10:121. https://doi.org/10.1038/s41467-018-07954-9</w:t>
      </w:r>
    </w:p>
    <w:p w14:paraId="16FF1826" w14:textId="77777777" w:rsidR="00A70399" w:rsidRDefault="00A70399" w:rsidP="00A70399">
      <w:pPr>
        <w:pStyle w:val="Bibliography"/>
      </w:pPr>
      <w:r>
        <w:t>Descamps S, Ramírez F, Benjaminsen S, et al (2019) Diverging phenological responses of Arctic seabirds to an earlier spring. Glob Change Biol 25:4081–4091. https://doi.org/10.1111/gcb.14780</w:t>
      </w:r>
    </w:p>
    <w:p w14:paraId="534E200D" w14:textId="77777777" w:rsidR="00A70399" w:rsidRDefault="00A70399" w:rsidP="00A70399">
      <w:pPr>
        <w:pStyle w:val="Bibliography"/>
      </w:pPr>
      <w:r>
        <w:t>Dutil J-D (1986) Energetic Constraints and Spawning Interval in the Anadromous Arctic Charr (Salvelinus alpinus). Copeia 1986:945–955. https://doi.org/10.2307/1445291</w:t>
      </w:r>
    </w:p>
    <w:p w14:paraId="7730800A" w14:textId="77777777" w:rsidR="00A70399" w:rsidRDefault="00A70399" w:rsidP="00A70399">
      <w:pPr>
        <w:pStyle w:val="Bibliography"/>
      </w:pPr>
      <w:r>
        <w:t>Edwards JE, Hedges KJ, Kessel ST, Hussey NE (2022) Multi-year acoustic tracking reveals transient movements, recurring hotspots, and apparent seasonality in the coastal-offshore presence of Greenland sharks (Somniosus microcephalus). Front Mar Sci 9:902854. https://doi.org/10.3389/fmars.2022.902854</w:t>
      </w:r>
    </w:p>
    <w:p w14:paraId="1AAD005D" w14:textId="77777777" w:rsidR="00A70399" w:rsidRDefault="00A70399" w:rsidP="00A70399">
      <w:pPr>
        <w:pStyle w:val="Bibliography"/>
      </w:pPr>
      <w:r>
        <w:t>Furey NB, Hinch SG, Mesa MG, Beauchamp DA (2016) Piscivorous fish exhibit temperature-influenced binge feeding during an annual prey pulse. J Anim Ecol 85:1307–1317. https://doi.org/10.1111/1365-2656.12565</w:t>
      </w:r>
    </w:p>
    <w:p w14:paraId="79F3A5A8" w14:textId="77777777" w:rsidR="00A70399" w:rsidRDefault="00A70399" w:rsidP="00A70399">
      <w:pPr>
        <w:pStyle w:val="Bibliography"/>
      </w:pPr>
      <w:r>
        <w:t>Garvey JE, Chipps SR (2013) Diets and Energy Flow. In: Zale AV, Parrish DL, Sutton TM (eds) Fisheries Techniques, 3rd edn. American Fisheries Society, Bethesda, USA, pp 1–48</w:t>
      </w:r>
    </w:p>
    <w:p w14:paraId="13270EE0" w14:textId="77777777" w:rsidR="00A70399" w:rsidRDefault="00A70399" w:rsidP="00A70399">
      <w:pPr>
        <w:pStyle w:val="Bibliography"/>
      </w:pPr>
      <w:r>
        <w:t>Gerking SD (1994) Feeding Ecology of Fish. Academic Press, Inc.</w:t>
      </w:r>
    </w:p>
    <w:p w14:paraId="5C727021" w14:textId="77777777" w:rsidR="00A70399" w:rsidRDefault="00A70399" w:rsidP="00A70399">
      <w:pPr>
        <w:pStyle w:val="Bibliography"/>
      </w:pPr>
      <w:r>
        <w:lastRenderedPageBreak/>
        <w:t>Giraldo C, Stasko A, Choy ES, et al (2016) Trophic variability of Arctic fishes in the Canadian Beaufort Sea: a fatty acids and stable isotopes approach. Polar Biol 39:1267–1282. https://doi.org/10.1007/s00300-015-1851-4</w:t>
      </w:r>
    </w:p>
    <w:p w14:paraId="2D448A24" w14:textId="77777777" w:rsidR="00A70399" w:rsidRDefault="00A70399" w:rsidP="00A70399">
      <w:pPr>
        <w:pStyle w:val="Bibliography"/>
      </w:pPr>
      <w:r>
        <w:t>Hammer L, Hussey N, Marcoux M, et al (2022) Arctic char (Salvelinus alpinus) movement dynamics relative to ice breakup in a high Arctic embayment. Mar Ecol Prog Ser 682:221–236. https://doi.org/10.3354/meps13939</w:t>
      </w:r>
    </w:p>
    <w:p w14:paraId="39744CFD" w14:textId="77777777" w:rsidR="00A70399" w:rsidRDefault="00A70399" w:rsidP="00A70399">
      <w:pPr>
        <w:pStyle w:val="Bibliography"/>
      </w:pPr>
      <w:r>
        <w:t>Hanson P, Johnson TB, Schindler DE, Kitchell JF (1997) Fish Bioenergetics 3.0. Madison, WI</w:t>
      </w:r>
    </w:p>
    <w:p w14:paraId="3DBA4B72" w14:textId="77777777" w:rsidR="00A70399" w:rsidRDefault="00A70399" w:rsidP="00A70399">
      <w:pPr>
        <w:pStyle w:val="Bibliography"/>
      </w:pPr>
      <w:r>
        <w:t>Harwood LA, Babaluk JA (2014) Spawning, overwintering and summer feeding habitats used by anadromous Arctic char (</w:t>
      </w:r>
      <w:r>
        <w:rPr>
          <w:i/>
          <w:iCs/>
        </w:rPr>
        <w:t>Salvelinus alpinus</w:t>
      </w:r>
      <w:r>
        <w:t>) of the Hornaday River, Northwest Territories, Canada. Arctic 67:449–461. https://doi.org/10.14430/arctic4422</w:t>
      </w:r>
    </w:p>
    <w:p w14:paraId="2EED1D78" w14:textId="77777777" w:rsidR="00A70399" w:rsidRDefault="00A70399" w:rsidP="00A70399">
      <w:pPr>
        <w:pStyle w:val="Bibliography"/>
      </w:pPr>
      <w:r>
        <w:t>Harwood LA, Smith TG, Auld JC (2012) Fall Migration of Ringed Seals (</w:t>
      </w:r>
      <w:r>
        <w:rPr>
          <w:i/>
          <w:iCs/>
        </w:rPr>
        <w:t>Phoca hispida</w:t>
      </w:r>
      <w:r>
        <w:t>) through the Beaufort and Chukchi Seas, 2001–02. ARCTIC 65:35-44-35–44. https://doi.org/10.14430/arctic4163</w:t>
      </w:r>
    </w:p>
    <w:p w14:paraId="59906241" w14:textId="77777777" w:rsidR="00A70399" w:rsidRDefault="00A70399" w:rsidP="00A70399">
      <w:pPr>
        <w:pStyle w:val="Bibliography"/>
      </w:pPr>
      <w:r>
        <w:t>Heide-Jørgensen MM, Dietz RR, Laidre KK, Richard PP (2002) Autumn movements, home ranges, and winter density of narwhals (</w:t>
      </w:r>
      <w:r>
        <w:rPr>
          <w:i/>
          <w:iCs/>
        </w:rPr>
        <w:t>Monodon monoceros</w:t>
      </w:r>
      <w:r>
        <w:t>) tagged in Tremblay Sound, Baffin Island. Polar Biol 25:331–341. http://dx.doi.org.unh.idm.oclc.org/10.1007/s00300-001-0347-6</w:t>
      </w:r>
    </w:p>
    <w:p w14:paraId="13163367" w14:textId="77777777" w:rsidR="00A70399" w:rsidRDefault="00A70399" w:rsidP="00A70399">
      <w:pPr>
        <w:pStyle w:val="Bibliography"/>
      </w:pPr>
      <w:r>
        <w:t>Hermann NT, Chaloner DT, Gerig BS, Lamberti GA (2020) Ecological consequences of Great Lakes salmon subsidies for stream-resident brook and brown trout. Can J Fish Aquat Sci 77:1758–1771. https://doi.org/10.1139/cjfas-2020-0086</w:t>
      </w:r>
    </w:p>
    <w:p w14:paraId="55BEBD73" w14:textId="77777777" w:rsidR="00A70399" w:rsidRDefault="00A70399" w:rsidP="00A70399">
      <w:pPr>
        <w:pStyle w:val="Bibliography"/>
      </w:pPr>
      <w:r>
        <w:t>Hermann NT, Hammer LJ, Hussey NE, et al (2023) Year-round monitoring of Arctic species of sculpin to identify residency and seasonality of movement behavior. Can J Fish Aquat Sci cjfas-2023-0042. https://doi.org/10.1139/cjfas-2023-0042</w:t>
      </w:r>
    </w:p>
    <w:p w14:paraId="1176C61D" w14:textId="77777777" w:rsidR="00A70399" w:rsidRDefault="00A70399" w:rsidP="00A70399">
      <w:pPr>
        <w:pStyle w:val="Bibliography"/>
      </w:pPr>
      <w:r>
        <w:t>Hop H, Mundy CJ, Gosselin M, et al (2011) Zooplankton boom and ice amphipod bust below melting sea ice in the Amundsen Gulf, Arctic Canada. Polar Biol 34:1947–1958. https://doi.org/10.1007/s00300-011-0991-4</w:t>
      </w:r>
    </w:p>
    <w:p w14:paraId="149AF824" w14:textId="77777777" w:rsidR="00A70399" w:rsidRDefault="00A70399" w:rsidP="00A70399">
      <w:pPr>
        <w:pStyle w:val="Bibliography"/>
      </w:pPr>
      <w:r>
        <w:t>Jensen JLA, Rikardsen AH (2008) Do northern riverine anadromous Arctic charr Salvelinus alpinus and sea trout Salmo trutta overwinter in estuarine and marine waters? J Fish Biol 73:1810–1818. https://doi.org/10.1111/j.1095-8649.2008.02042.x</w:t>
      </w:r>
    </w:p>
    <w:p w14:paraId="182E39FF" w14:textId="77777777" w:rsidR="00A70399" w:rsidRDefault="00A70399" w:rsidP="00A70399">
      <w:pPr>
        <w:pStyle w:val="Bibliography"/>
      </w:pPr>
      <w:r>
        <w:t>Ji R, Jin M, Varpe Ø (2013) Sea ice phenology and timing of primary production pulses in the Arctic Ocean. Glob Change Biol 19:734–741. https://doi.org/10.1111/gcb.12074</w:t>
      </w:r>
    </w:p>
    <w:p w14:paraId="4073B8F7" w14:textId="77777777" w:rsidR="00A70399" w:rsidRDefault="00A70399" w:rsidP="00A70399">
      <w:pPr>
        <w:pStyle w:val="Bibliography"/>
      </w:pPr>
      <w:r>
        <w:t>Johannessen OM, Bengtsson L, Miles MW, et al (2004) Arctic climate change: observed and modelled temperature and sea-ice variability. Tellus A 56:328–341. https://doi.org/10.1111/j.1600-0870.2004.00060.x</w:t>
      </w:r>
    </w:p>
    <w:p w14:paraId="328BA097" w14:textId="77777777" w:rsidR="00A70399" w:rsidRDefault="00A70399" w:rsidP="00A70399">
      <w:pPr>
        <w:pStyle w:val="Bibliography"/>
      </w:pPr>
      <w:r>
        <w:t>Kindt R (2023) BiodiversityR: Package for Community Ecology and Suitability Analysis</w:t>
      </w:r>
    </w:p>
    <w:p w14:paraId="319C97EC" w14:textId="77777777" w:rsidR="00A70399" w:rsidRDefault="00A70399" w:rsidP="00A70399">
      <w:pPr>
        <w:pStyle w:val="Bibliography"/>
      </w:pPr>
      <w:r>
        <w:t xml:space="preserve">Klemetsen A, Amundsen PA, Dempson JB, et al (2003) Atlantic salmon </w:t>
      </w:r>
      <w:r>
        <w:rPr>
          <w:i/>
          <w:iCs/>
        </w:rPr>
        <w:t>Salmo salar</w:t>
      </w:r>
      <w:r>
        <w:t xml:space="preserve"> L., brown trout </w:t>
      </w:r>
      <w:r>
        <w:rPr>
          <w:i/>
          <w:iCs/>
        </w:rPr>
        <w:t>Salmo trutta</w:t>
      </w:r>
      <w:r>
        <w:t xml:space="preserve"> L. and Arctic charr </w:t>
      </w:r>
      <w:r>
        <w:rPr>
          <w:i/>
          <w:iCs/>
        </w:rPr>
        <w:t>Salvelinus alpinus</w:t>
      </w:r>
      <w:r>
        <w:t xml:space="preserve"> (L.): A review of aspects of their life histories. Ecol Freshw Fish 12:1–59. https://doi.org/10.1034/j.1600-0633.2003.00010.x</w:t>
      </w:r>
    </w:p>
    <w:p w14:paraId="5F7D151F" w14:textId="77777777" w:rsidR="00A70399" w:rsidRDefault="00A70399" w:rsidP="00A70399">
      <w:pPr>
        <w:pStyle w:val="Bibliography"/>
      </w:pPr>
      <w:r>
        <w:lastRenderedPageBreak/>
        <w:t>Lameris TK, Scholten I, Bauer S, et al (2017) Potential for an Arctic-breeding migratory bird to adjust spring migration phenology to Arctic amplification. Glob Change Biol 23:4058–4067. https://doi.org/10.1111/gcb.13684</w:t>
      </w:r>
    </w:p>
    <w:p w14:paraId="5CA01EAD" w14:textId="77777777" w:rsidR="00A70399" w:rsidRDefault="00A70399" w:rsidP="00A70399">
      <w:pPr>
        <w:pStyle w:val="Bibliography"/>
      </w:pPr>
      <w:r>
        <w:t>Landry JJ, Fisk AT, Yurkowski DJ, et al (2018) Feeding ecology of a common benthic fish, shorthorn sculpin (</w:t>
      </w:r>
      <w:r>
        <w:rPr>
          <w:i/>
          <w:iCs/>
        </w:rPr>
        <w:t>Myoxocephalus scorpius</w:t>
      </w:r>
      <w:r>
        <w:t>) in the high arctic. Polar Biol 41:2091–2102. https://doi.org/10.1007/s00300-018-2348-8</w:t>
      </w:r>
    </w:p>
    <w:p w14:paraId="05C5B994" w14:textId="77777777" w:rsidR="00A70399" w:rsidRDefault="00A70399" w:rsidP="00A70399">
      <w:pPr>
        <w:pStyle w:val="Bibliography"/>
      </w:pPr>
      <w:r>
        <w:t>Landry JJ, Kessel ST, McLean MF, et al (2019) Movement types of an arctic benthic fish, shorthorn sculpin (</w:t>
      </w:r>
      <w:r>
        <w:rPr>
          <w:i/>
          <w:iCs/>
        </w:rPr>
        <w:t>Myoxocephalus scorpius</w:t>
      </w:r>
      <w:r>
        <w:t>), during open-water periods in response to biotic and abiotic factors. Can J Fish Aquat Sci 76:626–635. https://doi.org/10.1139/cjfas-2017-0389</w:t>
      </w:r>
    </w:p>
    <w:p w14:paraId="0D6D175E" w14:textId="77777777" w:rsidR="00A70399" w:rsidRDefault="00A70399" w:rsidP="00A70399">
      <w:pPr>
        <w:pStyle w:val="Bibliography"/>
      </w:pPr>
      <w:r>
        <w:t>McMeans BC, McCann KS, Humphries M, et al (2015) Food Web Structure in Temporally-Forced Ecosystems. Trends Ecol Evol 30:662–672. https://doi.org/10.1016/j.tree.2015.09.001</w:t>
      </w:r>
    </w:p>
    <w:p w14:paraId="2D263842" w14:textId="77777777" w:rsidR="00A70399" w:rsidRDefault="00A70399" w:rsidP="00A70399">
      <w:pPr>
        <w:pStyle w:val="Bibliography"/>
      </w:pPr>
      <w:r>
        <w:t>McWilliams SR, Karasov WH (2014) Spare capacity and phenotypic flexibility in the digestive system of a migratory bird: Defining the limits of animal design. Proc R Soc B Biol Sci 281:1–9. https://doi.org/10.1098/rspb.2014.0308</w:t>
      </w:r>
    </w:p>
    <w:p w14:paraId="2E48FDEA" w14:textId="77777777" w:rsidR="00A70399" w:rsidRDefault="00A70399" w:rsidP="00A70399">
      <w:pPr>
        <w:pStyle w:val="Bibliography"/>
      </w:pPr>
      <w:r>
        <w:t>Melnikov A (1997) Arctic Sea Ice Ecosystem. Gordon and Breach, Amsterdam</w:t>
      </w:r>
    </w:p>
    <w:p w14:paraId="4141CDDA" w14:textId="77777777" w:rsidR="00A70399" w:rsidRDefault="00A70399" w:rsidP="00A70399">
      <w:pPr>
        <w:pStyle w:val="Bibliography"/>
      </w:pPr>
      <w:r>
        <w:t>Mesa MG, Weiland LK, Christiansen HE, et al (2013) Development and evaluation of a bioenergetics model for Bull Trout. Trans Am Fish Soc 142:41–49. https://doi.org/10.1080/00028487.2012.720628</w:t>
      </w:r>
    </w:p>
    <w:p w14:paraId="148307DA" w14:textId="77777777" w:rsidR="00A70399" w:rsidRDefault="00A70399" w:rsidP="00A70399">
      <w:pPr>
        <w:pStyle w:val="Bibliography"/>
      </w:pPr>
      <w:r>
        <w:t xml:space="preserve">Moore IA, Moore JW (1974) Food of Shorthorn Sculpin, </w:t>
      </w:r>
      <w:r>
        <w:rPr>
          <w:i/>
          <w:iCs/>
        </w:rPr>
        <w:t>Myoxocephalus scorpius</w:t>
      </w:r>
      <w:r>
        <w:t>, in the Cumberland Sound Area of Baffin Island. J Fish Res Board Can 31:355–359</w:t>
      </w:r>
    </w:p>
    <w:p w14:paraId="01D10001" w14:textId="77777777" w:rsidR="00A70399" w:rsidRDefault="00A70399" w:rsidP="00A70399">
      <w:pPr>
        <w:pStyle w:val="Bibliography"/>
      </w:pPr>
      <w:r>
        <w:t>Moore J-S, Harris LN, Le Luyer J, et al (2017) Genomics and telemetry suggest a role for migration harshness in determining overwintering habitat choice, but not gene flow, in anadromous Arctic Char. Mol Ecol 26:6784–6800. https://doi.org/10.1111/mec.14393</w:t>
      </w:r>
    </w:p>
    <w:p w14:paraId="49F9D69E" w14:textId="77777777" w:rsidR="00A70399" w:rsidRDefault="00A70399" w:rsidP="00A70399">
      <w:pPr>
        <w:pStyle w:val="Bibliography"/>
      </w:pPr>
      <w:r>
        <w:t>Moss JHH (2001) Development and Application of a Bioenergetics Model for Lake Washington Prickly Sculpin (Cottus asper). Master of Science, University of Washington</w:t>
      </w:r>
    </w:p>
    <w:p w14:paraId="10AB4458" w14:textId="77777777" w:rsidR="00A70399" w:rsidRDefault="00A70399" w:rsidP="00A70399">
      <w:pPr>
        <w:pStyle w:val="Bibliography"/>
      </w:pPr>
      <w:r>
        <w:t>Norin T, Clark TD (2017) Fish face a trade-off between ‘eating big’ for growth efficiency and ‘eating small’ to retain aerobic capacity. Biol Lett 13:3–6. https://doi.org/10.1098/rsbl.2017.0298</w:t>
      </w:r>
    </w:p>
    <w:p w14:paraId="15699F64" w14:textId="77777777" w:rsidR="00A70399" w:rsidRDefault="00A70399" w:rsidP="00A70399">
      <w:pPr>
        <w:pStyle w:val="Bibliography"/>
      </w:pPr>
      <w:r>
        <w:t>R Core Team (2020) R: A Language and Environment for Statistical Computing. R Foundation for Statistical Computing, Vienna, Austria</w:t>
      </w:r>
    </w:p>
    <w:p w14:paraId="10147461" w14:textId="77777777" w:rsidR="00A70399" w:rsidRDefault="00A70399" w:rsidP="00A70399">
      <w:pPr>
        <w:pStyle w:val="Bibliography"/>
      </w:pPr>
      <w:r>
        <w:t>Ricker WE (1975) Computation and Interpretation of Biological Statistics of Fish Populations. Environment Canada</w:t>
      </w:r>
    </w:p>
    <w:p w14:paraId="7BC177CA" w14:textId="77777777" w:rsidR="00A70399" w:rsidRDefault="00A70399" w:rsidP="00A70399">
      <w:pPr>
        <w:pStyle w:val="Bibliography"/>
      </w:pPr>
      <w:r>
        <w:t>Scharf F, Juanes F, Rountree R (2000) Predator size-prey size relationships of marine fish predators: interspecific variation and effects of ontogeny and body size on trophic-niche breadth. Mar Ecol Prog Ser 208:229–248. https://doi.org/10.3354/meps208229</w:t>
      </w:r>
    </w:p>
    <w:p w14:paraId="481D7652" w14:textId="77777777" w:rsidR="00A70399" w:rsidRDefault="00A70399" w:rsidP="00A70399">
      <w:pPr>
        <w:pStyle w:val="Bibliography"/>
      </w:pPr>
      <w:r>
        <w:t xml:space="preserve">Søreide JE, Leu E, Berge J, et al (2010) Timing of blooms, algal food quality and </w:t>
      </w:r>
      <w:r>
        <w:rPr>
          <w:i/>
          <w:iCs/>
        </w:rPr>
        <w:t>Calanus glacialis</w:t>
      </w:r>
      <w:r>
        <w:t xml:space="preserve"> reproduction and growth in a changing Arctic. Glob Change Biol 16:3154–3163. https://doi.org/10.1111/j.1365-2486.2010.02175.x</w:t>
      </w:r>
    </w:p>
    <w:p w14:paraId="2D50FE08" w14:textId="77777777" w:rsidR="00A70399" w:rsidRDefault="00A70399" w:rsidP="00A70399">
      <w:pPr>
        <w:pStyle w:val="Bibliography"/>
      </w:pPr>
      <w:r>
        <w:lastRenderedPageBreak/>
        <w:t>Spares AD, Stokesbury MJW, Dadswell MJ, et al (2015) Residency and movement patterns of Arctic charr Salvelinus alpinus relative to major estuaries. J Fish Biol 86:1754–1780. https://doi.org/10.1111/jfb.12683</w:t>
      </w:r>
    </w:p>
    <w:p w14:paraId="172E555F" w14:textId="77777777" w:rsidR="00A70399" w:rsidRDefault="00A70399" w:rsidP="00A70399">
      <w:pPr>
        <w:pStyle w:val="Bibliography"/>
      </w:pPr>
      <w:r>
        <w:t>Spares AD, Stokesbury MJW, O’Dor RK, Dick TA (2012) Temperature, salinity and prey availability shape the marine migration of Arctic char, Salvelinus alpinus, in a macrotidal estuary. Mar Biol 159:1633–1646. https://doi.org/10.1007/s00227-012-1949-y</w:t>
      </w:r>
    </w:p>
    <w:p w14:paraId="678DD688" w14:textId="77777777" w:rsidR="00A70399" w:rsidRDefault="00A70399" w:rsidP="00A70399">
      <w:pPr>
        <w:pStyle w:val="Bibliography"/>
      </w:pPr>
      <w:r>
        <w:t>Stroeve J, Holland MM, Meier W, et al (2007) Arctic sea ice decline: Faster than forecast. Geophys Res Lett 34:. https://doi.org/10.1029/2007GL029703</w:t>
      </w:r>
    </w:p>
    <w:p w14:paraId="476C0203" w14:textId="77777777" w:rsidR="00A70399" w:rsidRDefault="00A70399" w:rsidP="00A70399">
      <w:pPr>
        <w:pStyle w:val="Bibliography"/>
      </w:pPr>
      <w:r>
        <w:t>Tamburello N, Côté IM, Dulvy NK (2015) Energy and the Scaling of Animal Space Use. Am Nat 186:196–211. https://doi.org/10.1086/682070</w:t>
      </w:r>
    </w:p>
    <w:p w14:paraId="1596086E" w14:textId="77777777" w:rsidR="00A70399" w:rsidRDefault="00A70399" w:rsidP="00A70399">
      <w:pPr>
        <w:pStyle w:val="Bibliography"/>
      </w:pPr>
      <w:r>
        <w:t>Urban MC (2007) The Growth-Predation Risk Trade-Off under a Growing Gape-Limited Predation Threat. Ecology 88:2587–2597</w:t>
      </w:r>
    </w:p>
    <w:p w14:paraId="37CE278C" w14:textId="77777777" w:rsidR="00A70399" w:rsidRDefault="00A70399" w:rsidP="00A70399">
      <w:pPr>
        <w:pStyle w:val="Bibliography"/>
      </w:pPr>
      <w:r>
        <w:t>Wickham H (2016) ggplot2: Elegant Graphics for Data Analysis. Springer-Verlag New York</w:t>
      </w:r>
    </w:p>
    <w:p w14:paraId="7ACFF98D" w14:textId="77777777" w:rsidR="00A70399" w:rsidRDefault="00A70399" w:rsidP="00A70399">
      <w:pPr>
        <w:pStyle w:val="Bibliography"/>
      </w:pPr>
      <w:r>
        <w:t>Wilson SM, Hinch SG, Eliason EJ, et al (2013) Calibrating acoustic acceleration transmitters for estimating energy use by wild adult Pacific salmon. Comp Biochem Physiol A Mol Integr Physiol 164:491–498. https://doi.org/10.1016/j.cbpa.2012.12.002</w:t>
      </w:r>
    </w:p>
    <w:p w14:paraId="17A5924F" w14:textId="77777777" w:rsidR="00A70399" w:rsidRDefault="00A70399" w:rsidP="00A70399">
      <w:pPr>
        <w:pStyle w:val="Bibliography"/>
      </w:pPr>
      <w:r>
        <w:t>Yang LH, Bastow JL, Spence KO, Wright AN (2008) What Can We Learn from Resource Pulses? Ecology 89:621–634</w:t>
      </w:r>
    </w:p>
    <w:p w14:paraId="7FDDE6AE" w14:textId="52186178" w:rsidR="00727C28" w:rsidRPr="006F1F4B" w:rsidRDefault="00727C28" w:rsidP="00D13D88">
      <w:r w:rsidRPr="006F1F4B">
        <w:fldChar w:fldCharType="end"/>
      </w:r>
    </w:p>
    <w:sectPr w:rsidR="00727C28" w:rsidRPr="006F1F4B" w:rsidSect="00E74FBC">
      <w:footerReference w:type="defaul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 Hermann" w:date="2023-06-30T10:25:00Z" w:initials="NH">
    <w:p w14:paraId="73A23A77" w14:textId="77777777" w:rsidR="0000165E" w:rsidRDefault="00B72284" w:rsidP="0000165E">
      <w:pPr>
        <w:pStyle w:val="CommentText"/>
      </w:pPr>
      <w:r>
        <w:rPr>
          <w:rStyle w:val="CommentReference"/>
        </w:rPr>
        <w:annotationRef/>
      </w:r>
      <w:r w:rsidR="0000165E">
        <w:t>Other options:</w:t>
      </w:r>
    </w:p>
    <w:p w14:paraId="31A9D680" w14:textId="77777777" w:rsidR="0000165E" w:rsidRDefault="0000165E" w:rsidP="0000165E">
      <w:pPr>
        <w:pStyle w:val="CommentText"/>
      </w:pPr>
      <w:r>
        <w:t>MEPS</w:t>
      </w:r>
    </w:p>
    <w:p w14:paraId="5B96BC4C" w14:textId="77777777" w:rsidR="0000165E" w:rsidRDefault="0000165E" w:rsidP="0000165E">
      <w:pPr>
        <w:pStyle w:val="CommentText"/>
      </w:pPr>
      <w:r>
        <w:t>Fish Biology</w:t>
      </w:r>
    </w:p>
    <w:p w14:paraId="0F88C150" w14:textId="77777777" w:rsidR="0000165E" w:rsidRDefault="0000165E" w:rsidP="0000165E">
      <w:pPr>
        <w:pStyle w:val="CommentText"/>
      </w:pPr>
      <w:r>
        <w:t>Marine Biology</w:t>
      </w:r>
    </w:p>
  </w:comment>
  <w:comment w:id="1" w:author="Nathan Hermann" w:date="2023-10-26T11:06:00Z" w:initials="NH">
    <w:p w14:paraId="6312ED8E" w14:textId="77777777" w:rsidR="00FC2F50" w:rsidRDefault="00FC2F50" w:rsidP="00D13D88">
      <w:pPr>
        <w:pStyle w:val="CommentText"/>
      </w:pPr>
      <w:r>
        <w:rPr>
          <w:rStyle w:val="CommentReference"/>
        </w:rPr>
        <w:annotationRef/>
      </w:r>
      <w:r>
        <w:t>Submission to Oecologia as an "Original Research paper" in the "Aquatic Ecology" topic to Joel Trexler Editor-in-Chief</w:t>
      </w:r>
    </w:p>
  </w:comment>
  <w:comment w:id="2" w:author="Nathan Hermann" w:date="2023-10-26T11:28:00Z" w:initials="NH">
    <w:p w14:paraId="0089D191" w14:textId="77777777" w:rsidR="004601E7" w:rsidRDefault="004601E7" w:rsidP="00D13D88">
      <w:pPr>
        <w:pStyle w:val="CommentText"/>
      </w:pPr>
      <w:r>
        <w:rPr>
          <w:rStyle w:val="CommentReference"/>
        </w:rPr>
        <w:annotationRef/>
      </w:r>
      <w:r>
        <w:t>250 word max</w:t>
      </w:r>
    </w:p>
  </w:comment>
  <w:comment w:id="7" w:author="Nathan Hermann" w:date="2023-12-22T01:11:00Z" w:initials="NH">
    <w:p w14:paraId="347925C1" w14:textId="77777777" w:rsidR="00BA05C4" w:rsidRDefault="00BA05C4" w:rsidP="00BA05C4">
      <w:pPr>
        <w:pStyle w:val="CommentText"/>
      </w:pPr>
      <w:r>
        <w:rPr>
          <w:rStyle w:val="CommentReference"/>
        </w:rPr>
        <w:annotationRef/>
      </w:r>
      <w:r>
        <w:t xml:space="preserve">I think we should just leave it at this for this paper, of the total of 190 sculpin diets in the study we only positively ID'ed 50 which were 44 fourhorn, 4 shorthorn, and 2 arctic. Since we don't split them up at any point, I think leaving it here since we don't know species for almost 75% </w:t>
      </w:r>
    </w:p>
  </w:comment>
  <w:comment w:id="15" w:author="Nathan Hermann" w:date="2023-10-27T12:38:00Z" w:initials="NH">
    <w:p w14:paraId="786444E5" w14:textId="77777777" w:rsidR="00A76E01" w:rsidRDefault="00A76E01">
      <w:pPr>
        <w:pStyle w:val="CommentText"/>
      </w:pPr>
      <w:r>
        <w:rPr>
          <w:rStyle w:val="CommentReference"/>
        </w:rPr>
        <w:annotationRef/>
      </w:r>
      <w:r>
        <w:t>Model weight not mentioned in methods</w:t>
      </w:r>
    </w:p>
  </w:comment>
  <w:comment w:id="16" w:author="ljhammer96@gmail.com" w:date="2022-10-12T18:14:00Z" w:initials="lj">
    <w:p w14:paraId="274688DE" w14:textId="59953818" w:rsidR="002558C2" w:rsidRDefault="002558C2" w:rsidP="00D13D88">
      <w:r>
        <w:t>might be better as a supplement</w:t>
      </w:r>
      <w:r>
        <w:annotationRef/>
      </w:r>
    </w:p>
  </w:comment>
  <w:comment w:id="17" w:author="Nathan Hermann" w:date="2023-10-26T11:10:00Z" w:initials="NH">
    <w:p w14:paraId="40506060" w14:textId="77777777" w:rsidR="00D13D88" w:rsidRDefault="00D13D88" w:rsidP="00D13D88">
      <w:pPr>
        <w:pStyle w:val="CommentText"/>
      </w:pPr>
      <w:r>
        <w:rPr>
          <w:rStyle w:val="CommentReference"/>
        </w:rPr>
        <w:annotationRef/>
      </w:r>
      <w:r>
        <w:t>Are there grants here? I haven't listed any in previous manuscripts.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88C150" w15:done="0"/>
  <w15:commentEx w15:paraId="6312ED8E" w15:paraIdParent="0F88C150" w15:done="0"/>
  <w15:commentEx w15:paraId="0089D191" w15:done="0"/>
  <w15:commentEx w15:paraId="347925C1" w15:done="0"/>
  <w15:commentEx w15:paraId="786444E5" w15:done="1"/>
  <w15:commentEx w15:paraId="274688DE" w15:done="0"/>
  <w15:commentEx w15:paraId="405060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92C07" w16cex:dateUtc="2023-06-30T14:25:00Z"/>
  <w16cex:commentExtensible w16cex:durableId="54C616EB" w16cex:dateUtc="2023-10-26T15:06:00Z"/>
  <w16cex:commentExtensible w16cex:durableId="1C054F78" w16cex:dateUtc="2023-10-26T15:28:00Z"/>
  <w16cex:commentExtensible w16cex:durableId="524508B2" w16cex:dateUtc="2023-12-22T06:11:00Z"/>
  <w16cex:commentExtensible w16cex:durableId="368302F9" w16cex:dateUtc="2023-10-27T16:38:00Z"/>
  <w16cex:commentExtensible w16cex:durableId="75DBC8CD" w16cex:dateUtc="2022-10-12T22:14:00Z"/>
  <w16cex:commentExtensible w16cex:durableId="742A078C" w16cex:dateUtc="2023-10-26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88C150" w16cid:durableId="28492C07"/>
  <w16cid:commentId w16cid:paraId="6312ED8E" w16cid:durableId="54C616EB"/>
  <w16cid:commentId w16cid:paraId="0089D191" w16cid:durableId="1C054F78"/>
  <w16cid:commentId w16cid:paraId="347925C1" w16cid:durableId="524508B2"/>
  <w16cid:commentId w16cid:paraId="786444E5" w16cid:durableId="368302F9"/>
  <w16cid:commentId w16cid:paraId="274688DE" w16cid:durableId="75DBC8CD"/>
  <w16cid:commentId w16cid:paraId="40506060" w16cid:durableId="742A07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891EF" w14:textId="77777777" w:rsidR="00C36435" w:rsidRDefault="00C36435" w:rsidP="00D13D88">
      <w:r>
        <w:separator/>
      </w:r>
    </w:p>
  </w:endnote>
  <w:endnote w:type="continuationSeparator" w:id="0">
    <w:p w14:paraId="5A579292" w14:textId="77777777" w:rsidR="00C36435" w:rsidRDefault="00C36435" w:rsidP="00D13D88">
      <w:r>
        <w:continuationSeparator/>
      </w:r>
    </w:p>
  </w:endnote>
  <w:endnote w:type="continuationNotice" w:id="1">
    <w:p w14:paraId="2172633B" w14:textId="77777777" w:rsidR="00C36435" w:rsidRDefault="00C36435" w:rsidP="00D13D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875385"/>
      <w:docPartObj>
        <w:docPartGallery w:val="Page Numbers (Bottom of Page)"/>
        <w:docPartUnique/>
      </w:docPartObj>
    </w:sdtPr>
    <w:sdtEndPr>
      <w:rPr>
        <w:noProof/>
      </w:rPr>
    </w:sdtEndPr>
    <w:sdtContent>
      <w:p w14:paraId="22D1B892" w14:textId="20605774" w:rsidR="00313885" w:rsidRDefault="00313885" w:rsidP="00D13D88">
        <w:pPr>
          <w:pStyle w:val="Footer"/>
        </w:pPr>
        <w:r>
          <w:fldChar w:fldCharType="begin"/>
        </w:r>
        <w:r>
          <w:instrText xml:space="preserve"> PAGE   \* MERGEFORMAT </w:instrText>
        </w:r>
        <w:r>
          <w:fldChar w:fldCharType="separate"/>
        </w:r>
        <w:r>
          <w:rPr>
            <w:noProof/>
          </w:rPr>
          <w:t>2</w:t>
        </w:r>
        <w:r>
          <w:rPr>
            <w:noProof/>
          </w:rPr>
          <w:fldChar w:fldCharType="end"/>
        </w:r>
      </w:p>
    </w:sdtContent>
  </w:sdt>
  <w:p w14:paraId="4928CF5E" w14:textId="77777777" w:rsidR="00313885" w:rsidRDefault="00313885" w:rsidP="00D13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1DD84" w14:textId="77777777" w:rsidR="00C36435" w:rsidRDefault="00C36435" w:rsidP="00D13D88">
      <w:r>
        <w:separator/>
      </w:r>
    </w:p>
  </w:footnote>
  <w:footnote w:type="continuationSeparator" w:id="0">
    <w:p w14:paraId="7379B579" w14:textId="77777777" w:rsidR="00C36435" w:rsidRDefault="00C36435" w:rsidP="00D13D88">
      <w:r>
        <w:continuationSeparator/>
      </w:r>
    </w:p>
  </w:footnote>
  <w:footnote w:type="continuationNotice" w:id="1">
    <w:p w14:paraId="23FD74E3" w14:textId="77777777" w:rsidR="00C36435" w:rsidRDefault="00C36435" w:rsidP="00D13D88"/>
  </w:footnote>
</w:footnotes>
</file>

<file path=word/intelligence2.xml><?xml version="1.0" encoding="utf-8"?>
<int2:intelligence xmlns:int2="http://schemas.microsoft.com/office/intelligence/2020/intelligence" xmlns:oel="http://schemas.microsoft.com/office/2019/extlst">
  <int2:observations>
    <int2:textHash int2:hashCode="ChwvJDA5J4XFVD" int2:id="6nbAb2BA">
      <int2:state int2:value="Rejected" int2:type="AugLoop_Text_Critique"/>
    </int2:textHash>
    <int2:textHash int2:hashCode="6Z7VKZG+G5e2jR" int2:id="kLE3PbbF">
      <int2:state int2:value="Rejected" int2:type="AugLoop_Text_Critique"/>
    </int2:textHash>
    <int2:textHash int2:hashCode="Wtq/Wo+Dh/c142" int2:id="nYLKFQ6L">
      <int2:state int2:value="Rejected" int2:type="AugLoop_Text_Critique"/>
    </int2:textHash>
    <int2:textHash int2:hashCode="pZmKKAj0lNcGSL" int2:id="sgsJ9e3i">
      <int2:state int2:value="Rejected" int2:type="AugLoop_Text_Critique"/>
    </int2:textHash>
    <int2:bookmark int2:bookmarkName="_Int_rFIJdzSH" int2:invalidationBookmarkName="" int2:hashCode="X55YArurxx+Sdf" int2:id="206DEhUL">
      <int2:state int2:value="Rejected" int2:type="LegacyProofing"/>
    </int2:bookmark>
    <int2:bookmark int2:bookmarkName="_Int_T9zNTMws" int2:invalidationBookmarkName="" int2:hashCode="itfSHHGwSbcAO6" int2:id="9cijuN2C">
      <int2:state int2:value="Rejected" int2:type="AugLoop_Text_Critique"/>
    </int2:bookmark>
    <int2:bookmark int2:bookmarkName="_Int_2nRi8PBK" int2:invalidationBookmarkName="" int2:hashCode="351r0XWD+hEdsL" int2:id="DNld20In">
      <int2:state int2:value="Rejected" int2:type="AugLoop_Text_Critique"/>
    </int2:bookmark>
    <int2:bookmark int2:bookmarkName="_Int_oEN19DWh" int2:invalidationBookmarkName="" int2:hashCode="X55YArurxx+Sdf" int2:id="P6KmJF5m">
      <int2:state int2:value="Rejected" int2:type="LegacyProofing"/>
    </int2:bookmark>
    <int2:bookmark int2:bookmarkName="_Int_e5hk767Q" int2:invalidationBookmarkName="" int2:hashCode="xqD2/z1cYX8de4" int2:id="fa0K8UiU">
      <int2:state int2:value="Rejected" int2:type="LegacyProofing"/>
    </int2:bookmark>
    <int2:bookmark int2:bookmarkName="_Int_buq47ftV" int2:invalidationBookmarkName="" int2:hashCode="m2H+qlBAKMLYwg" int2:id="q2gATOy6">
      <int2:state int2:value="Rejected" int2:type="AugLoop_Text_Critique"/>
    </int2:bookmark>
    <int2:bookmark int2:bookmarkName="_Int_Gp8o7NrW" int2:invalidationBookmarkName="" int2:hashCode="FHvHgdyK113/QT" int2:id="uwXN0WTJ">
      <int2:state int2:value="Rejected" int2:type="LegacyProofing"/>
    </int2:bookmark>
    <int2:bookmark int2:bookmarkName="_Int_s0ApIAUU" int2:invalidationBookmarkName="" int2:hashCode="Xzf8StxbJDVNdo" int2:id="vvyxcO7y">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4D82"/>
    <w:multiLevelType w:val="hybridMultilevel"/>
    <w:tmpl w:val="10B8D08A"/>
    <w:lvl w:ilvl="0" w:tplc="F842BEDC">
      <w:start w:val="1"/>
      <w:numFmt w:val="bullet"/>
      <w:lvlText w:val=""/>
      <w:lvlJc w:val="left"/>
      <w:pPr>
        <w:ind w:left="720" w:hanging="360"/>
      </w:pPr>
      <w:rPr>
        <w:rFonts w:ascii="Symbol" w:hAnsi="Symbol" w:hint="default"/>
      </w:rPr>
    </w:lvl>
    <w:lvl w:ilvl="1" w:tplc="9BAA4960">
      <w:start w:val="1"/>
      <w:numFmt w:val="bullet"/>
      <w:lvlText w:val="o"/>
      <w:lvlJc w:val="left"/>
      <w:pPr>
        <w:ind w:left="1440" w:hanging="360"/>
      </w:pPr>
      <w:rPr>
        <w:rFonts w:ascii="Courier New" w:hAnsi="Courier New" w:hint="default"/>
      </w:rPr>
    </w:lvl>
    <w:lvl w:ilvl="2" w:tplc="61B02CE4">
      <w:start w:val="1"/>
      <w:numFmt w:val="bullet"/>
      <w:lvlText w:val=""/>
      <w:lvlJc w:val="left"/>
      <w:pPr>
        <w:ind w:left="2160" w:hanging="360"/>
      </w:pPr>
      <w:rPr>
        <w:rFonts w:ascii="Wingdings" w:hAnsi="Wingdings" w:hint="default"/>
      </w:rPr>
    </w:lvl>
    <w:lvl w:ilvl="3" w:tplc="B464FDDA">
      <w:start w:val="1"/>
      <w:numFmt w:val="bullet"/>
      <w:lvlText w:val=""/>
      <w:lvlJc w:val="left"/>
      <w:pPr>
        <w:ind w:left="2880" w:hanging="360"/>
      </w:pPr>
      <w:rPr>
        <w:rFonts w:ascii="Symbol" w:hAnsi="Symbol" w:hint="default"/>
      </w:rPr>
    </w:lvl>
    <w:lvl w:ilvl="4" w:tplc="2BA00E50">
      <w:start w:val="1"/>
      <w:numFmt w:val="bullet"/>
      <w:lvlText w:val="o"/>
      <w:lvlJc w:val="left"/>
      <w:pPr>
        <w:ind w:left="3600" w:hanging="360"/>
      </w:pPr>
      <w:rPr>
        <w:rFonts w:ascii="Courier New" w:hAnsi="Courier New" w:hint="default"/>
      </w:rPr>
    </w:lvl>
    <w:lvl w:ilvl="5" w:tplc="95707E84">
      <w:start w:val="1"/>
      <w:numFmt w:val="bullet"/>
      <w:lvlText w:val=""/>
      <w:lvlJc w:val="left"/>
      <w:pPr>
        <w:ind w:left="4320" w:hanging="360"/>
      </w:pPr>
      <w:rPr>
        <w:rFonts w:ascii="Wingdings" w:hAnsi="Wingdings" w:hint="default"/>
      </w:rPr>
    </w:lvl>
    <w:lvl w:ilvl="6" w:tplc="0E0E9F1A">
      <w:start w:val="1"/>
      <w:numFmt w:val="bullet"/>
      <w:lvlText w:val=""/>
      <w:lvlJc w:val="left"/>
      <w:pPr>
        <w:ind w:left="5040" w:hanging="360"/>
      </w:pPr>
      <w:rPr>
        <w:rFonts w:ascii="Symbol" w:hAnsi="Symbol" w:hint="default"/>
      </w:rPr>
    </w:lvl>
    <w:lvl w:ilvl="7" w:tplc="1C7C2A42">
      <w:start w:val="1"/>
      <w:numFmt w:val="bullet"/>
      <w:lvlText w:val="o"/>
      <w:lvlJc w:val="left"/>
      <w:pPr>
        <w:ind w:left="5760" w:hanging="360"/>
      </w:pPr>
      <w:rPr>
        <w:rFonts w:ascii="Courier New" w:hAnsi="Courier New" w:hint="default"/>
      </w:rPr>
    </w:lvl>
    <w:lvl w:ilvl="8" w:tplc="8DBA9E0A">
      <w:start w:val="1"/>
      <w:numFmt w:val="bullet"/>
      <w:lvlText w:val=""/>
      <w:lvlJc w:val="left"/>
      <w:pPr>
        <w:ind w:left="6480" w:hanging="360"/>
      </w:pPr>
      <w:rPr>
        <w:rFonts w:ascii="Wingdings" w:hAnsi="Wingdings" w:hint="default"/>
      </w:rPr>
    </w:lvl>
  </w:abstractNum>
  <w:abstractNum w:abstractNumId="1" w15:restartNumberingAfterBreak="0">
    <w:nsid w:val="1A7138D0"/>
    <w:multiLevelType w:val="hybridMultilevel"/>
    <w:tmpl w:val="24F097EA"/>
    <w:lvl w:ilvl="0" w:tplc="50E82EC0">
      <w:start w:val="1"/>
      <w:numFmt w:val="bullet"/>
      <w:lvlText w:val=""/>
      <w:lvlJc w:val="left"/>
      <w:pPr>
        <w:ind w:left="720" w:hanging="360"/>
      </w:pPr>
      <w:rPr>
        <w:rFonts w:ascii="Symbol" w:hAnsi="Symbol" w:hint="default"/>
      </w:rPr>
    </w:lvl>
    <w:lvl w:ilvl="1" w:tplc="D4F6A2B0">
      <w:start w:val="1"/>
      <w:numFmt w:val="bullet"/>
      <w:lvlText w:val="o"/>
      <w:lvlJc w:val="left"/>
      <w:pPr>
        <w:ind w:left="1440" w:hanging="360"/>
      </w:pPr>
      <w:rPr>
        <w:rFonts w:ascii="Courier New" w:hAnsi="Courier New" w:hint="default"/>
      </w:rPr>
    </w:lvl>
    <w:lvl w:ilvl="2" w:tplc="BB74CE92">
      <w:start w:val="1"/>
      <w:numFmt w:val="bullet"/>
      <w:lvlText w:val=""/>
      <w:lvlJc w:val="left"/>
      <w:pPr>
        <w:ind w:left="2160" w:hanging="360"/>
      </w:pPr>
      <w:rPr>
        <w:rFonts w:ascii="Wingdings" w:hAnsi="Wingdings" w:hint="default"/>
      </w:rPr>
    </w:lvl>
    <w:lvl w:ilvl="3" w:tplc="2E62D9AE">
      <w:start w:val="1"/>
      <w:numFmt w:val="bullet"/>
      <w:lvlText w:val=""/>
      <w:lvlJc w:val="left"/>
      <w:pPr>
        <w:ind w:left="2880" w:hanging="360"/>
      </w:pPr>
      <w:rPr>
        <w:rFonts w:ascii="Symbol" w:hAnsi="Symbol" w:hint="default"/>
      </w:rPr>
    </w:lvl>
    <w:lvl w:ilvl="4" w:tplc="6F604972">
      <w:start w:val="1"/>
      <w:numFmt w:val="bullet"/>
      <w:lvlText w:val="o"/>
      <w:lvlJc w:val="left"/>
      <w:pPr>
        <w:ind w:left="3600" w:hanging="360"/>
      </w:pPr>
      <w:rPr>
        <w:rFonts w:ascii="Courier New" w:hAnsi="Courier New" w:hint="default"/>
      </w:rPr>
    </w:lvl>
    <w:lvl w:ilvl="5" w:tplc="19FE8D64">
      <w:start w:val="1"/>
      <w:numFmt w:val="bullet"/>
      <w:lvlText w:val=""/>
      <w:lvlJc w:val="left"/>
      <w:pPr>
        <w:ind w:left="4320" w:hanging="360"/>
      </w:pPr>
      <w:rPr>
        <w:rFonts w:ascii="Wingdings" w:hAnsi="Wingdings" w:hint="default"/>
      </w:rPr>
    </w:lvl>
    <w:lvl w:ilvl="6" w:tplc="9B8249EA">
      <w:start w:val="1"/>
      <w:numFmt w:val="bullet"/>
      <w:lvlText w:val=""/>
      <w:lvlJc w:val="left"/>
      <w:pPr>
        <w:ind w:left="5040" w:hanging="360"/>
      </w:pPr>
      <w:rPr>
        <w:rFonts w:ascii="Symbol" w:hAnsi="Symbol" w:hint="default"/>
      </w:rPr>
    </w:lvl>
    <w:lvl w:ilvl="7" w:tplc="1D38546A">
      <w:start w:val="1"/>
      <w:numFmt w:val="bullet"/>
      <w:lvlText w:val="o"/>
      <w:lvlJc w:val="left"/>
      <w:pPr>
        <w:ind w:left="5760" w:hanging="360"/>
      </w:pPr>
      <w:rPr>
        <w:rFonts w:ascii="Courier New" w:hAnsi="Courier New" w:hint="default"/>
      </w:rPr>
    </w:lvl>
    <w:lvl w:ilvl="8" w:tplc="DE0876C2">
      <w:start w:val="1"/>
      <w:numFmt w:val="bullet"/>
      <w:lvlText w:val=""/>
      <w:lvlJc w:val="left"/>
      <w:pPr>
        <w:ind w:left="6480" w:hanging="360"/>
      </w:pPr>
      <w:rPr>
        <w:rFonts w:ascii="Wingdings" w:hAnsi="Wingdings" w:hint="default"/>
      </w:rPr>
    </w:lvl>
  </w:abstractNum>
  <w:abstractNum w:abstractNumId="2" w15:restartNumberingAfterBreak="0">
    <w:nsid w:val="2C0DC68C"/>
    <w:multiLevelType w:val="hybridMultilevel"/>
    <w:tmpl w:val="35AC92AA"/>
    <w:lvl w:ilvl="0" w:tplc="E6B69B32">
      <w:start w:val="1"/>
      <w:numFmt w:val="bullet"/>
      <w:lvlText w:val=""/>
      <w:lvlJc w:val="left"/>
      <w:pPr>
        <w:ind w:left="720" w:hanging="360"/>
      </w:pPr>
      <w:rPr>
        <w:rFonts w:ascii="Symbol" w:hAnsi="Symbol" w:hint="default"/>
      </w:rPr>
    </w:lvl>
    <w:lvl w:ilvl="1" w:tplc="4942E1BA">
      <w:start w:val="1"/>
      <w:numFmt w:val="bullet"/>
      <w:lvlText w:val="o"/>
      <w:lvlJc w:val="left"/>
      <w:pPr>
        <w:ind w:left="1440" w:hanging="360"/>
      </w:pPr>
      <w:rPr>
        <w:rFonts w:ascii="Courier New" w:hAnsi="Courier New" w:hint="default"/>
      </w:rPr>
    </w:lvl>
    <w:lvl w:ilvl="2" w:tplc="195E6F2C">
      <w:start w:val="1"/>
      <w:numFmt w:val="bullet"/>
      <w:lvlText w:val=""/>
      <w:lvlJc w:val="left"/>
      <w:pPr>
        <w:ind w:left="2160" w:hanging="360"/>
      </w:pPr>
      <w:rPr>
        <w:rFonts w:ascii="Wingdings" w:hAnsi="Wingdings" w:hint="default"/>
      </w:rPr>
    </w:lvl>
    <w:lvl w:ilvl="3" w:tplc="48D81C10">
      <w:start w:val="1"/>
      <w:numFmt w:val="bullet"/>
      <w:lvlText w:val=""/>
      <w:lvlJc w:val="left"/>
      <w:pPr>
        <w:ind w:left="2880" w:hanging="360"/>
      </w:pPr>
      <w:rPr>
        <w:rFonts w:ascii="Symbol" w:hAnsi="Symbol" w:hint="default"/>
      </w:rPr>
    </w:lvl>
    <w:lvl w:ilvl="4" w:tplc="016A9A52">
      <w:start w:val="1"/>
      <w:numFmt w:val="bullet"/>
      <w:lvlText w:val="o"/>
      <w:lvlJc w:val="left"/>
      <w:pPr>
        <w:ind w:left="3600" w:hanging="360"/>
      </w:pPr>
      <w:rPr>
        <w:rFonts w:ascii="Courier New" w:hAnsi="Courier New" w:hint="default"/>
      </w:rPr>
    </w:lvl>
    <w:lvl w:ilvl="5" w:tplc="C53C1460">
      <w:start w:val="1"/>
      <w:numFmt w:val="bullet"/>
      <w:lvlText w:val=""/>
      <w:lvlJc w:val="left"/>
      <w:pPr>
        <w:ind w:left="4320" w:hanging="360"/>
      </w:pPr>
      <w:rPr>
        <w:rFonts w:ascii="Wingdings" w:hAnsi="Wingdings" w:hint="default"/>
      </w:rPr>
    </w:lvl>
    <w:lvl w:ilvl="6" w:tplc="F60856C2">
      <w:start w:val="1"/>
      <w:numFmt w:val="bullet"/>
      <w:lvlText w:val=""/>
      <w:lvlJc w:val="left"/>
      <w:pPr>
        <w:ind w:left="5040" w:hanging="360"/>
      </w:pPr>
      <w:rPr>
        <w:rFonts w:ascii="Symbol" w:hAnsi="Symbol" w:hint="default"/>
      </w:rPr>
    </w:lvl>
    <w:lvl w:ilvl="7" w:tplc="B588C17A">
      <w:start w:val="1"/>
      <w:numFmt w:val="bullet"/>
      <w:lvlText w:val="o"/>
      <w:lvlJc w:val="left"/>
      <w:pPr>
        <w:ind w:left="5760" w:hanging="360"/>
      </w:pPr>
      <w:rPr>
        <w:rFonts w:ascii="Courier New" w:hAnsi="Courier New" w:hint="default"/>
      </w:rPr>
    </w:lvl>
    <w:lvl w:ilvl="8" w:tplc="E9A4BBCA">
      <w:start w:val="1"/>
      <w:numFmt w:val="bullet"/>
      <w:lvlText w:val=""/>
      <w:lvlJc w:val="left"/>
      <w:pPr>
        <w:ind w:left="6480" w:hanging="360"/>
      </w:pPr>
      <w:rPr>
        <w:rFonts w:ascii="Wingdings" w:hAnsi="Wingdings" w:hint="default"/>
      </w:rPr>
    </w:lvl>
  </w:abstractNum>
  <w:abstractNum w:abstractNumId="3" w15:restartNumberingAfterBreak="0">
    <w:nsid w:val="4DEE5957"/>
    <w:multiLevelType w:val="hybridMultilevel"/>
    <w:tmpl w:val="4B429C18"/>
    <w:lvl w:ilvl="0" w:tplc="CD5CDBBA">
      <w:start w:val="1"/>
      <w:numFmt w:val="bullet"/>
      <w:lvlText w:val=""/>
      <w:lvlJc w:val="left"/>
      <w:pPr>
        <w:ind w:left="1440" w:hanging="360"/>
      </w:pPr>
      <w:rPr>
        <w:rFonts w:ascii="Symbol" w:hAnsi="Symbol"/>
      </w:rPr>
    </w:lvl>
    <w:lvl w:ilvl="1" w:tplc="1708D566">
      <w:start w:val="1"/>
      <w:numFmt w:val="bullet"/>
      <w:lvlText w:val=""/>
      <w:lvlJc w:val="left"/>
      <w:pPr>
        <w:ind w:left="1440" w:hanging="360"/>
      </w:pPr>
      <w:rPr>
        <w:rFonts w:ascii="Symbol" w:hAnsi="Symbol"/>
      </w:rPr>
    </w:lvl>
    <w:lvl w:ilvl="2" w:tplc="34BA517E">
      <w:start w:val="1"/>
      <w:numFmt w:val="bullet"/>
      <w:lvlText w:val=""/>
      <w:lvlJc w:val="left"/>
      <w:pPr>
        <w:ind w:left="1440" w:hanging="360"/>
      </w:pPr>
      <w:rPr>
        <w:rFonts w:ascii="Symbol" w:hAnsi="Symbol"/>
      </w:rPr>
    </w:lvl>
    <w:lvl w:ilvl="3" w:tplc="C712A3AA">
      <w:start w:val="1"/>
      <w:numFmt w:val="bullet"/>
      <w:lvlText w:val=""/>
      <w:lvlJc w:val="left"/>
      <w:pPr>
        <w:ind w:left="1440" w:hanging="360"/>
      </w:pPr>
      <w:rPr>
        <w:rFonts w:ascii="Symbol" w:hAnsi="Symbol"/>
      </w:rPr>
    </w:lvl>
    <w:lvl w:ilvl="4" w:tplc="6254A31A">
      <w:start w:val="1"/>
      <w:numFmt w:val="bullet"/>
      <w:lvlText w:val=""/>
      <w:lvlJc w:val="left"/>
      <w:pPr>
        <w:ind w:left="1440" w:hanging="360"/>
      </w:pPr>
      <w:rPr>
        <w:rFonts w:ascii="Symbol" w:hAnsi="Symbol"/>
      </w:rPr>
    </w:lvl>
    <w:lvl w:ilvl="5" w:tplc="B238BBBA">
      <w:start w:val="1"/>
      <w:numFmt w:val="bullet"/>
      <w:lvlText w:val=""/>
      <w:lvlJc w:val="left"/>
      <w:pPr>
        <w:ind w:left="1440" w:hanging="360"/>
      </w:pPr>
      <w:rPr>
        <w:rFonts w:ascii="Symbol" w:hAnsi="Symbol"/>
      </w:rPr>
    </w:lvl>
    <w:lvl w:ilvl="6" w:tplc="3F6EABA8">
      <w:start w:val="1"/>
      <w:numFmt w:val="bullet"/>
      <w:lvlText w:val=""/>
      <w:lvlJc w:val="left"/>
      <w:pPr>
        <w:ind w:left="1440" w:hanging="360"/>
      </w:pPr>
      <w:rPr>
        <w:rFonts w:ascii="Symbol" w:hAnsi="Symbol"/>
      </w:rPr>
    </w:lvl>
    <w:lvl w:ilvl="7" w:tplc="D048055A">
      <w:start w:val="1"/>
      <w:numFmt w:val="bullet"/>
      <w:lvlText w:val=""/>
      <w:lvlJc w:val="left"/>
      <w:pPr>
        <w:ind w:left="1440" w:hanging="360"/>
      </w:pPr>
      <w:rPr>
        <w:rFonts w:ascii="Symbol" w:hAnsi="Symbol"/>
      </w:rPr>
    </w:lvl>
    <w:lvl w:ilvl="8" w:tplc="BB3A2E40">
      <w:start w:val="1"/>
      <w:numFmt w:val="bullet"/>
      <w:lvlText w:val=""/>
      <w:lvlJc w:val="left"/>
      <w:pPr>
        <w:ind w:left="1440" w:hanging="360"/>
      </w:pPr>
      <w:rPr>
        <w:rFonts w:ascii="Symbol" w:hAnsi="Symbol"/>
      </w:rPr>
    </w:lvl>
  </w:abstractNum>
  <w:abstractNum w:abstractNumId="4" w15:restartNumberingAfterBreak="0">
    <w:nsid w:val="62092DC8"/>
    <w:multiLevelType w:val="hybridMultilevel"/>
    <w:tmpl w:val="A0CA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C2A47"/>
    <w:multiLevelType w:val="hybridMultilevel"/>
    <w:tmpl w:val="2E3C1880"/>
    <w:lvl w:ilvl="0" w:tplc="64A6BB56">
      <w:start w:val="1"/>
      <w:numFmt w:val="bullet"/>
      <w:lvlText w:val=""/>
      <w:lvlJc w:val="left"/>
      <w:pPr>
        <w:ind w:left="1440" w:hanging="360"/>
      </w:pPr>
      <w:rPr>
        <w:rFonts w:ascii="Symbol" w:hAnsi="Symbol"/>
      </w:rPr>
    </w:lvl>
    <w:lvl w:ilvl="1" w:tplc="74C64FEC">
      <w:start w:val="1"/>
      <w:numFmt w:val="bullet"/>
      <w:lvlText w:val=""/>
      <w:lvlJc w:val="left"/>
      <w:pPr>
        <w:ind w:left="1440" w:hanging="360"/>
      </w:pPr>
      <w:rPr>
        <w:rFonts w:ascii="Symbol" w:hAnsi="Symbol"/>
      </w:rPr>
    </w:lvl>
    <w:lvl w:ilvl="2" w:tplc="62942FBC">
      <w:start w:val="1"/>
      <w:numFmt w:val="bullet"/>
      <w:lvlText w:val=""/>
      <w:lvlJc w:val="left"/>
      <w:pPr>
        <w:ind w:left="1440" w:hanging="360"/>
      </w:pPr>
      <w:rPr>
        <w:rFonts w:ascii="Symbol" w:hAnsi="Symbol"/>
      </w:rPr>
    </w:lvl>
    <w:lvl w:ilvl="3" w:tplc="AD867F9E">
      <w:start w:val="1"/>
      <w:numFmt w:val="bullet"/>
      <w:lvlText w:val=""/>
      <w:lvlJc w:val="left"/>
      <w:pPr>
        <w:ind w:left="1440" w:hanging="360"/>
      </w:pPr>
      <w:rPr>
        <w:rFonts w:ascii="Symbol" w:hAnsi="Symbol"/>
      </w:rPr>
    </w:lvl>
    <w:lvl w:ilvl="4" w:tplc="52F4B2BA">
      <w:start w:val="1"/>
      <w:numFmt w:val="bullet"/>
      <w:lvlText w:val=""/>
      <w:lvlJc w:val="left"/>
      <w:pPr>
        <w:ind w:left="1440" w:hanging="360"/>
      </w:pPr>
      <w:rPr>
        <w:rFonts w:ascii="Symbol" w:hAnsi="Symbol"/>
      </w:rPr>
    </w:lvl>
    <w:lvl w:ilvl="5" w:tplc="0D049576">
      <w:start w:val="1"/>
      <w:numFmt w:val="bullet"/>
      <w:lvlText w:val=""/>
      <w:lvlJc w:val="left"/>
      <w:pPr>
        <w:ind w:left="1440" w:hanging="360"/>
      </w:pPr>
      <w:rPr>
        <w:rFonts w:ascii="Symbol" w:hAnsi="Symbol"/>
      </w:rPr>
    </w:lvl>
    <w:lvl w:ilvl="6" w:tplc="76A6364A">
      <w:start w:val="1"/>
      <w:numFmt w:val="bullet"/>
      <w:lvlText w:val=""/>
      <w:lvlJc w:val="left"/>
      <w:pPr>
        <w:ind w:left="1440" w:hanging="360"/>
      </w:pPr>
      <w:rPr>
        <w:rFonts w:ascii="Symbol" w:hAnsi="Symbol"/>
      </w:rPr>
    </w:lvl>
    <w:lvl w:ilvl="7" w:tplc="05DC2A5A">
      <w:start w:val="1"/>
      <w:numFmt w:val="bullet"/>
      <w:lvlText w:val=""/>
      <w:lvlJc w:val="left"/>
      <w:pPr>
        <w:ind w:left="1440" w:hanging="360"/>
      </w:pPr>
      <w:rPr>
        <w:rFonts w:ascii="Symbol" w:hAnsi="Symbol"/>
      </w:rPr>
    </w:lvl>
    <w:lvl w:ilvl="8" w:tplc="053C2B1A">
      <w:start w:val="1"/>
      <w:numFmt w:val="bullet"/>
      <w:lvlText w:val=""/>
      <w:lvlJc w:val="left"/>
      <w:pPr>
        <w:ind w:left="1440" w:hanging="360"/>
      </w:pPr>
      <w:rPr>
        <w:rFonts w:ascii="Symbol" w:hAnsi="Symbol"/>
      </w:rPr>
    </w:lvl>
  </w:abstractNum>
  <w:abstractNum w:abstractNumId="6" w15:restartNumberingAfterBreak="0">
    <w:nsid w:val="69D2D896"/>
    <w:multiLevelType w:val="hybridMultilevel"/>
    <w:tmpl w:val="FD8A5EAA"/>
    <w:lvl w:ilvl="0" w:tplc="344A711E">
      <w:start w:val="1"/>
      <w:numFmt w:val="bullet"/>
      <w:lvlText w:val=""/>
      <w:lvlJc w:val="left"/>
      <w:pPr>
        <w:ind w:left="720" w:hanging="360"/>
      </w:pPr>
      <w:rPr>
        <w:rFonts w:ascii="Symbol" w:hAnsi="Symbol" w:hint="default"/>
      </w:rPr>
    </w:lvl>
    <w:lvl w:ilvl="1" w:tplc="26DC242C">
      <w:start w:val="1"/>
      <w:numFmt w:val="bullet"/>
      <w:lvlText w:val="o"/>
      <w:lvlJc w:val="left"/>
      <w:pPr>
        <w:ind w:left="1440" w:hanging="360"/>
      </w:pPr>
      <w:rPr>
        <w:rFonts w:ascii="Courier New" w:hAnsi="Courier New" w:hint="default"/>
      </w:rPr>
    </w:lvl>
    <w:lvl w:ilvl="2" w:tplc="3740E97E">
      <w:start w:val="1"/>
      <w:numFmt w:val="bullet"/>
      <w:lvlText w:val=""/>
      <w:lvlJc w:val="left"/>
      <w:pPr>
        <w:ind w:left="2160" w:hanging="360"/>
      </w:pPr>
      <w:rPr>
        <w:rFonts w:ascii="Wingdings" w:hAnsi="Wingdings" w:hint="default"/>
      </w:rPr>
    </w:lvl>
    <w:lvl w:ilvl="3" w:tplc="33326D70">
      <w:start w:val="1"/>
      <w:numFmt w:val="bullet"/>
      <w:lvlText w:val=""/>
      <w:lvlJc w:val="left"/>
      <w:pPr>
        <w:ind w:left="2880" w:hanging="360"/>
      </w:pPr>
      <w:rPr>
        <w:rFonts w:ascii="Symbol" w:hAnsi="Symbol" w:hint="default"/>
      </w:rPr>
    </w:lvl>
    <w:lvl w:ilvl="4" w:tplc="D40AFFF6">
      <w:start w:val="1"/>
      <w:numFmt w:val="bullet"/>
      <w:lvlText w:val="o"/>
      <w:lvlJc w:val="left"/>
      <w:pPr>
        <w:ind w:left="3600" w:hanging="360"/>
      </w:pPr>
      <w:rPr>
        <w:rFonts w:ascii="Courier New" w:hAnsi="Courier New" w:hint="default"/>
      </w:rPr>
    </w:lvl>
    <w:lvl w:ilvl="5" w:tplc="3F3062BC">
      <w:start w:val="1"/>
      <w:numFmt w:val="bullet"/>
      <w:lvlText w:val=""/>
      <w:lvlJc w:val="left"/>
      <w:pPr>
        <w:ind w:left="4320" w:hanging="360"/>
      </w:pPr>
      <w:rPr>
        <w:rFonts w:ascii="Wingdings" w:hAnsi="Wingdings" w:hint="default"/>
      </w:rPr>
    </w:lvl>
    <w:lvl w:ilvl="6" w:tplc="24B6CD78">
      <w:start w:val="1"/>
      <w:numFmt w:val="bullet"/>
      <w:lvlText w:val=""/>
      <w:lvlJc w:val="left"/>
      <w:pPr>
        <w:ind w:left="5040" w:hanging="360"/>
      </w:pPr>
      <w:rPr>
        <w:rFonts w:ascii="Symbol" w:hAnsi="Symbol" w:hint="default"/>
      </w:rPr>
    </w:lvl>
    <w:lvl w:ilvl="7" w:tplc="089A7AB2">
      <w:start w:val="1"/>
      <w:numFmt w:val="bullet"/>
      <w:lvlText w:val="o"/>
      <w:lvlJc w:val="left"/>
      <w:pPr>
        <w:ind w:left="5760" w:hanging="360"/>
      </w:pPr>
      <w:rPr>
        <w:rFonts w:ascii="Courier New" w:hAnsi="Courier New" w:hint="default"/>
      </w:rPr>
    </w:lvl>
    <w:lvl w:ilvl="8" w:tplc="9F620388">
      <w:start w:val="1"/>
      <w:numFmt w:val="bullet"/>
      <w:lvlText w:val=""/>
      <w:lvlJc w:val="left"/>
      <w:pPr>
        <w:ind w:left="6480" w:hanging="360"/>
      </w:pPr>
      <w:rPr>
        <w:rFonts w:ascii="Wingdings" w:hAnsi="Wingdings" w:hint="default"/>
      </w:rPr>
    </w:lvl>
  </w:abstractNum>
  <w:abstractNum w:abstractNumId="7" w15:restartNumberingAfterBreak="0">
    <w:nsid w:val="7D5A272E"/>
    <w:multiLevelType w:val="hybridMultilevel"/>
    <w:tmpl w:val="A878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835883">
    <w:abstractNumId w:val="6"/>
  </w:num>
  <w:num w:numId="2" w16cid:durableId="823281912">
    <w:abstractNumId w:val="2"/>
  </w:num>
  <w:num w:numId="3" w16cid:durableId="1241524464">
    <w:abstractNumId w:val="1"/>
  </w:num>
  <w:num w:numId="4" w16cid:durableId="1735855599">
    <w:abstractNumId w:val="0"/>
  </w:num>
  <w:num w:numId="5" w16cid:durableId="39672189">
    <w:abstractNumId w:val="4"/>
  </w:num>
  <w:num w:numId="6" w16cid:durableId="1003779222">
    <w:abstractNumId w:val="7"/>
  </w:num>
  <w:num w:numId="7" w16cid:durableId="1307587261">
    <w:abstractNumId w:val="3"/>
  </w:num>
  <w:num w:numId="8" w16cid:durableId="1247394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Hermann">
    <w15:presenceInfo w15:providerId="AD" w15:userId="S::nh1087@usnh.edu::901cf181-788b-4af0-ba55-4dddb1a6c17b"/>
  </w15:person>
  <w15:person w15:author="ljhammer96@gmail.com">
    <w15:presenceInfo w15:providerId="AD" w15:userId="S::urn:spo:guest#ljhammer96@g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E9"/>
    <w:rsid w:val="00000AF4"/>
    <w:rsid w:val="0000165E"/>
    <w:rsid w:val="0000189C"/>
    <w:rsid w:val="00002287"/>
    <w:rsid w:val="0000286C"/>
    <w:rsid w:val="00006DE8"/>
    <w:rsid w:val="00006F4F"/>
    <w:rsid w:val="0000770B"/>
    <w:rsid w:val="00007E6B"/>
    <w:rsid w:val="00007FC1"/>
    <w:rsid w:val="00010237"/>
    <w:rsid w:val="00010A02"/>
    <w:rsid w:val="00011B75"/>
    <w:rsid w:val="0001422A"/>
    <w:rsid w:val="0001782D"/>
    <w:rsid w:val="00022BFE"/>
    <w:rsid w:val="00023A9D"/>
    <w:rsid w:val="00025EFB"/>
    <w:rsid w:val="000317E5"/>
    <w:rsid w:val="000372EE"/>
    <w:rsid w:val="00037CDA"/>
    <w:rsid w:val="000416E8"/>
    <w:rsid w:val="000478E2"/>
    <w:rsid w:val="00047F8E"/>
    <w:rsid w:val="00051A9E"/>
    <w:rsid w:val="00054104"/>
    <w:rsid w:val="00061434"/>
    <w:rsid w:val="00065B99"/>
    <w:rsid w:val="00065D47"/>
    <w:rsid w:val="000700FC"/>
    <w:rsid w:val="00070D7F"/>
    <w:rsid w:val="00071D08"/>
    <w:rsid w:val="00071DC8"/>
    <w:rsid w:val="00072AEA"/>
    <w:rsid w:val="00072D55"/>
    <w:rsid w:val="00073335"/>
    <w:rsid w:val="00074445"/>
    <w:rsid w:val="00081F66"/>
    <w:rsid w:val="00082B5D"/>
    <w:rsid w:val="000851E6"/>
    <w:rsid w:val="00087067"/>
    <w:rsid w:val="00087914"/>
    <w:rsid w:val="000903A6"/>
    <w:rsid w:val="00090884"/>
    <w:rsid w:val="0009558B"/>
    <w:rsid w:val="000A0DD4"/>
    <w:rsid w:val="000A1B7A"/>
    <w:rsid w:val="000A26FC"/>
    <w:rsid w:val="000A290C"/>
    <w:rsid w:val="000A32D3"/>
    <w:rsid w:val="000A4244"/>
    <w:rsid w:val="000A6532"/>
    <w:rsid w:val="000B0F8F"/>
    <w:rsid w:val="000B2294"/>
    <w:rsid w:val="000B3F81"/>
    <w:rsid w:val="000B4C9A"/>
    <w:rsid w:val="000B702D"/>
    <w:rsid w:val="000C136E"/>
    <w:rsid w:val="000C6778"/>
    <w:rsid w:val="000CEBB1"/>
    <w:rsid w:val="000D10A4"/>
    <w:rsid w:val="000D3551"/>
    <w:rsid w:val="000D3F6B"/>
    <w:rsid w:val="000D7F83"/>
    <w:rsid w:val="000E05D7"/>
    <w:rsid w:val="000E079C"/>
    <w:rsid w:val="000E0F76"/>
    <w:rsid w:val="000E262C"/>
    <w:rsid w:val="000E40EB"/>
    <w:rsid w:val="000E62AC"/>
    <w:rsid w:val="000E6FCF"/>
    <w:rsid w:val="000E7343"/>
    <w:rsid w:val="000F1179"/>
    <w:rsid w:val="000F2CA4"/>
    <w:rsid w:val="000F3B28"/>
    <w:rsid w:val="000F4FB8"/>
    <w:rsid w:val="000F7411"/>
    <w:rsid w:val="000F74DB"/>
    <w:rsid w:val="00100898"/>
    <w:rsid w:val="00101414"/>
    <w:rsid w:val="0010253A"/>
    <w:rsid w:val="0010261B"/>
    <w:rsid w:val="001060AB"/>
    <w:rsid w:val="00107E1D"/>
    <w:rsid w:val="0011070F"/>
    <w:rsid w:val="00111DA7"/>
    <w:rsid w:val="001156C1"/>
    <w:rsid w:val="00115DB8"/>
    <w:rsid w:val="00116EB5"/>
    <w:rsid w:val="001208AD"/>
    <w:rsid w:val="0012143B"/>
    <w:rsid w:val="00122420"/>
    <w:rsid w:val="001266FE"/>
    <w:rsid w:val="00127094"/>
    <w:rsid w:val="00130463"/>
    <w:rsid w:val="001321D5"/>
    <w:rsid w:val="00136EF1"/>
    <w:rsid w:val="00141F2D"/>
    <w:rsid w:val="00143362"/>
    <w:rsid w:val="001436BB"/>
    <w:rsid w:val="00147597"/>
    <w:rsid w:val="0015585C"/>
    <w:rsid w:val="00161A40"/>
    <w:rsid w:val="00164516"/>
    <w:rsid w:val="001673F2"/>
    <w:rsid w:val="0017220B"/>
    <w:rsid w:val="0017349D"/>
    <w:rsid w:val="00173FBC"/>
    <w:rsid w:val="001742E5"/>
    <w:rsid w:val="001759DF"/>
    <w:rsid w:val="00181E4B"/>
    <w:rsid w:val="00187271"/>
    <w:rsid w:val="00191D22"/>
    <w:rsid w:val="00192D08"/>
    <w:rsid w:val="001960A2"/>
    <w:rsid w:val="00197AE7"/>
    <w:rsid w:val="001A04EB"/>
    <w:rsid w:val="001A1DCF"/>
    <w:rsid w:val="001A4FFB"/>
    <w:rsid w:val="001A73F6"/>
    <w:rsid w:val="001A7D9B"/>
    <w:rsid w:val="001B4BB9"/>
    <w:rsid w:val="001B4FFF"/>
    <w:rsid w:val="001B551F"/>
    <w:rsid w:val="001B7782"/>
    <w:rsid w:val="001B782E"/>
    <w:rsid w:val="001C05D1"/>
    <w:rsid w:val="001C0878"/>
    <w:rsid w:val="001C0EBC"/>
    <w:rsid w:val="001C3A39"/>
    <w:rsid w:val="001C471D"/>
    <w:rsid w:val="001C530A"/>
    <w:rsid w:val="001C56B7"/>
    <w:rsid w:val="001C5F02"/>
    <w:rsid w:val="001C6255"/>
    <w:rsid w:val="001D174C"/>
    <w:rsid w:val="001D42A5"/>
    <w:rsid w:val="001D5DD3"/>
    <w:rsid w:val="001D6981"/>
    <w:rsid w:val="001D6EDD"/>
    <w:rsid w:val="001E27A0"/>
    <w:rsid w:val="001E36CE"/>
    <w:rsid w:val="001E4B06"/>
    <w:rsid w:val="001F16F9"/>
    <w:rsid w:val="001F18F2"/>
    <w:rsid w:val="001F56EF"/>
    <w:rsid w:val="001F6DD3"/>
    <w:rsid w:val="001F7303"/>
    <w:rsid w:val="001F7475"/>
    <w:rsid w:val="00202768"/>
    <w:rsid w:val="00204FF4"/>
    <w:rsid w:val="0020587C"/>
    <w:rsid w:val="00210179"/>
    <w:rsid w:val="00214AE9"/>
    <w:rsid w:val="00217A1B"/>
    <w:rsid w:val="00220D09"/>
    <w:rsid w:val="00220DAF"/>
    <w:rsid w:val="00221C3F"/>
    <w:rsid w:val="00222DCA"/>
    <w:rsid w:val="00224B75"/>
    <w:rsid w:val="00224FE6"/>
    <w:rsid w:val="0023043D"/>
    <w:rsid w:val="00233930"/>
    <w:rsid w:val="00235E84"/>
    <w:rsid w:val="0024044C"/>
    <w:rsid w:val="00241693"/>
    <w:rsid w:val="00242681"/>
    <w:rsid w:val="00242851"/>
    <w:rsid w:val="00242CBD"/>
    <w:rsid w:val="00244D52"/>
    <w:rsid w:val="00251792"/>
    <w:rsid w:val="0025261D"/>
    <w:rsid w:val="002527BC"/>
    <w:rsid w:val="002546C2"/>
    <w:rsid w:val="00254C9F"/>
    <w:rsid w:val="002558C2"/>
    <w:rsid w:val="00255EC8"/>
    <w:rsid w:val="00260697"/>
    <w:rsid w:val="00260865"/>
    <w:rsid w:val="00260BB8"/>
    <w:rsid w:val="002640DF"/>
    <w:rsid w:val="00264508"/>
    <w:rsid w:val="00265BDF"/>
    <w:rsid w:val="0027316D"/>
    <w:rsid w:val="00275530"/>
    <w:rsid w:val="002760C0"/>
    <w:rsid w:val="00277721"/>
    <w:rsid w:val="002801E0"/>
    <w:rsid w:val="00280599"/>
    <w:rsid w:val="00282ECF"/>
    <w:rsid w:val="002838E7"/>
    <w:rsid w:val="00285BE7"/>
    <w:rsid w:val="00285CE7"/>
    <w:rsid w:val="002875FE"/>
    <w:rsid w:val="0029393F"/>
    <w:rsid w:val="00294F2F"/>
    <w:rsid w:val="00295ACB"/>
    <w:rsid w:val="002A2CBF"/>
    <w:rsid w:val="002A2F1F"/>
    <w:rsid w:val="002A3239"/>
    <w:rsid w:val="002A4BAB"/>
    <w:rsid w:val="002A51E2"/>
    <w:rsid w:val="002A603E"/>
    <w:rsid w:val="002A6173"/>
    <w:rsid w:val="002A63B0"/>
    <w:rsid w:val="002A6485"/>
    <w:rsid w:val="002B0F6B"/>
    <w:rsid w:val="002B215B"/>
    <w:rsid w:val="002B3322"/>
    <w:rsid w:val="002B3B9E"/>
    <w:rsid w:val="002B3DE9"/>
    <w:rsid w:val="002B4F7D"/>
    <w:rsid w:val="002B617F"/>
    <w:rsid w:val="002B6BB3"/>
    <w:rsid w:val="002B7947"/>
    <w:rsid w:val="002C427E"/>
    <w:rsid w:val="002C47FC"/>
    <w:rsid w:val="002C5FB2"/>
    <w:rsid w:val="002D3619"/>
    <w:rsid w:val="002D7C31"/>
    <w:rsid w:val="002D7D8E"/>
    <w:rsid w:val="002E097D"/>
    <w:rsid w:val="002E6EF2"/>
    <w:rsid w:val="002E710D"/>
    <w:rsid w:val="002E7384"/>
    <w:rsid w:val="002F2C24"/>
    <w:rsid w:val="002F5B3E"/>
    <w:rsid w:val="002F663E"/>
    <w:rsid w:val="0030056C"/>
    <w:rsid w:val="00301C14"/>
    <w:rsid w:val="00303178"/>
    <w:rsid w:val="00303192"/>
    <w:rsid w:val="00304C74"/>
    <w:rsid w:val="0030A254"/>
    <w:rsid w:val="0031249E"/>
    <w:rsid w:val="00313885"/>
    <w:rsid w:val="003152EF"/>
    <w:rsid w:val="0032162A"/>
    <w:rsid w:val="00321E19"/>
    <w:rsid w:val="00323F09"/>
    <w:rsid w:val="0032482C"/>
    <w:rsid w:val="003254DC"/>
    <w:rsid w:val="00325A0B"/>
    <w:rsid w:val="003271A6"/>
    <w:rsid w:val="003315E6"/>
    <w:rsid w:val="00332040"/>
    <w:rsid w:val="00340651"/>
    <w:rsid w:val="00342AA3"/>
    <w:rsid w:val="00345D74"/>
    <w:rsid w:val="003502CA"/>
    <w:rsid w:val="00356006"/>
    <w:rsid w:val="00362993"/>
    <w:rsid w:val="00362BDD"/>
    <w:rsid w:val="00364A1C"/>
    <w:rsid w:val="00365399"/>
    <w:rsid w:val="003661B1"/>
    <w:rsid w:val="00366446"/>
    <w:rsid w:val="00370699"/>
    <w:rsid w:val="00370F63"/>
    <w:rsid w:val="00371068"/>
    <w:rsid w:val="00372003"/>
    <w:rsid w:val="00372AF6"/>
    <w:rsid w:val="003746BF"/>
    <w:rsid w:val="0037EA81"/>
    <w:rsid w:val="00380683"/>
    <w:rsid w:val="00382663"/>
    <w:rsid w:val="0038324B"/>
    <w:rsid w:val="00383688"/>
    <w:rsid w:val="00385057"/>
    <w:rsid w:val="003873C7"/>
    <w:rsid w:val="00387473"/>
    <w:rsid w:val="003878DF"/>
    <w:rsid w:val="003955D7"/>
    <w:rsid w:val="00395A52"/>
    <w:rsid w:val="00396EE2"/>
    <w:rsid w:val="003A0757"/>
    <w:rsid w:val="003A18F6"/>
    <w:rsid w:val="003A26EF"/>
    <w:rsid w:val="003A3732"/>
    <w:rsid w:val="003A3E2D"/>
    <w:rsid w:val="003A414E"/>
    <w:rsid w:val="003A6E29"/>
    <w:rsid w:val="003A7067"/>
    <w:rsid w:val="003A7AA5"/>
    <w:rsid w:val="003B077D"/>
    <w:rsid w:val="003B2169"/>
    <w:rsid w:val="003B4042"/>
    <w:rsid w:val="003B429A"/>
    <w:rsid w:val="003B5322"/>
    <w:rsid w:val="003B5627"/>
    <w:rsid w:val="003B6995"/>
    <w:rsid w:val="003C034B"/>
    <w:rsid w:val="003C106B"/>
    <w:rsid w:val="003C299B"/>
    <w:rsid w:val="003C58FD"/>
    <w:rsid w:val="003C69E1"/>
    <w:rsid w:val="003C758D"/>
    <w:rsid w:val="003C7FB7"/>
    <w:rsid w:val="003D068E"/>
    <w:rsid w:val="003D3608"/>
    <w:rsid w:val="003E23CF"/>
    <w:rsid w:val="003E31F4"/>
    <w:rsid w:val="003E373D"/>
    <w:rsid w:val="003E4F5C"/>
    <w:rsid w:val="003E6C8F"/>
    <w:rsid w:val="003E79D0"/>
    <w:rsid w:val="003F0D91"/>
    <w:rsid w:val="003F3777"/>
    <w:rsid w:val="003F527D"/>
    <w:rsid w:val="003F550D"/>
    <w:rsid w:val="003F7136"/>
    <w:rsid w:val="003F7E12"/>
    <w:rsid w:val="00403375"/>
    <w:rsid w:val="00403601"/>
    <w:rsid w:val="00407EA2"/>
    <w:rsid w:val="00410296"/>
    <w:rsid w:val="00411C72"/>
    <w:rsid w:val="00411EDC"/>
    <w:rsid w:val="00412EB0"/>
    <w:rsid w:val="00412F60"/>
    <w:rsid w:val="00417E81"/>
    <w:rsid w:val="004200D9"/>
    <w:rsid w:val="0042497F"/>
    <w:rsid w:val="004318B3"/>
    <w:rsid w:val="004323F4"/>
    <w:rsid w:val="0043333A"/>
    <w:rsid w:val="00434795"/>
    <w:rsid w:val="0043547B"/>
    <w:rsid w:val="0044006F"/>
    <w:rsid w:val="004406A3"/>
    <w:rsid w:val="004408FA"/>
    <w:rsid w:val="00442540"/>
    <w:rsid w:val="00442FE4"/>
    <w:rsid w:val="0044313A"/>
    <w:rsid w:val="00448F49"/>
    <w:rsid w:val="00453133"/>
    <w:rsid w:val="004543AE"/>
    <w:rsid w:val="00454A49"/>
    <w:rsid w:val="004574DF"/>
    <w:rsid w:val="004601E7"/>
    <w:rsid w:val="00471728"/>
    <w:rsid w:val="004718D2"/>
    <w:rsid w:val="00471A69"/>
    <w:rsid w:val="004725E4"/>
    <w:rsid w:val="00472F1A"/>
    <w:rsid w:val="0047321B"/>
    <w:rsid w:val="00475C56"/>
    <w:rsid w:val="00476826"/>
    <w:rsid w:val="0048071E"/>
    <w:rsid w:val="00480B10"/>
    <w:rsid w:val="004819C9"/>
    <w:rsid w:val="00484AE9"/>
    <w:rsid w:val="00484DA3"/>
    <w:rsid w:val="0049124A"/>
    <w:rsid w:val="00491C2B"/>
    <w:rsid w:val="00494A29"/>
    <w:rsid w:val="004A334F"/>
    <w:rsid w:val="004B05C6"/>
    <w:rsid w:val="004B3ACF"/>
    <w:rsid w:val="004B5E9B"/>
    <w:rsid w:val="004C092D"/>
    <w:rsid w:val="004C2E24"/>
    <w:rsid w:val="004C6A64"/>
    <w:rsid w:val="004C76B1"/>
    <w:rsid w:val="004C7730"/>
    <w:rsid w:val="004D36D1"/>
    <w:rsid w:val="004D3EC5"/>
    <w:rsid w:val="004D445F"/>
    <w:rsid w:val="004D45F1"/>
    <w:rsid w:val="004D5C2E"/>
    <w:rsid w:val="004D77A4"/>
    <w:rsid w:val="004E020C"/>
    <w:rsid w:val="004E0DCD"/>
    <w:rsid w:val="004E0EE1"/>
    <w:rsid w:val="004E6749"/>
    <w:rsid w:val="004E7F11"/>
    <w:rsid w:val="004F01F3"/>
    <w:rsid w:val="004F0766"/>
    <w:rsid w:val="004F211D"/>
    <w:rsid w:val="004F522D"/>
    <w:rsid w:val="004F64C0"/>
    <w:rsid w:val="00504501"/>
    <w:rsid w:val="00506891"/>
    <w:rsid w:val="005075C9"/>
    <w:rsid w:val="005127EC"/>
    <w:rsid w:val="0051488C"/>
    <w:rsid w:val="005264B3"/>
    <w:rsid w:val="0052697B"/>
    <w:rsid w:val="00527543"/>
    <w:rsid w:val="00530075"/>
    <w:rsid w:val="00530558"/>
    <w:rsid w:val="00535112"/>
    <w:rsid w:val="00535F90"/>
    <w:rsid w:val="0053642A"/>
    <w:rsid w:val="005401B4"/>
    <w:rsid w:val="00544DAA"/>
    <w:rsid w:val="005453DF"/>
    <w:rsid w:val="005510F6"/>
    <w:rsid w:val="005532DA"/>
    <w:rsid w:val="0055336D"/>
    <w:rsid w:val="005557EE"/>
    <w:rsid w:val="00555AE9"/>
    <w:rsid w:val="005600CE"/>
    <w:rsid w:val="00561454"/>
    <w:rsid w:val="00562850"/>
    <w:rsid w:val="00563EA4"/>
    <w:rsid w:val="00565206"/>
    <w:rsid w:val="00565B4C"/>
    <w:rsid w:val="00566152"/>
    <w:rsid w:val="00566153"/>
    <w:rsid w:val="00571610"/>
    <w:rsid w:val="00571C76"/>
    <w:rsid w:val="005725C9"/>
    <w:rsid w:val="00573927"/>
    <w:rsid w:val="00573F66"/>
    <w:rsid w:val="0058074B"/>
    <w:rsid w:val="00580F2C"/>
    <w:rsid w:val="005819EE"/>
    <w:rsid w:val="00587564"/>
    <w:rsid w:val="00590667"/>
    <w:rsid w:val="00591F69"/>
    <w:rsid w:val="00593170"/>
    <w:rsid w:val="00593CB0"/>
    <w:rsid w:val="005941E7"/>
    <w:rsid w:val="005A22AE"/>
    <w:rsid w:val="005A45F7"/>
    <w:rsid w:val="005A7071"/>
    <w:rsid w:val="005B24C4"/>
    <w:rsid w:val="005B4759"/>
    <w:rsid w:val="005B47FF"/>
    <w:rsid w:val="005B486E"/>
    <w:rsid w:val="005B5C6D"/>
    <w:rsid w:val="005B6EA0"/>
    <w:rsid w:val="005B7747"/>
    <w:rsid w:val="005C3B35"/>
    <w:rsid w:val="005C741E"/>
    <w:rsid w:val="005D0577"/>
    <w:rsid w:val="005D099C"/>
    <w:rsid w:val="005D16D8"/>
    <w:rsid w:val="005D1EFB"/>
    <w:rsid w:val="005D35ED"/>
    <w:rsid w:val="005D6928"/>
    <w:rsid w:val="005D72F0"/>
    <w:rsid w:val="005D794C"/>
    <w:rsid w:val="005D7D81"/>
    <w:rsid w:val="005E1247"/>
    <w:rsid w:val="005E1A27"/>
    <w:rsid w:val="005E2DB1"/>
    <w:rsid w:val="005F21FC"/>
    <w:rsid w:val="005F2B99"/>
    <w:rsid w:val="005F41F1"/>
    <w:rsid w:val="005F4E82"/>
    <w:rsid w:val="005F64FD"/>
    <w:rsid w:val="00601750"/>
    <w:rsid w:val="00601EC6"/>
    <w:rsid w:val="00602A59"/>
    <w:rsid w:val="00605750"/>
    <w:rsid w:val="006107CB"/>
    <w:rsid w:val="00614D42"/>
    <w:rsid w:val="00617265"/>
    <w:rsid w:val="006177DE"/>
    <w:rsid w:val="00617900"/>
    <w:rsid w:val="006204C5"/>
    <w:rsid w:val="00622F43"/>
    <w:rsid w:val="006232EC"/>
    <w:rsid w:val="00623552"/>
    <w:rsid w:val="0062474E"/>
    <w:rsid w:val="0062603F"/>
    <w:rsid w:val="00626808"/>
    <w:rsid w:val="00627659"/>
    <w:rsid w:val="00627DAD"/>
    <w:rsid w:val="00637E32"/>
    <w:rsid w:val="006419CA"/>
    <w:rsid w:val="006425A8"/>
    <w:rsid w:val="006502A5"/>
    <w:rsid w:val="0065045F"/>
    <w:rsid w:val="006516DB"/>
    <w:rsid w:val="006559CC"/>
    <w:rsid w:val="00656206"/>
    <w:rsid w:val="00657222"/>
    <w:rsid w:val="006603AE"/>
    <w:rsid w:val="006633E3"/>
    <w:rsid w:val="00664691"/>
    <w:rsid w:val="00667E05"/>
    <w:rsid w:val="006710A4"/>
    <w:rsid w:val="00672DDE"/>
    <w:rsid w:val="00674877"/>
    <w:rsid w:val="00676078"/>
    <w:rsid w:val="00681DDE"/>
    <w:rsid w:val="00686C7B"/>
    <w:rsid w:val="006906C5"/>
    <w:rsid w:val="00693E0E"/>
    <w:rsid w:val="006948B6"/>
    <w:rsid w:val="00695E48"/>
    <w:rsid w:val="006971F9"/>
    <w:rsid w:val="00697D4C"/>
    <w:rsid w:val="006A1978"/>
    <w:rsid w:val="006A3CD5"/>
    <w:rsid w:val="006A6CEC"/>
    <w:rsid w:val="006A7528"/>
    <w:rsid w:val="006B0CCC"/>
    <w:rsid w:val="006B5F44"/>
    <w:rsid w:val="006B7333"/>
    <w:rsid w:val="006C6810"/>
    <w:rsid w:val="006D6232"/>
    <w:rsid w:val="006E24D9"/>
    <w:rsid w:val="006E34ED"/>
    <w:rsid w:val="006E3566"/>
    <w:rsid w:val="006E42BE"/>
    <w:rsid w:val="006E5BE2"/>
    <w:rsid w:val="006E68A7"/>
    <w:rsid w:val="006F0197"/>
    <w:rsid w:val="006F1868"/>
    <w:rsid w:val="006F1F4B"/>
    <w:rsid w:val="006F3E32"/>
    <w:rsid w:val="006F679F"/>
    <w:rsid w:val="006FF264"/>
    <w:rsid w:val="007024B4"/>
    <w:rsid w:val="0070252B"/>
    <w:rsid w:val="007035B8"/>
    <w:rsid w:val="00703BF0"/>
    <w:rsid w:val="00703DA5"/>
    <w:rsid w:val="007043A2"/>
    <w:rsid w:val="007069B2"/>
    <w:rsid w:val="00712DAB"/>
    <w:rsid w:val="0071555A"/>
    <w:rsid w:val="00721256"/>
    <w:rsid w:val="00724BA8"/>
    <w:rsid w:val="00724F0A"/>
    <w:rsid w:val="00725D48"/>
    <w:rsid w:val="00727C28"/>
    <w:rsid w:val="00730C13"/>
    <w:rsid w:val="00733024"/>
    <w:rsid w:val="0073367A"/>
    <w:rsid w:val="00733FC1"/>
    <w:rsid w:val="0073481E"/>
    <w:rsid w:val="00734D52"/>
    <w:rsid w:val="007354C8"/>
    <w:rsid w:val="00743966"/>
    <w:rsid w:val="00743FB0"/>
    <w:rsid w:val="00745B8F"/>
    <w:rsid w:val="00750278"/>
    <w:rsid w:val="007538C3"/>
    <w:rsid w:val="00755E71"/>
    <w:rsid w:val="00755FF6"/>
    <w:rsid w:val="00757EF6"/>
    <w:rsid w:val="00763195"/>
    <w:rsid w:val="007657E1"/>
    <w:rsid w:val="00766BBD"/>
    <w:rsid w:val="007709F2"/>
    <w:rsid w:val="00771BF9"/>
    <w:rsid w:val="007727AC"/>
    <w:rsid w:val="0077655C"/>
    <w:rsid w:val="0078111C"/>
    <w:rsid w:val="00781814"/>
    <w:rsid w:val="00781AB2"/>
    <w:rsid w:val="0078333C"/>
    <w:rsid w:val="00783A61"/>
    <w:rsid w:val="00784918"/>
    <w:rsid w:val="007858F3"/>
    <w:rsid w:val="007912B6"/>
    <w:rsid w:val="007928DC"/>
    <w:rsid w:val="007971FE"/>
    <w:rsid w:val="007A33B3"/>
    <w:rsid w:val="007A71B9"/>
    <w:rsid w:val="007A7DBF"/>
    <w:rsid w:val="007A7FD6"/>
    <w:rsid w:val="007B2333"/>
    <w:rsid w:val="007B2E0F"/>
    <w:rsid w:val="007B302B"/>
    <w:rsid w:val="007B565C"/>
    <w:rsid w:val="007C248A"/>
    <w:rsid w:val="007C2FEA"/>
    <w:rsid w:val="007C38E3"/>
    <w:rsid w:val="007C6A3D"/>
    <w:rsid w:val="007D09DB"/>
    <w:rsid w:val="007E0AEE"/>
    <w:rsid w:val="007E2AA8"/>
    <w:rsid w:val="007E403E"/>
    <w:rsid w:val="007E6A4D"/>
    <w:rsid w:val="007F0DA9"/>
    <w:rsid w:val="007F234B"/>
    <w:rsid w:val="007F4A84"/>
    <w:rsid w:val="007F7473"/>
    <w:rsid w:val="008007B8"/>
    <w:rsid w:val="00801658"/>
    <w:rsid w:val="00803271"/>
    <w:rsid w:val="00804091"/>
    <w:rsid w:val="008046CA"/>
    <w:rsid w:val="00804ECA"/>
    <w:rsid w:val="00805041"/>
    <w:rsid w:val="00805D34"/>
    <w:rsid w:val="00810275"/>
    <w:rsid w:val="00811379"/>
    <w:rsid w:val="00812FBA"/>
    <w:rsid w:val="008131DB"/>
    <w:rsid w:val="0081505B"/>
    <w:rsid w:val="008176BE"/>
    <w:rsid w:val="0081784D"/>
    <w:rsid w:val="00821072"/>
    <w:rsid w:val="00823CDA"/>
    <w:rsid w:val="00825920"/>
    <w:rsid w:val="00827026"/>
    <w:rsid w:val="00830361"/>
    <w:rsid w:val="00834937"/>
    <w:rsid w:val="00834F40"/>
    <w:rsid w:val="0083739D"/>
    <w:rsid w:val="00837990"/>
    <w:rsid w:val="00837D66"/>
    <w:rsid w:val="00844A63"/>
    <w:rsid w:val="00857353"/>
    <w:rsid w:val="00857F0F"/>
    <w:rsid w:val="00860FC3"/>
    <w:rsid w:val="0086121D"/>
    <w:rsid w:val="0086167B"/>
    <w:rsid w:val="00861BAA"/>
    <w:rsid w:val="008625A6"/>
    <w:rsid w:val="00864667"/>
    <w:rsid w:val="00864CF1"/>
    <w:rsid w:val="00865797"/>
    <w:rsid w:val="008665E2"/>
    <w:rsid w:val="008671B9"/>
    <w:rsid w:val="00867632"/>
    <w:rsid w:val="00871FDE"/>
    <w:rsid w:val="00872FA3"/>
    <w:rsid w:val="008744A7"/>
    <w:rsid w:val="008848C9"/>
    <w:rsid w:val="00887371"/>
    <w:rsid w:val="00887570"/>
    <w:rsid w:val="00890CB3"/>
    <w:rsid w:val="00892B6D"/>
    <w:rsid w:val="00895006"/>
    <w:rsid w:val="00896526"/>
    <w:rsid w:val="00897FE8"/>
    <w:rsid w:val="0089E047"/>
    <w:rsid w:val="008A3C85"/>
    <w:rsid w:val="008A637F"/>
    <w:rsid w:val="008B1589"/>
    <w:rsid w:val="008B194B"/>
    <w:rsid w:val="008B2C39"/>
    <w:rsid w:val="008B3310"/>
    <w:rsid w:val="008B505C"/>
    <w:rsid w:val="008B54BA"/>
    <w:rsid w:val="008B749A"/>
    <w:rsid w:val="008C0B4E"/>
    <w:rsid w:val="008D16CF"/>
    <w:rsid w:val="008D1AD3"/>
    <w:rsid w:val="008D32DE"/>
    <w:rsid w:val="008D4F5E"/>
    <w:rsid w:val="008D7314"/>
    <w:rsid w:val="008E075E"/>
    <w:rsid w:val="008E17F4"/>
    <w:rsid w:val="008E4B18"/>
    <w:rsid w:val="008E58E9"/>
    <w:rsid w:val="008F1045"/>
    <w:rsid w:val="008F30CF"/>
    <w:rsid w:val="008F418B"/>
    <w:rsid w:val="008F427D"/>
    <w:rsid w:val="008F49F4"/>
    <w:rsid w:val="008F4A16"/>
    <w:rsid w:val="008F4A42"/>
    <w:rsid w:val="00902ECF"/>
    <w:rsid w:val="00910DBD"/>
    <w:rsid w:val="009116F8"/>
    <w:rsid w:val="00916215"/>
    <w:rsid w:val="00917546"/>
    <w:rsid w:val="00922A69"/>
    <w:rsid w:val="00922BB2"/>
    <w:rsid w:val="0092433E"/>
    <w:rsid w:val="009247B6"/>
    <w:rsid w:val="00925481"/>
    <w:rsid w:val="0092758B"/>
    <w:rsid w:val="00930EA3"/>
    <w:rsid w:val="00935CE3"/>
    <w:rsid w:val="0093627D"/>
    <w:rsid w:val="009364B8"/>
    <w:rsid w:val="00940DCF"/>
    <w:rsid w:val="0094778A"/>
    <w:rsid w:val="00947C86"/>
    <w:rsid w:val="009516F7"/>
    <w:rsid w:val="00952849"/>
    <w:rsid w:val="00954529"/>
    <w:rsid w:val="00954618"/>
    <w:rsid w:val="00956B62"/>
    <w:rsid w:val="00957CC6"/>
    <w:rsid w:val="00961FB8"/>
    <w:rsid w:val="0096256D"/>
    <w:rsid w:val="009630C4"/>
    <w:rsid w:val="00963F64"/>
    <w:rsid w:val="00965B18"/>
    <w:rsid w:val="00966E03"/>
    <w:rsid w:val="009735F3"/>
    <w:rsid w:val="00976FE7"/>
    <w:rsid w:val="00981D8C"/>
    <w:rsid w:val="00981E43"/>
    <w:rsid w:val="009856A4"/>
    <w:rsid w:val="00986DE2"/>
    <w:rsid w:val="00991671"/>
    <w:rsid w:val="009944F5"/>
    <w:rsid w:val="00997505"/>
    <w:rsid w:val="009A1351"/>
    <w:rsid w:val="009A1772"/>
    <w:rsid w:val="009A4D36"/>
    <w:rsid w:val="009A6776"/>
    <w:rsid w:val="009A7EE8"/>
    <w:rsid w:val="009B1164"/>
    <w:rsid w:val="009B212F"/>
    <w:rsid w:val="009B24B8"/>
    <w:rsid w:val="009B3D7A"/>
    <w:rsid w:val="009B4C43"/>
    <w:rsid w:val="009B5D6D"/>
    <w:rsid w:val="009B5E52"/>
    <w:rsid w:val="009C087A"/>
    <w:rsid w:val="009C6B98"/>
    <w:rsid w:val="009C71CD"/>
    <w:rsid w:val="009D1515"/>
    <w:rsid w:val="009D1A6C"/>
    <w:rsid w:val="009D2CD5"/>
    <w:rsid w:val="009D43CB"/>
    <w:rsid w:val="009D5154"/>
    <w:rsid w:val="009D6AAA"/>
    <w:rsid w:val="009E1C7E"/>
    <w:rsid w:val="009E298A"/>
    <w:rsid w:val="009E55B6"/>
    <w:rsid w:val="009F149F"/>
    <w:rsid w:val="009F4332"/>
    <w:rsid w:val="009F49C5"/>
    <w:rsid w:val="009F621B"/>
    <w:rsid w:val="00A041E7"/>
    <w:rsid w:val="00A0798B"/>
    <w:rsid w:val="00A1688B"/>
    <w:rsid w:val="00A169A4"/>
    <w:rsid w:val="00A17D3E"/>
    <w:rsid w:val="00A23FF2"/>
    <w:rsid w:val="00A2521B"/>
    <w:rsid w:val="00A307C9"/>
    <w:rsid w:val="00A36216"/>
    <w:rsid w:val="00A366AB"/>
    <w:rsid w:val="00A42D87"/>
    <w:rsid w:val="00A45000"/>
    <w:rsid w:val="00A45125"/>
    <w:rsid w:val="00A516C9"/>
    <w:rsid w:val="00A51CF4"/>
    <w:rsid w:val="00A524C2"/>
    <w:rsid w:val="00A55947"/>
    <w:rsid w:val="00A64AA4"/>
    <w:rsid w:val="00A666D1"/>
    <w:rsid w:val="00A700F5"/>
    <w:rsid w:val="00A70399"/>
    <w:rsid w:val="00A7089D"/>
    <w:rsid w:val="00A70B47"/>
    <w:rsid w:val="00A71106"/>
    <w:rsid w:val="00A752FF"/>
    <w:rsid w:val="00A76E01"/>
    <w:rsid w:val="00A7707E"/>
    <w:rsid w:val="00A77531"/>
    <w:rsid w:val="00A77D79"/>
    <w:rsid w:val="00A8160D"/>
    <w:rsid w:val="00A83131"/>
    <w:rsid w:val="00A835DD"/>
    <w:rsid w:val="00A85E4D"/>
    <w:rsid w:val="00A85E65"/>
    <w:rsid w:val="00A8772C"/>
    <w:rsid w:val="00A90B09"/>
    <w:rsid w:val="00A90FFC"/>
    <w:rsid w:val="00A971CC"/>
    <w:rsid w:val="00AA3DC3"/>
    <w:rsid w:val="00AA466E"/>
    <w:rsid w:val="00AA637F"/>
    <w:rsid w:val="00AA7687"/>
    <w:rsid w:val="00AA7A84"/>
    <w:rsid w:val="00AB2085"/>
    <w:rsid w:val="00AB31E0"/>
    <w:rsid w:val="00AB40A0"/>
    <w:rsid w:val="00AB4886"/>
    <w:rsid w:val="00AB4977"/>
    <w:rsid w:val="00AC00C2"/>
    <w:rsid w:val="00AC2197"/>
    <w:rsid w:val="00AC39F6"/>
    <w:rsid w:val="00AC6B31"/>
    <w:rsid w:val="00AC7C3C"/>
    <w:rsid w:val="00AC7E7B"/>
    <w:rsid w:val="00AD21D9"/>
    <w:rsid w:val="00AD25E5"/>
    <w:rsid w:val="00AD4D23"/>
    <w:rsid w:val="00AD4D41"/>
    <w:rsid w:val="00AE0243"/>
    <w:rsid w:val="00AE7DEF"/>
    <w:rsid w:val="00AE7F63"/>
    <w:rsid w:val="00AF14FE"/>
    <w:rsid w:val="00AF28F1"/>
    <w:rsid w:val="00AF2E44"/>
    <w:rsid w:val="00AF4806"/>
    <w:rsid w:val="00AF5D51"/>
    <w:rsid w:val="00AF6981"/>
    <w:rsid w:val="00AF6E76"/>
    <w:rsid w:val="00AF6EE9"/>
    <w:rsid w:val="00AF7E3A"/>
    <w:rsid w:val="00AF7F69"/>
    <w:rsid w:val="00B02E9D"/>
    <w:rsid w:val="00B04102"/>
    <w:rsid w:val="00B041AD"/>
    <w:rsid w:val="00B04A4B"/>
    <w:rsid w:val="00B1047C"/>
    <w:rsid w:val="00B10DB4"/>
    <w:rsid w:val="00B14BE2"/>
    <w:rsid w:val="00B14F6B"/>
    <w:rsid w:val="00B15459"/>
    <w:rsid w:val="00B15B13"/>
    <w:rsid w:val="00B17CA6"/>
    <w:rsid w:val="00B2156B"/>
    <w:rsid w:val="00B218DD"/>
    <w:rsid w:val="00B32012"/>
    <w:rsid w:val="00B32492"/>
    <w:rsid w:val="00B364B9"/>
    <w:rsid w:val="00B41F21"/>
    <w:rsid w:val="00B43950"/>
    <w:rsid w:val="00B46736"/>
    <w:rsid w:val="00B5318B"/>
    <w:rsid w:val="00B53BCF"/>
    <w:rsid w:val="00B63376"/>
    <w:rsid w:val="00B63E1C"/>
    <w:rsid w:val="00B63E25"/>
    <w:rsid w:val="00B65D86"/>
    <w:rsid w:val="00B66474"/>
    <w:rsid w:val="00B6681B"/>
    <w:rsid w:val="00B67071"/>
    <w:rsid w:val="00B67395"/>
    <w:rsid w:val="00B67CFC"/>
    <w:rsid w:val="00B72284"/>
    <w:rsid w:val="00B72BA0"/>
    <w:rsid w:val="00B738B5"/>
    <w:rsid w:val="00B7570C"/>
    <w:rsid w:val="00B75727"/>
    <w:rsid w:val="00B80BBB"/>
    <w:rsid w:val="00B811A8"/>
    <w:rsid w:val="00B86137"/>
    <w:rsid w:val="00B86194"/>
    <w:rsid w:val="00B86455"/>
    <w:rsid w:val="00B87838"/>
    <w:rsid w:val="00B903C3"/>
    <w:rsid w:val="00B9258F"/>
    <w:rsid w:val="00B9271A"/>
    <w:rsid w:val="00B95455"/>
    <w:rsid w:val="00B9650A"/>
    <w:rsid w:val="00B96FD4"/>
    <w:rsid w:val="00BA05C4"/>
    <w:rsid w:val="00BA064A"/>
    <w:rsid w:val="00BA1270"/>
    <w:rsid w:val="00BA13B5"/>
    <w:rsid w:val="00BA537B"/>
    <w:rsid w:val="00BA71A7"/>
    <w:rsid w:val="00BB0A2F"/>
    <w:rsid w:val="00BB0C73"/>
    <w:rsid w:val="00BB1213"/>
    <w:rsid w:val="00BB2517"/>
    <w:rsid w:val="00BC536D"/>
    <w:rsid w:val="00BC7CE2"/>
    <w:rsid w:val="00BD0C65"/>
    <w:rsid w:val="00BD2157"/>
    <w:rsid w:val="00BD50D8"/>
    <w:rsid w:val="00BD54C1"/>
    <w:rsid w:val="00BD6A30"/>
    <w:rsid w:val="00BD7965"/>
    <w:rsid w:val="00BE023D"/>
    <w:rsid w:val="00BE1B55"/>
    <w:rsid w:val="00BEFD34"/>
    <w:rsid w:val="00BF1F01"/>
    <w:rsid w:val="00BF2A92"/>
    <w:rsid w:val="00BF46DD"/>
    <w:rsid w:val="00BF5521"/>
    <w:rsid w:val="00BF63E8"/>
    <w:rsid w:val="00BF7D2A"/>
    <w:rsid w:val="00C036C9"/>
    <w:rsid w:val="00C03C0A"/>
    <w:rsid w:val="00C03FC3"/>
    <w:rsid w:val="00C04603"/>
    <w:rsid w:val="00C120DA"/>
    <w:rsid w:val="00C22B37"/>
    <w:rsid w:val="00C32D04"/>
    <w:rsid w:val="00C32E7C"/>
    <w:rsid w:val="00C332BD"/>
    <w:rsid w:val="00C33664"/>
    <w:rsid w:val="00C36435"/>
    <w:rsid w:val="00C3738B"/>
    <w:rsid w:val="00C4192A"/>
    <w:rsid w:val="00C5083B"/>
    <w:rsid w:val="00C511C3"/>
    <w:rsid w:val="00C5190F"/>
    <w:rsid w:val="00C521F1"/>
    <w:rsid w:val="00C538F6"/>
    <w:rsid w:val="00C53AC7"/>
    <w:rsid w:val="00C566DF"/>
    <w:rsid w:val="00C607B6"/>
    <w:rsid w:val="00C624DA"/>
    <w:rsid w:val="00C63AD9"/>
    <w:rsid w:val="00C64635"/>
    <w:rsid w:val="00C6BF8E"/>
    <w:rsid w:val="00C70CF5"/>
    <w:rsid w:val="00C71700"/>
    <w:rsid w:val="00C71902"/>
    <w:rsid w:val="00C71B80"/>
    <w:rsid w:val="00C728D8"/>
    <w:rsid w:val="00C733DA"/>
    <w:rsid w:val="00C73733"/>
    <w:rsid w:val="00C77587"/>
    <w:rsid w:val="00C83360"/>
    <w:rsid w:val="00C836B2"/>
    <w:rsid w:val="00C8531D"/>
    <w:rsid w:val="00C86359"/>
    <w:rsid w:val="00C87298"/>
    <w:rsid w:val="00C908BC"/>
    <w:rsid w:val="00C90B5D"/>
    <w:rsid w:val="00C93511"/>
    <w:rsid w:val="00C93F39"/>
    <w:rsid w:val="00C9430C"/>
    <w:rsid w:val="00C96BBC"/>
    <w:rsid w:val="00C97CB6"/>
    <w:rsid w:val="00CA07A9"/>
    <w:rsid w:val="00CA58D8"/>
    <w:rsid w:val="00CA6085"/>
    <w:rsid w:val="00CB081E"/>
    <w:rsid w:val="00CB4B13"/>
    <w:rsid w:val="00CB5151"/>
    <w:rsid w:val="00CC0FE1"/>
    <w:rsid w:val="00CC1CB2"/>
    <w:rsid w:val="00CC7177"/>
    <w:rsid w:val="00CC78E2"/>
    <w:rsid w:val="00CD31C4"/>
    <w:rsid w:val="00CD32EB"/>
    <w:rsid w:val="00CD42B8"/>
    <w:rsid w:val="00CD7BEE"/>
    <w:rsid w:val="00CE0C48"/>
    <w:rsid w:val="00CE25AB"/>
    <w:rsid w:val="00CE46AC"/>
    <w:rsid w:val="00CE52D6"/>
    <w:rsid w:val="00CE61DC"/>
    <w:rsid w:val="00CE6ED2"/>
    <w:rsid w:val="00CF06AE"/>
    <w:rsid w:val="00CF708E"/>
    <w:rsid w:val="00CF7E9F"/>
    <w:rsid w:val="00CF7FA0"/>
    <w:rsid w:val="00D0185F"/>
    <w:rsid w:val="00D0413F"/>
    <w:rsid w:val="00D05300"/>
    <w:rsid w:val="00D06C4D"/>
    <w:rsid w:val="00D07059"/>
    <w:rsid w:val="00D11664"/>
    <w:rsid w:val="00D11E9D"/>
    <w:rsid w:val="00D11F7D"/>
    <w:rsid w:val="00D12C62"/>
    <w:rsid w:val="00D13D88"/>
    <w:rsid w:val="00D149F6"/>
    <w:rsid w:val="00D15065"/>
    <w:rsid w:val="00D22AB2"/>
    <w:rsid w:val="00D255C1"/>
    <w:rsid w:val="00D25AF1"/>
    <w:rsid w:val="00D2767B"/>
    <w:rsid w:val="00D32E97"/>
    <w:rsid w:val="00D35C6F"/>
    <w:rsid w:val="00D372C8"/>
    <w:rsid w:val="00D43995"/>
    <w:rsid w:val="00D44A40"/>
    <w:rsid w:val="00D4593B"/>
    <w:rsid w:val="00D4621B"/>
    <w:rsid w:val="00D47803"/>
    <w:rsid w:val="00D52AAC"/>
    <w:rsid w:val="00D54D6C"/>
    <w:rsid w:val="00D551BD"/>
    <w:rsid w:val="00D5561A"/>
    <w:rsid w:val="00D57192"/>
    <w:rsid w:val="00D704FE"/>
    <w:rsid w:val="00D71251"/>
    <w:rsid w:val="00D71864"/>
    <w:rsid w:val="00D71C22"/>
    <w:rsid w:val="00D71D4C"/>
    <w:rsid w:val="00D75AC8"/>
    <w:rsid w:val="00D76202"/>
    <w:rsid w:val="00D774BC"/>
    <w:rsid w:val="00D77651"/>
    <w:rsid w:val="00D7791B"/>
    <w:rsid w:val="00D77E80"/>
    <w:rsid w:val="00D82B19"/>
    <w:rsid w:val="00D852A8"/>
    <w:rsid w:val="00D85C19"/>
    <w:rsid w:val="00D86418"/>
    <w:rsid w:val="00D86E06"/>
    <w:rsid w:val="00D874AA"/>
    <w:rsid w:val="00D92BF8"/>
    <w:rsid w:val="00D933D4"/>
    <w:rsid w:val="00D93D19"/>
    <w:rsid w:val="00D95463"/>
    <w:rsid w:val="00D968ED"/>
    <w:rsid w:val="00DA2E04"/>
    <w:rsid w:val="00DA3F78"/>
    <w:rsid w:val="00DA5793"/>
    <w:rsid w:val="00DA59B4"/>
    <w:rsid w:val="00DB2148"/>
    <w:rsid w:val="00DB26E2"/>
    <w:rsid w:val="00DB31DB"/>
    <w:rsid w:val="00DB6D3E"/>
    <w:rsid w:val="00DB6F03"/>
    <w:rsid w:val="00DC2470"/>
    <w:rsid w:val="00DC348A"/>
    <w:rsid w:val="00DC36DB"/>
    <w:rsid w:val="00DC4477"/>
    <w:rsid w:val="00DC4795"/>
    <w:rsid w:val="00DC6B86"/>
    <w:rsid w:val="00DD0D7F"/>
    <w:rsid w:val="00DD1BFE"/>
    <w:rsid w:val="00DE104D"/>
    <w:rsid w:val="00DE2070"/>
    <w:rsid w:val="00DE2A99"/>
    <w:rsid w:val="00DE3FB0"/>
    <w:rsid w:val="00DE4BBC"/>
    <w:rsid w:val="00DF23DE"/>
    <w:rsid w:val="00E030E4"/>
    <w:rsid w:val="00E1234C"/>
    <w:rsid w:val="00E124E6"/>
    <w:rsid w:val="00E13FEF"/>
    <w:rsid w:val="00E1455C"/>
    <w:rsid w:val="00E15B01"/>
    <w:rsid w:val="00E1659A"/>
    <w:rsid w:val="00E170CB"/>
    <w:rsid w:val="00E172A7"/>
    <w:rsid w:val="00E20224"/>
    <w:rsid w:val="00E21BC3"/>
    <w:rsid w:val="00E239BB"/>
    <w:rsid w:val="00E26D55"/>
    <w:rsid w:val="00E3280D"/>
    <w:rsid w:val="00E37034"/>
    <w:rsid w:val="00E37342"/>
    <w:rsid w:val="00E45039"/>
    <w:rsid w:val="00E502EB"/>
    <w:rsid w:val="00E51C98"/>
    <w:rsid w:val="00E5292F"/>
    <w:rsid w:val="00E52BF8"/>
    <w:rsid w:val="00E55562"/>
    <w:rsid w:val="00E6260E"/>
    <w:rsid w:val="00E62E5E"/>
    <w:rsid w:val="00E6342E"/>
    <w:rsid w:val="00E63D74"/>
    <w:rsid w:val="00E67F2E"/>
    <w:rsid w:val="00E74FBC"/>
    <w:rsid w:val="00E75240"/>
    <w:rsid w:val="00E756FE"/>
    <w:rsid w:val="00E803EB"/>
    <w:rsid w:val="00E80DBE"/>
    <w:rsid w:val="00E81A6A"/>
    <w:rsid w:val="00E83A0B"/>
    <w:rsid w:val="00E83CB4"/>
    <w:rsid w:val="00E857CA"/>
    <w:rsid w:val="00E91F0E"/>
    <w:rsid w:val="00E9235E"/>
    <w:rsid w:val="00E92389"/>
    <w:rsid w:val="00E92AB2"/>
    <w:rsid w:val="00E97A14"/>
    <w:rsid w:val="00EA126C"/>
    <w:rsid w:val="00EA32A4"/>
    <w:rsid w:val="00EA5062"/>
    <w:rsid w:val="00EA71A5"/>
    <w:rsid w:val="00EB30AF"/>
    <w:rsid w:val="00EB3A14"/>
    <w:rsid w:val="00EB3FB0"/>
    <w:rsid w:val="00EB66D6"/>
    <w:rsid w:val="00EB6CB8"/>
    <w:rsid w:val="00EC03A8"/>
    <w:rsid w:val="00EC0A0A"/>
    <w:rsid w:val="00EC0A60"/>
    <w:rsid w:val="00EC30E8"/>
    <w:rsid w:val="00EC5714"/>
    <w:rsid w:val="00EC60DF"/>
    <w:rsid w:val="00EC716E"/>
    <w:rsid w:val="00ED0B94"/>
    <w:rsid w:val="00ED105D"/>
    <w:rsid w:val="00ED1459"/>
    <w:rsid w:val="00ED176D"/>
    <w:rsid w:val="00ED3E44"/>
    <w:rsid w:val="00ED6D5A"/>
    <w:rsid w:val="00ED792B"/>
    <w:rsid w:val="00EE4767"/>
    <w:rsid w:val="00EE5462"/>
    <w:rsid w:val="00EF40D4"/>
    <w:rsid w:val="00EF58C6"/>
    <w:rsid w:val="00EF776B"/>
    <w:rsid w:val="00F0123E"/>
    <w:rsid w:val="00F035E2"/>
    <w:rsid w:val="00F04C95"/>
    <w:rsid w:val="00F05520"/>
    <w:rsid w:val="00F0773A"/>
    <w:rsid w:val="00F125B5"/>
    <w:rsid w:val="00F12EA3"/>
    <w:rsid w:val="00F17150"/>
    <w:rsid w:val="00F17747"/>
    <w:rsid w:val="00F21135"/>
    <w:rsid w:val="00F227F5"/>
    <w:rsid w:val="00F22915"/>
    <w:rsid w:val="00F22A8D"/>
    <w:rsid w:val="00F23501"/>
    <w:rsid w:val="00F24C65"/>
    <w:rsid w:val="00F27A8B"/>
    <w:rsid w:val="00F32FAA"/>
    <w:rsid w:val="00F331BE"/>
    <w:rsid w:val="00F3440E"/>
    <w:rsid w:val="00F3591D"/>
    <w:rsid w:val="00F41DB0"/>
    <w:rsid w:val="00F434AB"/>
    <w:rsid w:val="00F455B3"/>
    <w:rsid w:val="00F47791"/>
    <w:rsid w:val="00F515FF"/>
    <w:rsid w:val="00F530FE"/>
    <w:rsid w:val="00F61B07"/>
    <w:rsid w:val="00F64388"/>
    <w:rsid w:val="00F712CB"/>
    <w:rsid w:val="00F73B99"/>
    <w:rsid w:val="00F744B5"/>
    <w:rsid w:val="00F74B4E"/>
    <w:rsid w:val="00F75947"/>
    <w:rsid w:val="00F77862"/>
    <w:rsid w:val="00F8033C"/>
    <w:rsid w:val="00F8043A"/>
    <w:rsid w:val="00F8635C"/>
    <w:rsid w:val="00F8712E"/>
    <w:rsid w:val="00F87B45"/>
    <w:rsid w:val="00F91BCB"/>
    <w:rsid w:val="00F92EC8"/>
    <w:rsid w:val="00F94CB2"/>
    <w:rsid w:val="00F9668F"/>
    <w:rsid w:val="00FA0F85"/>
    <w:rsid w:val="00FA1F1A"/>
    <w:rsid w:val="00FA3A94"/>
    <w:rsid w:val="00FA4232"/>
    <w:rsid w:val="00FA5DAA"/>
    <w:rsid w:val="00FA694F"/>
    <w:rsid w:val="00FA6EF7"/>
    <w:rsid w:val="00FB042D"/>
    <w:rsid w:val="00FB16DE"/>
    <w:rsid w:val="00FB4DC8"/>
    <w:rsid w:val="00FB56EE"/>
    <w:rsid w:val="00FB7332"/>
    <w:rsid w:val="00FC094B"/>
    <w:rsid w:val="00FC2F50"/>
    <w:rsid w:val="00FC3DC1"/>
    <w:rsid w:val="00FC6636"/>
    <w:rsid w:val="00FD0911"/>
    <w:rsid w:val="00FD106B"/>
    <w:rsid w:val="00FD166B"/>
    <w:rsid w:val="00FD29EE"/>
    <w:rsid w:val="00FD34B7"/>
    <w:rsid w:val="00FD585C"/>
    <w:rsid w:val="00FD586C"/>
    <w:rsid w:val="00FD7D9F"/>
    <w:rsid w:val="00FE04D1"/>
    <w:rsid w:val="00FE1B60"/>
    <w:rsid w:val="00FE4B13"/>
    <w:rsid w:val="00FE6558"/>
    <w:rsid w:val="00FE70BA"/>
    <w:rsid w:val="00FE73AF"/>
    <w:rsid w:val="00FF0899"/>
    <w:rsid w:val="00FF0D24"/>
    <w:rsid w:val="00FF14BF"/>
    <w:rsid w:val="00FF211A"/>
    <w:rsid w:val="00FF2903"/>
    <w:rsid w:val="00FF3698"/>
    <w:rsid w:val="00FF3E37"/>
    <w:rsid w:val="00FF447B"/>
    <w:rsid w:val="00FF6BE0"/>
    <w:rsid w:val="010DACFC"/>
    <w:rsid w:val="011D3F36"/>
    <w:rsid w:val="014F36BE"/>
    <w:rsid w:val="0151C49C"/>
    <w:rsid w:val="0177AAD1"/>
    <w:rsid w:val="01ABE8B6"/>
    <w:rsid w:val="01D83DBA"/>
    <w:rsid w:val="01F66DF9"/>
    <w:rsid w:val="01F98269"/>
    <w:rsid w:val="0255D4FC"/>
    <w:rsid w:val="026AA62F"/>
    <w:rsid w:val="028CDF18"/>
    <w:rsid w:val="02A6F69C"/>
    <w:rsid w:val="02B97616"/>
    <w:rsid w:val="02CB000C"/>
    <w:rsid w:val="02CB7BE5"/>
    <w:rsid w:val="02D41CFF"/>
    <w:rsid w:val="02D43217"/>
    <w:rsid w:val="02F1C8BD"/>
    <w:rsid w:val="031ABF53"/>
    <w:rsid w:val="0347B917"/>
    <w:rsid w:val="036DEEFE"/>
    <w:rsid w:val="0370CE80"/>
    <w:rsid w:val="03923E5A"/>
    <w:rsid w:val="039D5E16"/>
    <w:rsid w:val="03AB66B7"/>
    <w:rsid w:val="03AF9EEE"/>
    <w:rsid w:val="03B7DCA8"/>
    <w:rsid w:val="03C529B5"/>
    <w:rsid w:val="03D389D1"/>
    <w:rsid w:val="0403FD1D"/>
    <w:rsid w:val="041C59BC"/>
    <w:rsid w:val="04364299"/>
    <w:rsid w:val="043E4D89"/>
    <w:rsid w:val="044E4F77"/>
    <w:rsid w:val="047A6F3F"/>
    <w:rsid w:val="04CC5DED"/>
    <w:rsid w:val="04D2808D"/>
    <w:rsid w:val="05082E01"/>
    <w:rsid w:val="0513A607"/>
    <w:rsid w:val="052B6120"/>
    <w:rsid w:val="052C45DF"/>
    <w:rsid w:val="0554BB84"/>
    <w:rsid w:val="05755FBC"/>
    <w:rsid w:val="05C283E7"/>
    <w:rsid w:val="05DEA790"/>
    <w:rsid w:val="05E56229"/>
    <w:rsid w:val="05EBDF05"/>
    <w:rsid w:val="0608A3BE"/>
    <w:rsid w:val="06293781"/>
    <w:rsid w:val="06577768"/>
    <w:rsid w:val="068DA241"/>
    <w:rsid w:val="073DE35E"/>
    <w:rsid w:val="07D263FF"/>
    <w:rsid w:val="07DAB4DA"/>
    <w:rsid w:val="07E23FE8"/>
    <w:rsid w:val="07E515E6"/>
    <w:rsid w:val="081B2A3A"/>
    <w:rsid w:val="08420C31"/>
    <w:rsid w:val="0873DBB3"/>
    <w:rsid w:val="089C2B63"/>
    <w:rsid w:val="08A86684"/>
    <w:rsid w:val="08B1CD3C"/>
    <w:rsid w:val="08D57204"/>
    <w:rsid w:val="08EB008F"/>
    <w:rsid w:val="090FBCA1"/>
    <w:rsid w:val="0917548A"/>
    <w:rsid w:val="0945E5A3"/>
    <w:rsid w:val="0950DFF6"/>
    <w:rsid w:val="09537F4E"/>
    <w:rsid w:val="09639F40"/>
    <w:rsid w:val="0976853B"/>
    <w:rsid w:val="0980484E"/>
    <w:rsid w:val="0984294C"/>
    <w:rsid w:val="0A15232D"/>
    <w:rsid w:val="0A1E730C"/>
    <w:rsid w:val="0A4436E5"/>
    <w:rsid w:val="0A4C9D52"/>
    <w:rsid w:val="0A51B3A0"/>
    <w:rsid w:val="0A6BD34A"/>
    <w:rsid w:val="0A8847E0"/>
    <w:rsid w:val="0A9166F9"/>
    <w:rsid w:val="0AF0EBDF"/>
    <w:rsid w:val="0B07429A"/>
    <w:rsid w:val="0B1203B8"/>
    <w:rsid w:val="0B39C6FE"/>
    <w:rsid w:val="0B41EC4F"/>
    <w:rsid w:val="0B730B03"/>
    <w:rsid w:val="0BBEE982"/>
    <w:rsid w:val="0BC93B22"/>
    <w:rsid w:val="0BC9A92D"/>
    <w:rsid w:val="0BDA8695"/>
    <w:rsid w:val="0BE3488B"/>
    <w:rsid w:val="0BF3989D"/>
    <w:rsid w:val="0C0B444A"/>
    <w:rsid w:val="0C1139C9"/>
    <w:rsid w:val="0C31C56B"/>
    <w:rsid w:val="0C5751CE"/>
    <w:rsid w:val="0C710DC4"/>
    <w:rsid w:val="0C779619"/>
    <w:rsid w:val="0C7D8665"/>
    <w:rsid w:val="0C86A27E"/>
    <w:rsid w:val="0CD33C45"/>
    <w:rsid w:val="0D08A942"/>
    <w:rsid w:val="0D08B97D"/>
    <w:rsid w:val="0D0C0639"/>
    <w:rsid w:val="0D40CEC3"/>
    <w:rsid w:val="0D89FC47"/>
    <w:rsid w:val="0D93C745"/>
    <w:rsid w:val="0DCB95E3"/>
    <w:rsid w:val="0DE77EB2"/>
    <w:rsid w:val="0DFD81B6"/>
    <w:rsid w:val="0E245119"/>
    <w:rsid w:val="0E35241F"/>
    <w:rsid w:val="0E3A4C7B"/>
    <w:rsid w:val="0E3A765C"/>
    <w:rsid w:val="0E5EE1D7"/>
    <w:rsid w:val="0E6D37A6"/>
    <w:rsid w:val="0E7167C0"/>
    <w:rsid w:val="0EA9ED0F"/>
    <w:rsid w:val="0EC3BB87"/>
    <w:rsid w:val="0ED14C79"/>
    <w:rsid w:val="0EEB5025"/>
    <w:rsid w:val="0F0F4B04"/>
    <w:rsid w:val="0F4BD308"/>
    <w:rsid w:val="0F5B5C25"/>
    <w:rsid w:val="0F683683"/>
    <w:rsid w:val="0F86960E"/>
    <w:rsid w:val="0F9E5B0E"/>
    <w:rsid w:val="0FBC90E6"/>
    <w:rsid w:val="0FC0217A"/>
    <w:rsid w:val="0FCEFA2A"/>
    <w:rsid w:val="0FF40FC4"/>
    <w:rsid w:val="100D3821"/>
    <w:rsid w:val="1033F5B9"/>
    <w:rsid w:val="1038B07E"/>
    <w:rsid w:val="103CA655"/>
    <w:rsid w:val="1041B378"/>
    <w:rsid w:val="1043EE8B"/>
    <w:rsid w:val="10571B48"/>
    <w:rsid w:val="10A34E8A"/>
    <w:rsid w:val="10AABE23"/>
    <w:rsid w:val="10C46406"/>
    <w:rsid w:val="10D815EB"/>
    <w:rsid w:val="10F08218"/>
    <w:rsid w:val="11152A48"/>
    <w:rsid w:val="1122F76E"/>
    <w:rsid w:val="1138210F"/>
    <w:rsid w:val="1172171E"/>
    <w:rsid w:val="1175DB48"/>
    <w:rsid w:val="117704B4"/>
    <w:rsid w:val="118B8AA6"/>
    <w:rsid w:val="11C4EFE0"/>
    <w:rsid w:val="11CFC61A"/>
    <w:rsid w:val="11E52CAF"/>
    <w:rsid w:val="11E65644"/>
    <w:rsid w:val="11F4D8EA"/>
    <w:rsid w:val="12305C44"/>
    <w:rsid w:val="1241DC3F"/>
    <w:rsid w:val="12452A72"/>
    <w:rsid w:val="128BA8D3"/>
    <w:rsid w:val="12A27DF1"/>
    <w:rsid w:val="12A784C3"/>
    <w:rsid w:val="12B1908C"/>
    <w:rsid w:val="12DBAB1E"/>
    <w:rsid w:val="12E5FEBB"/>
    <w:rsid w:val="12E8C8B5"/>
    <w:rsid w:val="12F594B3"/>
    <w:rsid w:val="130466F6"/>
    <w:rsid w:val="133B54E2"/>
    <w:rsid w:val="1348E587"/>
    <w:rsid w:val="1356A481"/>
    <w:rsid w:val="1359FBA4"/>
    <w:rsid w:val="1362E434"/>
    <w:rsid w:val="136F75B3"/>
    <w:rsid w:val="13C62D9D"/>
    <w:rsid w:val="13CD782C"/>
    <w:rsid w:val="13D49C0A"/>
    <w:rsid w:val="13EDC970"/>
    <w:rsid w:val="1402438F"/>
    <w:rsid w:val="1431DEC7"/>
    <w:rsid w:val="143BE053"/>
    <w:rsid w:val="144F5AC3"/>
    <w:rsid w:val="144F88A1"/>
    <w:rsid w:val="14578361"/>
    <w:rsid w:val="14635E4E"/>
    <w:rsid w:val="14692249"/>
    <w:rsid w:val="1472A8AB"/>
    <w:rsid w:val="1486112A"/>
    <w:rsid w:val="14969B23"/>
    <w:rsid w:val="149CD82E"/>
    <w:rsid w:val="14A9B7E0"/>
    <w:rsid w:val="14E58DCE"/>
    <w:rsid w:val="14EAA53D"/>
    <w:rsid w:val="15364107"/>
    <w:rsid w:val="1537C3E2"/>
    <w:rsid w:val="153F8604"/>
    <w:rsid w:val="1546A433"/>
    <w:rsid w:val="1578D77E"/>
    <w:rsid w:val="15923E4E"/>
    <w:rsid w:val="15A2A1B8"/>
    <w:rsid w:val="160309EA"/>
    <w:rsid w:val="1619349B"/>
    <w:rsid w:val="161CFB19"/>
    <w:rsid w:val="165D44B3"/>
    <w:rsid w:val="168565AE"/>
    <w:rsid w:val="168945E3"/>
    <w:rsid w:val="16A46129"/>
    <w:rsid w:val="171344FB"/>
    <w:rsid w:val="17136641"/>
    <w:rsid w:val="171D7E21"/>
    <w:rsid w:val="1755EE01"/>
    <w:rsid w:val="1757187C"/>
    <w:rsid w:val="176F27A6"/>
    <w:rsid w:val="176FE01A"/>
    <w:rsid w:val="177CA8C4"/>
    <w:rsid w:val="177D7870"/>
    <w:rsid w:val="178E1BF2"/>
    <w:rsid w:val="17AD106A"/>
    <w:rsid w:val="17BCF6FA"/>
    <w:rsid w:val="17CE3BE5"/>
    <w:rsid w:val="17F1D7ED"/>
    <w:rsid w:val="1804E616"/>
    <w:rsid w:val="180D2E94"/>
    <w:rsid w:val="181575D8"/>
    <w:rsid w:val="18190A7D"/>
    <w:rsid w:val="185AF130"/>
    <w:rsid w:val="186E1B99"/>
    <w:rsid w:val="187A2A39"/>
    <w:rsid w:val="188735FC"/>
    <w:rsid w:val="189A47B9"/>
    <w:rsid w:val="18C02E0B"/>
    <w:rsid w:val="18D98CF1"/>
    <w:rsid w:val="18DE337B"/>
    <w:rsid w:val="18EADF45"/>
    <w:rsid w:val="18F4DAB8"/>
    <w:rsid w:val="18F6E585"/>
    <w:rsid w:val="190ED47A"/>
    <w:rsid w:val="193226A9"/>
    <w:rsid w:val="19589877"/>
    <w:rsid w:val="195E1C13"/>
    <w:rsid w:val="19621221"/>
    <w:rsid w:val="196C0AFE"/>
    <w:rsid w:val="1971E8CA"/>
    <w:rsid w:val="1982CB5E"/>
    <w:rsid w:val="1982F93C"/>
    <w:rsid w:val="198DA84E"/>
    <w:rsid w:val="198FAF37"/>
    <w:rsid w:val="1990D8A0"/>
    <w:rsid w:val="19A6708D"/>
    <w:rsid w:val="19B9A46F"/>
    <w:rsid w:val="19DF347A"/>
    <w:rsid w:val="1A1E827D"/>
    <w:rsid w:val="1A321DC1"/>
    <w:rsid w:val="1A6A7F4E"/>
    <w:rsid w:val="1A6F739D"/>
    <w:rsid w:val="1A84CA09"/>
    <w:rsid w:val="1AC42CCC"/>
    <w:rsid w:val="1AC6E0EB"/>
    <w:rsid w:val="1ADC2FEF"/>
    <w:rsid w:val="1AE1215F"/>
    <w:rsid w:val="1B005563"/>
    <w:rsid w:val="1B60CB34"/>
    <w:rsid w:val="1B68308B"/>
    <w:rsid w:val="1BA86E47"/>
    <w:rsid w:val="1BB0F03D"/>
    <w:rsid w:val="1BCE512D"/>
    <w:rsid w:val="1C0B43FE"/>
    <w:rsid w:val="1C357461"/>
    <w:rsid w:val="1C36FAD8"/>
    <w:rsid w:val="1C46A5B0"/>
    <w:rsid w:val="1C7D855E"/>
    <w:rsid w:val="1C8E107B"/>
    <w:rsid w:val="1C9B97B5"/>
    <w:rsid w:val="1CA428F1"/>
    <w:rsid w:val="1CA69208"/>
    <w:rsid w:val="1CAF7A79"/>
    <w:rsid w:val="1CBD514E"/>
    <w:rsid w:val="1CEB8626"/>
    <w:rsid w:val="1D3DECEE"/>
    <w:rsid w:val="1D782304"/>
    <w:rsid w:val="1D9EE45D"/>
    <w:rsid w:val="1DB3F58B"/>
    <w:rsid w:val="1DB6B278"/>
    <w:rsid w:val="1DBE5068"/>
    <w:rsid w:val="1E00D28D"/>
    <w:rsid w:val="1E13D0B1"/>
    <w:rsid w:val="1E1CE90D"/>
    <w:rsid w:val="1E3FF952"/>
    <w:rsid w:val="1E4B8685"/>
    <w:rsid w:val="1E87F1DB"/>
    <w:rsid w:val="1E8D1592"/>
    <w:rsid w:val="1E8F3AAC"/>
    <w:rsid w:val="1EAC6829"/>
    <w:rsid w:val="1EDCEE64"/>
    <w:rsid w:val="1EEDCC60"/>
    <w:rsid w:val="1F51A845"/>
    <w:rsid w:val="1F5BBD28"/>
    <w:rsid w:val="1F63B6E6"/>
    <w:rsid w:val="1F835E36"/>
    <w:rsid w:val="1F844E36"/>
    <w:rsid w:val="1F9F3028"/>
    <w:rsid w:val="1FAC2917"/>
    <w:rsid w:val="1FB52620"/>
    <w:rsid w:val="1FC51791"/>
    <w:rsid w:val="1FCACC06"/>
    <w:rsid w:val="1FD33877"/>
    <w:rsid w:val="201480C4"/>
    <w:rsid w:val="20212E74"/>
    <w:rsid w:val="2032D608"/>
    <w:rsid w:val="2047C9D7"/>
    <w:rsid w:val="205F3628"/>
    <w:rsid w:val="2078BEC5"/>
    <w:rsid w:val="207BB826"/>
    <w:rsid w:val="20A60A04"/>
    <w:rsid w:val="2196BDDE"/>
    <w:rsid w:val="2199FF39"/>
    <w:rsid w:val="21A04982"/>
    <w:rsid w:val="21B28B32"/>
    <w:rsid w:val="21D53ABD"/>
    <w:rsid w:val="224F52C2"/>
    <w:rsid w:val="225479A6"/>
    <w:rsid w:val="226AE197"/>
    <w:rsid w:val="226E6B12"/>
    <w:rsid w:val="2278D654"/>
    <w:rsid w:val="228E2889"/>
    <w:rsid w:val="229A3934"/>
    <w:rsid w:val="22ABCE26"/>
    <w:rsid w:val="22AD99F5"/>
    <w:rsid w:val="22D2DA90"/>
    <w:rsid w:val="22F7D9F3"/>
    <w:rsid w:val="23136A75"/>
    <w:rsid w:val="231701DD"/>
    <w:rsid w:val="2319A9C0"/>
    <w:rsid w:val="2328A07E"/>
    <w:rsid w:val="2329C0CE"/>
    <w:rsid w:val="23424340"/>
    <w:rsid w:val="23937E1F"/>
    <w:rsid w:val="239AA539"/>
    <w:rsid w:val="23A7217A"/>
    <w:rsid w:val="24104150"/>
    <w:rsid w:val="24160C2A"/>
    <w:rsid w:val="242425DF"/>
    <w:rsid w:val="24442108"/>
    <w:rsid w:val="24656A0F"/>
    <w:rsid w:val="24675A74"/>
    <w:rsid w:val="24770E92"/>
    <w:rsid w:val="2482F8FE"/>
    <w:rsid w:val="248EBCFC"/>
    <w:rsid w:val="24C43D02"/>
    <w:rsid w:val="24F3C729"/>
    <w:rsid w:val="25052537"/>
    <w:rsid w:val="2521A6D8"/>
    <w:rsid w:val="2532AC5C"/>
    <w:rsid w:val="25490A79"/>
    <w:rsid w:val="2557FB0B"/>
    <w:rsid w:val="25689C43"/>
    <w:rsid w:val="256E2C5B"/>
    <w:rsid w:val="257A737C"/>
    <w:rsid w:val="2590D9DA"/>
    <w:rsid w:val="2599B40A"/>
    <w:rsid w:val="25B18150"/>
    <w:rsid w:val="25D3C528"/>
    <w:rsid w:val="25FBD7F8"/>
    <w:rsid w:val="26135EF2"/>
    <w:rsid w:val="26170B76"/>
    <w:rsid w:val="261985AF"/>
    <w:rsid w:val="26204AA3"/>
    <w:rsid w:val="26314C5D"/>
    <w:rsid w:val="26435B00"/>
    <w:rsid w:val="26514A82"/>
    <w:rsid w:val="26555DAF"/>
    <w:rsid w:val="26617C44"/>
    <w:rsid w:val="26817C9D"/>
    <w:rsid w:val="2685A659"/>
    <w:rsid w:val="26891594"/>
    <w:rsid w:val="2693DEE8"/>
    <w:rsid w:val="26A3A661"/>
    <w:rsid w:val="26C188FA"/>
    <w:rsid w:val="26F4C1FF"/>
    <w:rsid w:val="27139DAC"/>
    <w:rsid w:val="27186CFA"/>
    <w:rsid w:val="271B0957"/>
    <w:rsid w:val="27510DCF"/>
    <w:rsid w:val="27709AC0"/>
    <w:rsid w:val="27863C03"/>
    <w:rsid w:val="279969CC"/>
    <w:rsid w:val="279CA639"/>
    <w:rsid w:val="27AE8F51"/>
    <w:rsid w:val="27C9078C"/>
    <w:rsid w:val="27CE5F7B"/>
    <w:rsid w:val="27DA528B"/>
    <w:rsid w:val="27E19F74"/>
    <w:rsid w:val="27F45707"/>
    <w:rsid w:val="27F7DE99"/>
    <w:rsid w:val="28023A3B"/>
    <w:rsid w:val="282B3FE4"/>
    <w:rsid w:val="2840A593"/>
    <w:rsid w:val="284A7C56"/>
    <w:rsid w:val="286FE285"/>
    <w:rsid w:val="287BE41B"/>
    <w:rsid w:val="287D14B5"/>
    <w:rsid w:val="2880AB3B"/>
    <w:rsid w:val="289788DE"/>
    <w:rsid w:val="28B5FAFB"/>
    <w:rsid w:val="28D9ED6A"/>
    <w:rsid w:val="28DDAC96"/>
    <w:rsid w:val="28DE49C0"/>
    <w:rsid w:val="2939B9F6"/>
    <w:rsid w:val="293D3876"/>
    <w:rsid w:val="296A2FDC"/>
    <w:rsid w:val="296B541E"/>
    <w:rsid w:val="299528EA"/>
    <w:rsid w:val="29ACB51E"/>
    <w:rsid w:val="29C12797"/>
    <w:rsid w:val="29C71045"/>
    <w:rsid w:val="29D16696"/>
    <w:rsid w:val="29DBDACB"/>
    <w:rsid w:val="2A39C976"/>
    <w:rsid w:val="2A3B29B9"/>
    <w:rsid w:val="2A5957A3"/>
    <w:rsid w:val="2A75BDCB"/>
    <w:rsid w:val="2AA93226"/>
    <w:rsid w:val="2AB05C28"/>
    <w:rsid w:val="2AC32E75"/>
    <w:rsid w:val="2AC5CA4B"/>
    <w:rsid w:val="2B0578A1"/>
    <w:rsid w:val="2B3164B0"/>
    <w:rsid w:val="2B6F4164"/>
    <w:rsid w:val="2B77AB2C"/>
    <w:rsid w:val="2B7C7184"/>
    <w:rsid w:val="2B8F28B8"/>
    <w:rsid w:val="2BAF96DB"/>
    <w:rsid w:val="2BB49630"/>
    <w:rsid w:val="2BC3B783"/>
    <w:rsid w:val="2C04E08E"/>
    <w:rsid w:val="2C38503D"/>
    <w:rsid w:val="2C46D420"/>
    <w:rsid w:val="2C4879A8"/>
    <w:rsid w:val="2C648187"/>
    <w:rsid w:val="2C88D342"/>
    <w:rsid w:val="2CD29949"/>
    <w:rsid w:val="2CD2F5CD"/>
    <w:rsid w:val="2CE7D0E9"/>
    <w:rsid w:val="2CEF8A18"/>
    <w:rsid w:val="2D01EC13"/>
    <w:rsid w:val="2D11D20E"/>
    <w:rsid w:val="2D308A11"/>
    <w:rsid w:val="2D346C1B"/>
    <w:rsid w:val="2D5CD8E1"/>
    <w:rsid w:val="2D5D815B"/>
    <w:rsid w:val="2D823B69"/>
    <w:rsid w:val="2D882E73"/>
    <w:rsid w:val="2DA82118"/>
    <w:rsid w:val="2DE8836C"/>
    <w:rsid w:val="2DEA94FB"/>
    <w:rsid w:val="2DFD6B0D"/>
    <w:rsid w:val="2E059501"/>
    <w:rsid w:val="2E0E2EEC"/>
    <w:rsid w:val="2E69AB11"/>
    <w:rsid w:val="2E6C8E29"/>
    <w:rsid w:val="2E828E79"/>
    <w:rsid w:val="2E857200"/>
    <w:rsid w:val="2E9197C3"/>
    <w:rsid w:val="2EA40661"/>
    <w:rsid w:val="2EAEB93C"/>
    <w:rsid w:val="2F1EC122"/>
    <w:rsid w:val="2F2D7147"/>
    <w:rsid w:val="2F59D17D"/>
    <w:rsid w:val="2F5E8B0D"/>
    <w:rsid w:val="2F7119D3"/>
    <w:rsid w:val="2F9E8DAB"/>
    <w:rsid w:val="2FA15140"/>
    <w:rsid w:val="2FD44EDB"/>
    <w:rsid w:val="2FF263F2"/>
    <w:rsid w:val="2FF390E9"/>
    <w:rsid w:val="2FFDA8C1"/>
    <w:rsid w:val="300BC57F"/>
    <w:rsid w:val="303F8BED"/>
    <w:rsid w:val="3044DF97"/>
    <w:rsid w:val="30515188"/>
    <w:rsid w:val="306188E3"/>
    <w:rsid w:val="306F362D"/>
    <w:rsid w:val="3073E070"/>
    <w:rsid w:val="307D1129"/>
    <w:rsid w:val="30851C22"/>
    <w:rsid w:val="308DF108"/>
    <w:rsid w:val="30E2250C"/>
    <w:rsid w:val="30EE3ADA"/>
    <w:rsid w:val="30F4966F"/>
    <w:rsid w:val="30FEB915"/>
    <w:rsid w:val="3105544E"/>
    <w:rsid w:val="311E6013"/>
    <w:rsid w:val="312E0B86"/>
    <w:rsid w:val="3145C7F7"/>
    <w:rsid w:val="31697D25"/>
    <w:rsid w:val="3172C8D8"/>
    <w:rsid w:val="3187D6A1"/>
    <w:rsid w:val="319280B0"/>
    <w:rsid w:val="31EFA05D"/>
    <w:rsid w:val="31F2E030"/>
    <w:rsid w:val="321598DA"/>
    <w:rsid w:val="323F252B"/>
    <w:rsid w:val="3278D798"/>
    <w:rsid w:val="329E8087"/>
    <w:rsid w:val="330F1380"/>
    <w:rsid w:val="331DD8B6"/>
    <w:rsid w:val="332E5111"/>
    <w:rsid w:val="33B905CE"/>
    <w:rsid w:val="33DF4DD9"/>
    <w:rsid w:val="33E25AC4"/>
    <w:rsid w:val="33EB4811"/>
    <w:rsid w:val="33FB9077"/>
    <w:rsid w:val="34238004"/>
    <w:rsid w:val="346CAC91"/>
    <w:rsid w:val="349212C2"/>
    <w:rsid w:val="34AAD587"/>
    <w:rsid w:val="34B0471A"/>
    <w:rsid w:val="34D68F2F"/>
    <w:rsid w:val="34EB4A19"/>
    <w:rsid w:val="3529939B"/>
    <w:rsid w:val="35398AB5"/>
    <w:rsid w:val="35A7DF83"/>
    <w:rsid w:val="35A80ECA"/>
    <w:rsid w:val="35DBD1EB"/>
    <w:rsid w:val="35EBD2E2"/>
    <w:rsid w:val="3610A6E6"/>
    <w:rsid w:val="366A8AC6"/>
    <w:rsid w:val="36A45091"/>
    <w:rsid w:val="36F1C709"/>
    <w:rsid w:val="36F2BB4A"/>
    <w:rsid w:val="3709754E"/>
    <w:rsid w:val="370B7E43"/>
    <w:rsid w:val="3735C647"/>
    <w:rsid w:val="3737A3BF"/>
    <w:rsid w:val="3746C42D"/>
    <w:rsid w:val="37523AA4"/>
    <w:rsid w:val="375455AF"/>
    <w:rsid w:val="376200E5"/>
    <w:rsid w:val="37974B5D"/>
    <w:rsid w:val="37C1C6F9"/>
    <w:rsid w:val="37C3C368"/>
    <w:rsid w:val="37D81FEE"/>
    <w:rsid w:val="3801C234"/>
    <w:rsid w:val="381CB50D"/>
    <w:rsid w:val="382A081B"/>
    <w:rsid w:val="382FB24D"/>
    <w:rsid w:val="385EE7EC"/>
    <w:rsid w:val="389303AD"/>
    <w:rsid w:val="38C3DED8"/>
    <w:rsid w:val="38DA030F"/>
    <w:rsid w:val="38EB0590"/>
    <w:rsid w:val="38F8F023"/>
    <w:rsid w:val="393861AD"/>
    <w:rsid w:val="39401DB4"/>
    <w:rsid w:val="399B6828"/>
    <w:rsid w:val="399D9295"/>
    <w:rsid w:val="39D1EC76"/>
    <w:rsid w:val="39ECB4F1"/>
    <w:rsid w:val="3A07FBB8"/>
    <w:rsid w:val="3A2ED90C"/>
    <w:rsid w:val="3A3482B7"/>
    <w:rsid w:val="3AA1CE1E"/>
    <w:rsid w:val="3AA62D2B"/>
    <w:rsid w:val="3ADBEE15"/>
    <w:rsid w:val="3ADF6A7D"/>
    <w:rsid w:val="3AE5B457"/>
    <w:rsid w:val="3B48BDAF"/>
    <w:rsid w:val="3B6925D6"/>
    <w:rsid w:val="3B89367B"/>
    <w:rsid w:val="3BAF1D4D"/>
    <w:rsid w:val="3BC0A7E6"/>
    <w:rsid w:val="3C5FCE1A"/>
    <w:rsid w:val="3CA9E6F7"/>
    <w:rsid w:val="3CB3AAAF"/>
    <w:rsid w:val="3CB9B309"/>
    <w:rsid w:val="3CD2D672"/>
    <w:rsid w:val="3CE02660"/>
    <w:rsid w:val="3CE44E59"/>
    <w:rsid w:val="3CF84C5E"/>
    <w:rsid w:val="3D0A3391"/>
    <w:rsid w:val="3D9B05FF"/>
    <w:rsid w:val="3DA336A4"/>
    <w:rsid w:val="3DB14A66"/>
    <w:rsid w:val="3DBE4738"/>
    <w:rsid w:val="3DEBACD8"/>
    <w:rsid w:val="3DED2C02"/>
    <w:rsid w:val="3DFFD1C3"/>
    <w:rsid w:val="3E0450E8"/>
    <w:rsid w:val="3E113A60"/>
    <w:rsid w:val="3E5D032D"/>
    <w:rsid w:val="3E770398"/>
    <w:rsid w:val="3E7EC4B2"/>
    <w:rsid w:val="3EA0CB21"/>
    <w:rsid w:val="3EB617AC"/>
    <w:rsid w:val="3EB96F5E"/>
    <w:rsid w:val="3EC065DD"/>
    <w:rsid w:val="3ED668E3"/>
    <w:rsid w:val="3EF200BF"/>
    <w:rsid w:val="3F2F6AAC"/>
    <w:rsid w:val="3FAC50E3"/>
    <w:rsid w:val="3FF3DE0B"/>
    <w:rsid w:val="3FF756BA"/>
    <w:rsid w:val="4047A11B"/>
    <w:rsid w:val="408AD7DF"/>
    <w:rsid w:val="409190FE"/>
    <w:rsid w:val="409BF77F"/>
    <w:rsid w:val="40FFD049"/>
    <w:rsid w:val="41129BAC"/>
    <w:rsid w:val="411DD5D8"/>
    <w:rsid w:val="411EB044"/>
    <w:rsid w:val="41551DFF"/>
    <w:rsid w:val="4189C4F8"/>
    <w:rsid w:val="4195E65B"/>
    <w:rsid w:val="41B4843E"/>
    <w:rsid w:val="41CFE6D1"/>
    <w:rsid w:val="41ECDFDD"/>
    <w:rsid w:val="41FE7D2C"/>
    <w:rsid w:val="424D7F97"/>
    <w:rsid w:val="428A8773"/>
    <w:rsid w:val="42965B15"/>
    <w:rsid w:val="429CDAD1"/>
    <w:rsid w:val="42C13EED"/>
    <w:rsid w:val="42C6647E"/>
    <w:rsid w:val="42CEBEB1"/>
    <w:rsid w:val="42EE0130"/>
    <w:rsid w:val="42F09647"/>
    <w:rsid w:val="42F4B994"/>
    <w:rsid w:val="43314A0E"/>
    <w:rsid w:val="4343B24E"/>
    <w:rsid w:val="434F72F7"/>
    <w:rsid w:val="435E8411"/>
    <w:rsid w:val="436696CB"/>
    <w:rsid w:val="4371431E"/>
    <w:rsid w:val="43A1F64C"/>
    <w:rsid w:val="43A6D404"/>
    <w:rsid w:val="43B0693B"/>
    <w:rsid w:val="43B5560F"/>
    <w:rsid w:val="43D5BB52"/>
    <w:rsid w:val="43E26164"/>
    <w:rsid w:val="43F03464"/>
    <w:rsid w:val="43FF711A"/>
    <w:rsid w:val="4410D4A3"/>
    <w:rsid w:val="441585B0"/>
    <w:rsid w:val="441C4073"/>
    <w:rsid w:val="441FBE3C"/>
    <w:rsid w:val="4490B5B9"/>
    <w:rsid w:val="4498A779"/>
    <w:rsid w:val="44A5968B"/>
    <w:rsid w:val="44B212D2"/>
    <w:rsid w:val="44DB9C11"/>
    <w:rsid w:val="45020A4F"/>
    <w:rsid w:val="4524DC90"/>
    <w:rsid w:val="452B0F48"/>
    <w:rsid w:val="4538B160"/>
    <w:rsid w:val="45896AAE"/>
    <w:rsid w:val="459547BA"/>
    <w:rsid w:val="459BF97F"/>
    <w:rsid w:val="45A53D44"/>
    <w:rsid w:val="45B3C249"/>
    <w:rsid w:val="45DE2AF8"/>
    <w:rsid w:val="45F9E7EB"/>
    <w:rsid w:val="460F4BD2"/>
    <w:rsid w:val="46170DE0"/>
    <w:rsid w:val="46550CAC"/>
    <w:rsid w:val="46745151"/>
    <w:rsid w:val="46765E32"/>
    <w:rsid w:val="467EC106"/>
    <w:rsid w:val="46B12871"/>
    <w:rsid w:val="46EB2657"/>
    <w:rsid w:val="471B43DC"/>
    <w:rsid w:val="4736811B"/>
    <w:rsid w:val="475E9C21"/>
    <w:rsid w:val="476F366A"/>
    <w:rsid w:val="47A0B0F1"/>
    <w:rsid w:val="47CC5618"/>
    <w:rsid w:val="47D2AB97"/>
    <w:rsid w:val="47DD31DE"/>
    <w:rsid w:val="47EB2687"/>
    <w:rsid w:val="47F52201"/>
    <w:rsid w:val="481F710D"/>
    <w:rsid w:val="48549653"/>
    <w:rsid w:val="487E80B1"/>
    <w:rsid w:val="4886045F"/>
    <w:rsid w:val="4893B28C"/>
    <w:rsid w:val="48AD1E4D"/>
    <w:rsid w:val="48B192DC"/>
    <w:rsid w:val="48C8117F"/>
    <w:rsid w:val="48D6895D"/>
    <w:rsid w:val="48E38757"/>
    <w:rsid w:val="48E4414E"/>
    <w:rsid w:val="4913B1B5"/>
    <w:rsid w:val="4962C495"/>
    <w:rsid w:val="49A3E788"/>
    <w:rsid w:val="49B3D84A"/>
    <w:rsid w:val="49D04779"/>
    <w:rsid w:val="49D267BB"/>
    <w:rsid w:val="49D5EE10"/>
    <w:rsid w:val="49DEC965"/>
    <w:rsid w:val="49F62BB3"/>
    <w:rsid w:val="49F7F1C2"/>
    <w:rsid w:val="4A00E85D"/>
    <w:rsid w:val="4A6EAB11"/>
    <w:rsid w:val="4A749797"/>
    <w:rsid w:val="4A9D6613"/>
    <w:rsid w:val="4AA7ECB6"/>
    <w:rsid w:val="4AAE9A1C"/>
    <w:rsid w:val="4AAF9356"/>
    <w:rsid w:val="4ADE97E9"/>
    <w:rsid w:val="4AE9EE4D"/>
    <w:rsid w:val="4AF47940"/>
    <w:rsid w:val="4B2E0402"/>
    <w:rsid w:val="4B3FB7E9"/>
    <w:rsid w:val="4B400837"/>
    <w:rsid w:val="4B5D8FBC"/>
    <w:rsid w:val="4B66C9FD"/>
    <w:rsid w:val="4BBE977A"/>
    <w:rsid w:val="4BC0FB9C"/>
    <w:rsid w:val="4BC3FE30"/>
    <w:rsid w:val="4BCCAC75"/>
    <w:rsid w:val="4BE2462A"/>
    <w:rsid w:val="4C779D43"/>
    <w:rsid w:val="4C8D632B"/>
    <w:rsid w:val="4C8E28BE"/>
    <w:rsid w:val="4CE286D0"/>
    <w:rsid w:val="4CEC3DFA"/>
    <w:rsid w:val="4CEFFDCA"/>
    <w:rsid w:val="4CF038FD"/>
    <w:rsid w:val="4D00F7BC"/>
    <w:rsid w:val="4D141A5F"/>
    <w:rsid w:val="4D6B68B6"/>
    <w:rsid w:val="4DCDB152"/>
    <w:rsid w:val="4E05FBB2"/>
    <w:rsid w:val="4E0A6881"/>
    <w:rsid w:val="4E1638AB"/>
    <w:rsid w:val="4E1EACA7"/>
    <w:rsid w:val="4E23BA77"/>
    <w:rsid w:val="4E5E683D"/>
    <w:rsid w:val="4E7F08B7"/>
    <w:rsid w:val="4EB27AD5"/>
    <w:rsid w:val="4EC9B43C"/>
    <w:rsid w:val="4EDD8C06"/>
    <w:rsid w:val="4F263B60"/>
    <w:rsid w:val="4F7ADE61"/>
    <w:rsid w:val="4FA395E8"/>
    <w:rsid w:val="4FBEDEF2"/>
    <w:rsid w:val="4FD4A7A6"/>
    <w:rsid w:val="500C30EC"/>
    <w:rsid w:val="503A7029"/>
    <w:rsid w:val="503C62CE"/>
    <w:rsid w:val="5058AC84"/>
    <w:rsid w:val="50706319"/>
    <w:rsid w:val="50726BF8"/>
    <w:rsid w:val="507EEF1A"/>
    <w:rsid w:val="5087199A"/>
    <w:rsid w:val="50950EE4"/>
    <w:rsid w:val="50A01D98"/>
    <w:rsid w:val="50AE418B"/>
    <w:rsid w:val="50AEEEE8"/>
    <w:rsid w:val="50EF36B9"/>
    <w:rsid w:val="51153080"/>
    <w:rsid w:val="5116F40C"/>
    <w:rsid w:val="5134B110"/>
    <w:rsid w:val="51818355"/>
    <w:rsid w:val="519195CD"/>
    <w:rsid w:val="519A8CD0"/>
    <w:rsid w:val="51B23616"/>
    <w:rsid w:val="51DA07DD"/>
    <w:rsid w:val="521CBC1F"/>
    <w:rsid w:val="5225477F"/>
    <w:rsid w:val="522E331E"/>
    <w:rsid w:val="525187AE"/>
    <w:rsid w:val="527583FD"/>
    <w:rsid w:val="5277D525"/>
    <w:rsid w:val="529809C7"/>
    <w:rsid w:val="52F69505"/>
    <w:rsid w:val="532BFCDE"/>
    <w:rsid w:val="533AF399"/>
    <w:rsid w:val="53ED580F"/>
    <w:rsid w:val="540ADF9E"/>
    <w:rsid w:val="540E532B"/>
    <w:rsid w:val="5411B906"/>
    <w:rsid w:val="54555E1C"/>
    <w:rsid w:val="54571DC8"/>
    <w:rsid w:val="546DDD50"/>
    <w:rsid w:val="5490D0EC"/>
    <w:rsid w:val="54BDFF02"/>
    <w:rsid w:val="54C679B2"/>
    <w:rsid w:val="54D3E8AA"/>
    <w:rsid w:val="54F00145"/>
    <w:rsid w:val="54F7AF0F"/>
    <w:rsid w:val="54F8516C"/>
    <w:rsid w:val="550279C3"/>
    <w:rsid w:val="551DB4D0"/>
    <w:rsid w:val="551F2719"/>
    <w:rsid w:val="5534E24E"/>
    <w:rsid w:val="555582D7"/>
    <w:rsid w:val="555D523E"/>
    <w:rsid w:val="556FCB46"/>
    <w:rsid w:val="55790A59"/>
    <w:rsid w:val="558EDD52"/>
    <w:rsid w:val="55A50E2E"/>
    <w:rsid w:val="55B6A22A"/>
    <w:rsid w:val="55DA5D22"/>
    <w:rsid w:val="5600CB05"/>
    <w:rsid w:val="56027940"/>
    <w:rsid w:val="561916FF"/>
    <w:rsid w:val="562AA119"/>
    <w:rsid w:val="56639DA0"/>
    <w:rsid w:val="566C5C40"/>
    <w:rsid w:val="56BC084D"/>
    <w:rsid w:val="56E11756"/>
    <w:rsid w:val="56F9229F"/>
    <w:rsid w:val="56F97B9A"/>
    <w:rsid w:val="56FE9CE6"/>
    <w:rsid w:val="572C1B2D"/>
    <w:rsid w:val="5741879D"/>
    <w:rsid w:val="574E14A5"/>
    <w:rsid w:val="578141A9"/>
    <w:rsid w:val="57866FBE"/>
    <w:rsid w:val="578A1FBD"/>
    <w:rsid w:val="57CCC001"/>
    <w:rsid w:val="57DA981F"/>
    <w:rsid w:val="57F5EBC0"/>
    <w:rsid w:val="57FF6E01"/>
    <w:rsid w:val="580FE8BE"/>
    <w:rsid w:val="5832CB27"/>
    <w:rsid w:val="5850CF35"/>
    <w:rsid w:val="58C1069B"/>
    <w:rsid w:val="58C145DC"/>
    <w:rsid w:val="58F16CCC"/>
    <w:rsid w:val="59247824"/>
    <w:rsid w:val="59409114"/>
    <w:rsid w:val="59635465"/>
    <w:rsid w:val="5971018F"/>
    <w:rsid w:val="59958A1F"/>
    <w:rsid w:val="59985B6C"/>
    <w:rsid w:val="59991173"/>
    <w:rsid w:val="59BD3280"/>
    <w:rsid w:val="59D0056B"/>
    <w:rsid w:val="59DF5CC2"/>
    <w:rsid w:val="59E3EDBF"/>
    <w:rsid w:val="59F70A7C"/>
    <w:rsid w:val="5A14D383"/>
    <w:rsid w:val="5A3FC6E5"/>
    <w:rsid w:val="5A572D40"/>
    <w:rsid w:val="5A5AF3C4"/>
    <w:rsid w:val="5A7C774D"/>
    <w:rsid w:val="5AA4448C"/>
    <w:rsid w:val="5AADDEBE"/>
    <w:rsid w:val="5ACE193D"/>
    <w:rsid w:val="5ACFB9F2"/>
    <w:rsid w:val="5B0CAF21"/>
    <w:rsid w:val="5B0E8AC0"/>
    <w:rsid w:val="5B213DE6"/>
    <w:rsid w:val="5B219A74"/>
    <w:rsid w:val="5B249566"/>
    <w:rsid w:val="5B370EC3"/>
    <w:rsid w:val="5B56AA6E"/>
    <w:rsid w:val="5B5902E1"/>
    <w:rsid w:val="5B63DDBC"/>
    <w:rsid w:val="5B94A9C5"/>
    <w:rsid w:val="5B9B6266"/>
    <w:rsid w:val="5C067F1E"/>
    <w:rsid w:val="5C2D51D7"/>
    <w:rsid w:val="5CA2C02B"/>
    <w:rsid w:val="5CB30B3A"/>
    <w:rsid w:val="5CBEA233"/>
    <w:rsid w:val="5CC12036"/>
    <w:rsid w:val="5CCC5B2C"/>
    <w:rsid w:val="5CEE15A7"/>
    <w:rsid w:val="5CF3553C"/>
    <w:rsid w:val="5CF97BA0"/>
    <w:rsid w:val="5CFB0F4D"/>
    <w:rsid w:val="5D1D51A9"/>
    <w:rsid w:val="5D20CCF1"/>
    <w:rsid w:val="5D24027D"/>
    <w:rsid w:val="5D27DBC2"/>
    <w:rsid w:val="5D3D7212"/>
    <w:rsid w:val="5D55C64A"/>
    <w:rsid w:val="5D8EB81A"/>
    <w:rsid w:val="5DB34848"/>
    <w:rsid w:val="5E0029AE"/>
    <w:rsid w:val="5E0CEDE2"/>
    <w:rsid w:val="5E36C588"/>
    <w:rsid w:val="5E4C391A"/>
    <w:rsid w:val="5E6F1C0D"/>
    <w:rsid w:val="5E89B390"/>
    <w:rsid w:val="5E89CFFC"/>
    <w:rsid w:val="5EA1DBEC"/>
    <w:rsid w:val="5EA5452B"/>
    <w:rsid w:val="5EB929AA"/>
    <w:rsid w:val="5EBAF780"/>
    <w:rsid w:val="5EE844A6"/>
    <w:rsid w:val="5EF069F7"/>
    <w:rsid w:val="5F01B5D3"/>
    <w:rsid w:val="5F41F0F6"/>
    <w:rsid w:val="5F543D16"/>
    <w:rsid w:val="5F5C709A"/>
    <w:rsid w:val="5FA00FB3"/>
    <w:rsid w:val="5FA2A678"/>
    <w:rsid w:val="5FBC62E4"/>
    <w:rsid w:val="5FD295E9"/>
    <w:rsid w:val="5FE07FBA"/>
    <w:rsid w:val="5FE812A2"/>
    <w:rsid w:val="5FEAABFC"/>
    <w:rsid w:val="5FF71CAF"/>
    <w:rsid w:val="6035A1D0"/>
    <w:rsid w:val="606C5C86"/>
    <w:rsid w:val="61076027"/>
    <w:rsid w:val="610A40FF"/>
    <w:rsid w:val="61682DF9"/>
    <w:rsid w:val="616FD2A3"/>
    <w:rsid w:val="61774EC1"/>
    <w:rsid w:val="61867C5D"/>
    <w:rsid w:val="619AF36A"/>
    <w:rsid w:val="619EBBF3"/>
    <w:rsid w:val="61A35E5F"/>
    <w:rsid w:val="61A48A43"/>
    <w:rsid w:val="61AC9D51"/>
    <w:rsid w:val="61BFDB73"/>
    <w:rsid w:val="61CD0ABD"/>
    <w:rsid w:val="61D8F3B0"/>
    <w:rsid w:val="61F8851E"/>
    <w:rsid w:val="6203E9DE"/>
    <w:rsid w:val="623E97CD"/>
    <w:rsid w:val="6244F853"/>
    <w:rsid w:val="627F57AF"/>
    <w:rsid w:val="627FCA21"/>
    <w:rsid w:val="6282C72D"/>
    <w:rsid w:val="629C1F30"/>
    <w:rsid w:val="62BC0758"/>
    <w:rsid w:val="62FAED9F"/>
    <w:rsid w:val="62FD29B9"/>
    <w:rsid w:val="631486C1"/>
    <w:rsid w:val="631D2376"/>
    <w:rsid w:val="631E7AD6"/>
    <w:rsid w:val="633814DA"/>
    <w:rsid w:val="634A7CCB"/>
    <w:rsid w:val="6355FD78"/>
    <w:rsid w:val="636294D9"/>
    <w:rsid w:val="63C6A862"/>
    <w:rsid w:val="63DFA444"/>
    <w:rsid w:val="63EC6759"/>
    <w:rsid w:val="63F26C33"/>
    <w:rsid w:val="640D4B4B"/>
    <w:rsid w:val="64174EA0"/>
    <w:rsid w:val="6436131B"/>
    <w:rsid w:val="6453448B"/>
    <w:rsid w:val="64563B34"/>
    <w:rsid w:val="64869CB8"/>
    <w:rsid w:val="6498FA1A"/>
    <w:rsid w:val="64A2D1EF"/>
    <w:rsid w:val="64D0A1BC"/>
    <w:rsid w:val="64DA3FAA"/>
    <w:rsid w:val="64DAD89F"/>
    <w:rsid w:val="64F2DCA8"/>
    <w:rsid w:val="6515612F"/>
    <w:rsid w:val="653FB333"/>
    <w:rsid w:val="6572B430"/>
    <w:rsid w:val="657322D6"/>
    <w:rsid w:val="6599C9FF"/>
    <w:rsid w:val="65C27542"/>
    <w:rsid w:val="65C4A093"/>
    <w:rsid w:val="65CB360F"/>
    <w:rsid w:val="65E2E602"/>
    <w:rsid w:val="65EE72C6"/>
    <w:rsid w:val="65FF280B"/>
    <w:rsid w:val="661E4A46"/>
    <w:rsid w:val="66212A60"/>
    <w:rsid w:val="662EFF1A"/>
    <w:rsid w:val="662F1EE7"/>
    <w:rsid w:val="6634CA7B"/>
    <w:rsid w:val="667D9920"/>
    <w:rsid w:val="667ED341"/>
    <w:rsid w:val="6683C9B3"/>
    <w:rsid w:val="668DCA5B"/>
    <w:rsid w:val="66B65A9A"/>
    <w:rsid w:val="66B8ACD2"/>
    <w:rsid w:val="66CD843D"/>
    <w:rsid w:val="67142E0A"/>
    <w:rsid w:val="671D6E5A"/>
    <w:rsid w:val="672182A7"/>
    <w:rsid w:val="673C6E0F"/>
    <w:rsid w:val="673DD3BD"/>
    <w:rsid w:val="674DC13D"/>
    <w:rsid w:val="676D845D"/>
    <w:rsid w:val="67A6D82D"/>
    <w:rsid w:val="67C217D9"/>
    <w:rsid w:val="67C7DC84"/>
    <w:rsid w:val="67D09ADC"/>
    <w:rsid w:val="67D86512"/>
    <w:rsid w:val="67E846D4"/>
    <w:rsid w:val="680EC74B"/>
    <w:rsid w:val="6827E788"/>
    <w:rsid w:val="68281FE0"/>
    <w:rsid w:val="68299ABC"/>
    <w:rsid w:val="6846FE37"/>
    <w:rsid w:val="6872E5EC"/>
    <w:rsid w:val="68772E1E"/>
    <w:rsid w:val="689283B6"/>
    <w:rsid w:val="689CA3E2"/>
    <w:rsid w:val="68A2EE51"/>
    <w:rsid w:val="68B9F0DD"/>
    <w:rsid w:val="68BB5B1D"/>
    <w:rsid w:val="68E4AD7B"/>
    <w:rsid w:val="68EC20B4"/>
    <w:rsid w:val="68FC67F9"/>
    <w:rsid w:val="6961BC2B"/>
    <w:rsid w:val="697B1D25"/>
    <w:rsid w:val="69A4301C"/>
    <w:rsid w:val="69B37052"/>
    <w:rsid w:val="69B60CEA"/>
    <w:rsid w:val="6A37CB2C"/>
    <w:rsid w:val="6A4DB14C"/>
    <w:rsid w:val="6A5D2437"/>
    <w:rsid w:val="6AB24B8B"/>
    <w:rsid w:val="6ACD5676"/>
    <w:rsid w:val="6AD90707"/>
    <w:rsid w:val="6AE27A93"/>
    <w:rsid w:val="6AE68247"/>
    <w:rsid w:val="6B0809C8"/>
    <w:rsid w:val="6B20C156"/>
    <w:rsid w:val="6B2AFBCF"/>
    <w:rsid w:val="6B5DAACA"/>
    <w:rsid w:val="6B601DCF"/>
    <w:rsid w:val="6B6E6DD6"/>
    <w:rsid w:val="6B976FBA"/>
    <w:rsid w:val="6BA4E801"/>
    <w:rsid w:val="6BAECEE0"/>
    <w:rsid w:val="6BF0D82C"/>
    <w:rsid w:val="6BFD2688"/>
    <w:rsid w:val="6C125866"/>
    <w:rsid w:val="6C13E804"/>
    <w:rsid w:val="6C13F1C6"/>
    <w:rsid w:val="6C1B9576"/>
    <w:rsid w:val="6C228F66"/>
    <w:rsid w:val="6C5565DF"/>
    <w:rsid w:val="6C5B8BBF"/>
    <w:rsid w:val="6C653122"/>
    <w:rsid w:val="6C6D73FA"/>
    <w:rsid w:val="6C718B97"/>
    <w:rsid w:val="6C9CCFB5"/>
    <w:rsid w:val="6CDC6ECC"/>
    <w:rsid w:val="6D028E1A"/>
    <w:rsid w:val="6D1889EE"/>
    <w:rsid w:val="6D342E34"/>
    <w:rsid w:val="6D3C8198"/>
    <w:rsid w:val="6D8BB387"/>
    <w:rsid w:val="6DAEF31A"/>
    <w:rsid w:val="6DAF264F"/>
    <w:rsid w:val="6DB0A5D6"/>
    <w:rsid w:val="6DB867F9"/>
    <w:rsid w:val="6DDA9671"/>
    <w:rsid w:val="6E266BAB"/>
    <w:rsid w:val="6E2E72E8"/>
    <w:rsid w:val="6E6692FC"/>
    <w:rsid w:val="6E6A0E13"/>
    <w:rsid w:val="6E7BCB24"/>
    <w:rsid w:val="6E8B6D48"/>
    <w:rsid w:val="6E968F42"/>
    <w:rsid w:val="6EEDD490"/>
    <w:rsid w:val="6EF28EED"/>
    <w:rsid w:val="6F4AF6B0"/>
    <w:rsid w:val="6F4E596F"/>
    <w:rsid w:val="6F71B084"/>
    <w:rsid w:val="6FB54800"/>
    <w:rsid w:val="6FCF702D"/>
    <w:rsid w:val="7016D69E"/>
    <w:rsid w:val="702C0306"/>
    <w:rsid w:val="7071F31C"/>
    <w:rsid w:val="7089A241"/>
    <w:rsid w:val="7091E3E2"/>
    <w:rsid w:val="709FA123"/>
    <w:rsid w:val="710EE5A6"/>
    <w:rsid w:val="71148C09"/>
    <w:rsid w:val="7119573D"/>
    <w:rsid w:val="712538C9"/>
    <w:rsid w:val="71436C67"/>
    <w:rsid w:val="7143EDA3"/>
    <w:rsid w:val="71944ED7"/>
    <w:rsid w:val="71C430E6"/>
    <w:rsid w:val="71D236BB"/>
    <w:rsid w:val="71DB18EA"/>
    <w:rsid w:val="71EA6582"/>
    <w:rsid w:val="71EEBE15"/>
    <w:rsid w:val="71FC86FB"/>
    <w:rsid w:val="7204E807"/>
    <w:rsid w:val="72202DB1"/>
    <w:rsid w:val="72206BE5"/>
    <w:rsid w:val="72295EAE"/>
    <w:rsid w:val="72354D04"/>
    <w:rsid w:val="726BBFD7"/>
    <w:rsid w:val="72744616"/>
    <w:rsid w:val="7274745C"/>
    <w:rsid w:val="727DDCAD"/>
    <w:rsid w:val="7292A9AB"/>
    <w:rsid w:val="72A1872C"/>
    <w:rsid w:val="72B5111D"/>
    <w:rsid w:val="72D4669B"/>
    <w:rsid w:val="72ED9136"/>
    <w:rsid w:val="730A4849"/>
    <w:rsid w:val="730A6C31"/>
    <w:rsid w:val="73384191"/>
    <w:rsid w:val="735CF99E"/>
    <w:rsid w:val="73699935"/>
    <w:rsid w:val="739D8378"/>
    <w:rsid w:val="73C65252"/>
    <w:rsid w:val="7408D8D6"/>
    <w:rsid w:val="742DFEAF"/>
    <w:rsid w:val="74800761"/>
    <w:rsid w:val="74A618AA"/>
    <w:rsid w:val="74B62BB2"/>
    <w:rsid w:val="74B70B6A"/>
    <w:rsid w:val="74D5D480"/>
    <w:rsid w:val="74E671FE"/>
    <w:rsid w:val="74F0F9B5"/>
    <w:rsid w:val="7502527D"/>
    <w:rsid w:val="7506BD39"/>
    <w:rsid w:val="75342688"/>
    <w:rsid w:val="753FE5A9"/>
    <w:rsid w:val="7549DFA5"/>
    <w:rsid w:val="757376FE"/>
    <w:rsid w:val="75A47296"/>
    <w:rsid w:val="75A98942"/>
    <w:rsid w:val="75D1ECD8"/>
    <w:rsid w:val="75DE4611"/>
    <w:rsid w:val="75FBF71D"/>
    <w:rsid w:val="760BD253"/>
    <w:rsid w:val="76477699"/>
    <w:rsid w:val="7661CE8C"/>
    <w:rsid w:val="766716F0"/>
    <w:rsid w:val="76744970"/>
    <w:rsid w:val="767D56D0"/>
    <w:rsid w:val="76854A4B"/>
    <w:rsid w:val="76B4DAAE"/>
    <w:rsid w:val="76CE30D7"/>
    <w:rsid w:val="76DA7677"/>
    <w:rsid w:val="773D2A39"/>
    <w:rsid w:val="774C8626"/>
    <w:rsid w:val="77578D5E"/>
    <w:rsid w:val="77692C3D"/>
    <w:rsid w:val="77A52229"/>
    <w:rsid w:val="77AE3040"/>
    <w:rsid w:val="77E78E58"/>
    <w:rsid w:val="7801A268"/>
    <w:rsid w:val="7814C67B"/>
    <w:rsid w:val="782501C5"/>
    <w:rsid w:val="782F9B22"/>
    <w:rsid w:val="7833029A"/>
    <w:rsid w:val="7862D35F"/>
    <w:rsid w:val="7872BAAA"/>
    <w:rsid w:val="787A4CF2"/>
    <w:rsid w:val="788166B2"/>
    <w:rsid w:val="7886FE4A"/>
    <w:rsid w:val="78A5BF8F"/>
    <w:rsid w:val="78E66BFA"/>
    <w:rsid w:val="79079D6C"/>
    <w:rsid w:val="79083FAC"/>
    <w:rsid w:val="79098D9A"/>
    <w:rsid w:val="791023E4"/>
    <w:rsid w:val="791BED30"/>
    <w:rsid w:val="792571D6"/>
    <w:rsid w:val="792B3635"/>
    <w:rsid w:val="793CFB63"/>
    <w:rsid w:val="79453ED0"/>
    <w:rsid w:val="7950CA50"/>
    <w:rsid w:val="7A08765F"/>
    <w:rsid w:val="7A109F73"/>
    <w:rsid w:val="7A10BFBF"/>
    <w:rsid w:val="7A44D51A"/>
    <w:rsid w:val="7A54038A"/>
    <w:rsid w:val="7A55AFED"/>
    <w:rsid w:val="7A731166"/>
    <w:rsid w:val="7A883B1F"/>
    <w:rsid w:val="7AAF77E1"/>
    <w:rsid w:val="7AE52A8D"/>
    <w:rsid w:val="7AEFB4E9"/>
    <w:rsid w:val="7B03FD2C"/>
    <w:rsid w:val="7B0E6BF1"/>
    <w:rsid w:val="7B2BEDA7"/>
    <w:rsid w:val="7B3273E8"/>
    <w:rsid w:val="7B39728E"/>
    <w:rsid w:val="7B3E1A4D"/>
    <w:rsid w:val="7B435376"/>
    <w:rsid w:val="7BA100D0"/>
    <w:rsid w:val="7BA8B89C"/>
    <w:rsid w:val="7BA9C050"/>
    <w:rsid w:val="7BBC3AB6"/>
    <w:rsid w:val="7BDBE9C2"/>
    <w:rsid w:val="7BFF7E2C"/>
    <w:rsid w:val="7C13B41A"/>
    <w:rsid w:val="7C1DB19F"/>
    <w:rsid w:val="7C5F5767"/>
    <w:rsid w:val="7C65159D"/>
    <w:rsid w:val="7C659DF4"/>
    <w:rsid w:val="7C7635F3"/>
    <w:rsid w:val="7CA883DB"/>
    <w:rsid w:val="7CB76E3D"/>
    <w:rsid w:val="7CB7AB63"/>
    <w:rsid w:val="7CC0E827"/>
    <w:rsid w:val="7CC864F0"/>
    <w:rsid w:val="7CD554C4"/>
    <w:rsid w:val="7D135595"/>
    <w:rsid w:val="7D2B35F3"/>
    <w:rsid w:val="7D4F8834"/>
    <w:rsid w:val="7D523F84"/>
    <w:rsid w:val="7D534525"/>
    <w:rsid w:val="7D758DED"/>
    <w:rsid w:val="7D796B7E"/>
    <w:rsid w:val="7DAEC49D"/>
    <w:rsid w:val="7DF96AD8"/>
    <w:rsid w:val="7E09D0CC"/>
    <w:rsid w:val="7E30946F"/>
    <w:rsid w:val="7E44543C"/>
    <w:rsid w:val="7E4E24BC"/>
    <w:rsid w:val="7E5E45A3"/>
    <w:rsid w:val="7E638E69"/>
    <w:rsid w:val="7E7447F3"/>
    <w:rsid w:val="7EA30A05"/>
    <w:rsid w:val="7EBAD6AA"/>
    <w:rsid w:val="7ED5D0CE"/>
    <w:rsid w:val="7EEAA3EE"/>
    <w:rsid w:val="7EEC2ED9"/>
    <w:rsid w:val="7F045AF2"/>
    <w:rsid w:val="7F36762F"/>
    <w:rsid w:val="7F459538"/>
    <w:rsid w:val="7F8548A0"/>
    <w:rsid w:val="7FE0249D"/>
    <w:rsid w:val="7FF2F09F"/>
    <w:rsid w:val="7FF91A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4EA3"/>
  <w15:chartTrackingRefBased/>
  <w15:docId w15:val="{5ACBE5D1-31AD-4E11-9DDF-60F55EB5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D88"/>
    <w:pPr>
      <w:spacing w:after="0" w:line="480" w:lineRule="auto"/>
    </w:pPr>
    <w:rPr>
      <w:rFonts w:ascii="Times New Roman" w:hAnsi="Times New Roman" w:cs="Times New Roman"/>
    </w:rPr>
  </w:style>
  <w:style w:type="paragraph" w:styleId="Heading1">
    <w:name w:val="heading 1"/>
    <w:basedOn w:val="Normal"/>
    <w:next w:val="Normal"/>
    <w:link w:val="Heading1Char"/>
    <w:uiPriority w:val="9"/>
    <w:qFormat/>
    <w:rsid w:val="002558C2"/>
    <w:pPr>
      <w:outlineLvl w:val="0"/>
    </w:pPr>
    <w:rPr>
      <w:rFonts w:eastAsia="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0FE"/>
    <w:rPr>
      <w:b/>
      <w:bCs/>
    </w:rPr>
  </w:style>
  <w:style w:type="character" w:customStyle="1" w:styleId="TitleChar">
    <w:name w:val="Title Char"/>
    <w:basedOn w:val="DefaultParagraphFont"/>
    <w:link w:val="Title"/>
    <w:uiPriority w:val="10"/>
    <w:rsid w:val="00F530FE"/>
    <w:rPr>
      <w:rFonts w:ascii="Times New Roman" w:hAnsi="Times New Roman" w:cs="Times New Roman"/>
      <w:b/>
      <w:bCs/>
    </w:rPr>
  </w:style>
  <w:style w:type="paragraph" w:styleId="ListParagraph">
    <w:name w:val="List Paragraph"/>
    <w:basedOn w:val="Normal"/>
    <w:uiPriority w:val="34"/>
    <w:qFormat/>
    <w:rsid w:val="00484AE9"/>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43995"/>
    <w:rPr>
      <w:b/>
      <w:bCs/>
    </w:rPr>
  </w:style>
  <w:style w:type="character" w:customStyle="1" w:styleId="CommentSubjectChar">
    <w:name w:val="Comment Subject Char"/>
    <w:basedOn w:val="CommentTextChar"/>
    <w:link w:val="CommentSubject"/>
    <w:uiPriority w:val="99"/>
    <w:semiHidden/>
    <w:rsid w:val="00D43995"/>
    <w:rPr>
      <w:b/>
      <w:bCs/>
      <w:sz w:val="20"/>
      <w:szCs w:val="20"/>
    </w:rPr>
  </w:style>
  <w:style w:type="table" w:styleId="TableGrid">
    <w:name w:val="Table Grid"/>
    <w:basedOn w:val="TableNormal"/>
    <w:uiPriority w:val="39"/>
    <w:rsid w:val="00D43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280599"/>
  </w:style>
  <w:style w:type="character" w:customStyle="1" w:styleId="Heading1Char">
    <w:name w:val="Heading 1 Char"/>
    <w:basedOn w:val="DefaultParagraphFont"/>
    <w:link w:val="Heading1"/>
    <w:uiPriority w:val="9"/>
    <w:rsid w:val="002558C2"/>
    <w:rPr>
      <w:rFonts w:ascii="Times New Roman" w:eastAsia="Times New Roman" w:hAnsi="Times New Roman" w:cs="Times New Roman"/>
      <w:b/>
      <w:bCs/>
    </w:rPr>
  </w:style>
  <w:style w:type="character" w:styleId="Hyperlink">
    <w:name w:val="Hyperlink"/>
    <w:basedOn w:val="DefaultParagraphFont"/>
    <w:uiPriority w:val="99"/>
    <w:unhideWhenUsed/>
    <w:rsid w:val="00730C13"/>
    <w:rPr>
      <w:color w:val="0563C1" w:themeColor="hyperlink"/>
      <w:u w:val="single"/>
    </w:rPr>
  </w:style>
  <w:style w:type="character" w:styleId="UnresolvedMention">
    <w:name w:val="Unresolved Mention"/>
    <w:basedOn w:val="DefaultParagraphFont"/>
    <w:uiPriority w:val="99"/>
    <w:semiHidden/>
    <w:unhideWhenUsed/>
    <w:rsid w:val="00730C13"/>
    <w:rPr>
      <w:color w:val="605E5C"/>
      <w:shd w:val="clear" w:color="auto" w:fill="E1DFDD"/>
    </w:rPr>
  </w:style>
  <w:style w:type="paragraph" w:styleId="Header">
    <w:name w:val="header"/>
    <w:basedOn w:val="Normal"/>
    <w:link w:val="HeaderChar"/>
    <w:uiPriority w:val="99"/>
    <w:unhideWhenUsed/>
    <w:rsid w:val="00313885"/>
    <w:pPr>
      <w:tabs>
        <w:tab w:val="center" w:pos="4680"/>
        <w:tab w:val="right" w:pos="9360"/>
      </w:tabs>
      <w:spacing w:line="240" w:lineRule="auto"/>
    </w:pPr>
  </w:style>
  <w:style w:type="character" w:customStyle="1" w:styleId="HeaderChar">
    <w:name w:val="Header Char"/>
    <w:basedOn w:val="DefaultParagraphFont"/>
    <w:link w:val="Header"/>
    <w:uiPriority w:val="99"/>
    <w:rsid w:val="00313885"/>
  </w:style>
  <w:style w:type="paragraph" w:styleId="Footer">
    <w:name w:val="footer"/>
    <w:basedOn w:val="Normal"/>
    <w:link w:val="FooterChar"/>
    <w:uiPriority w:val="99"/>
    <w:unhideWhenUsed/>
    <w:rsid w:val="00313885"/>
    <w:pPr>
      <w:tabs>
        <w:tab w:val="center" w:pos="4680"/>
        <w:tab w:val="right" w:pos="9360"/>
      </w:tabs>
      <w:spacing w:line="240" w:lineRule="auto"/>
    </w:pPr>
  </w:style>
  <w:style w:type="character" w:customStyle="1" w:styleId="FooterChar">
    <w:name w:val="Footer Char"/>
    <w:basedOn w:val="DefaultParagraphFont"/>
    <w:link w:val="Footer"/>
    <w:uiPriority w:val="99"/>
    <w:rsid w:val="00313885"/>
  </w:style>
  <w:style w:type="character" w:styleId="PlaceholderText">
    <w:name w:val="Placeholder Text"/>
    <w:basedOn w:val="DefaultParagraphFont"/>
    <w:uiPriority w:val="99"/>
    <w:semiHidden/>
    <w:rsid w:val="0000770B"/>
    <w:rPr>
      <w:color w:val="808080"/>
    </w:rPr>
  </w:style>
  <w:style w:type="paragraph" w:styleId="Bibliography">
    <w:name w:val="Bibliography"/>
    <w:basedOn w:val="Normal"/>
    <w:next w:val="Normal"/>
    <w:uiPriority w:val="37"/>
    <w:unhideWhenUsed/>
    <w:rsid w:val="00727C28"/>
    <w:pPr>
      <w:spacing w:after="240" w:line="240" w:lineRule="auto"/>
      <w:ind w:left="720" w:hanging="720"/>
    </w:pPr>
  </w:style>
  <w:style w:type="paragraph" w:styleId="Revision">
    <w:name w:val="Revision"/>
    <w:hidden/>
    <w:uiPriority w:val="99"/>
    <w:semiHidden/>
    <w:rsid w:val="00BF1F01"/>
    <w:pPr>
      <w:spacing w:after="0" w:line="240" w:lineRule="auto"/>
    </w:pPr>
    <w:rPr>
      <w:rFonts w:ascii="Times New Roman" w:hAnsi="Times New Roman" w:cs="Times New Roman"/>
    </w:rPr>
  </w:style>
  <w:style w:type="table" w:styleId="TableGridLight">
    <w:name w:val="Grid Table Light"/>
    <w:basedOn w:val="TableNormal"/>
    <w:uiPriority w:val="40"/>
    <w:rsid w:val="00FB56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tiff"/><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github.com/nhermann1/Hammer_Hermann"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tif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0B3D8F74B4D44EA69D76CEF25CCC40" ma:contentTypeVersion="14" ma:contentTypeDescription="Create a new document." ma:contentTypeScope="" ma:versionID="a99f02d89b550938c401ce19d6e2be8a">
  <xsd:schema xmlns:xsd="http://www.w3.org/2001/XMLSchema" xmlns:xs="http://www.w3.org/2001/XMLSchema" xmlns:p="http://schemas.microsoft.com/office/2006/metadata/properties" xmlns:ns3="1621d1de-105b-4cdd-993f-a78331d4c9f3" xmlns:ns4="ebe26a4a-78d5-47b5-a6aa-a01810d691ed" targetNamespace="http://schemas.microsoft.com/office/2006/metadata/properties" ma:root="true" ma:fieldsID="9133ba04c221787fdf6fb7af0178ce27" ns3:_="" ns4:_="">
    <xsd:import namespace="1621d1de-105b-4cdd-993f-a78331d4c9f3"/>
    <xsd:import namespace="ebe26a4a-78d5-47b5-a6aa-a01810d691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1d1de-105b-4cdd-993f-a78331d4c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e26a4a-78d5-47b5-a6aa-a01810d691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C537D-1CAD-4C3F-A2EC-58165A0DF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1d1de-105b-4cdd-993f-a78331d4c9f3"/>
    <ds:schemaRef ds:uri="ebe26a4a-78d5-47b5-a6aa-a01810d691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BB15E6-38B3-4E03-B404-4F2BB5B8172D}">
  <ds:schemaRefs>
    <ds:schemaRef ds:uri="http://schemas.microsoft.com/sharepoint/v3/contenttype/forms"/>
  </ds:schemaRefs>
</ds:datastoreItem>
</file>

<file path=customXml/itemProps3.xml><?xml version="1.0" encoding="utf-8"?>
<ds:datastoreItem xmlns:ds="http://schemas.openxmlformats.org/officeDocument/2006/customXml" ds:itemID="{67F84587-8712-4B3B-B126-E151D2EB0C8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C13B12-B6AF-4720-8AD1-4B45ACF4B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30</Pages>
  <Words>39743</Words>
  <Characters>226538</Characters>
  <Application>Microsoft Office Word</Application>
  <DocSecurity>0</DocSecurity>
  <Lines>1887</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Hermann</dc:creator>
  <cp:keywords/>
  <dc:description/>
  <cp:lastModifiedBy>Nathan Hermann</cp:lastModifiedBy>
  <cp:revision>350</cp:revision>
  <dcterms:created xsi:type="dcterms:W3CDTF">2023-10-26T17:33:00Z</dcterms:created>
  <dcterms:modified xsi:type="dcterms:W3CDTF">2023-12-22T08:07:00Z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0x010100790B3D8F74B4D44EA69D76CEF25CCC40</vt:lpwstr>
  </property>
  <property fmtid="{D5CDD505-2E9C-101B-9397-08002B2CF9AE}" pid="3" name="ZOTERO_PREF_1">
    <vt:lpwstr>&lt;data data-version="3" zotero-version="6.0.30"&gt;&lt;session id="7jyT02Y4"/&gt;&lt;style id="http://www.zotero.org/styles/oecologia" hasBibliography="1" bibliographyStyleHasBeenSet="1"/&gt;&lt;prefs&gt;&lt;pref name="fieldType" value="Field"/&gt;&lt;pref name="automaticJournalAbbrevi</vt:lpwstr>
  </property>
  <property fmtid="{D5CDD505-2E9C-101B-9397-08002B2CF9AE}" pid="4" name="ZOTERO_PREF_2">
    <vt:lpwstr>ations" value="true"/&gt;&lt;/prefs&gt;&lt;/data&gt;</vt:lpwstr>
  </property>
</Properties>
</file>