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574AD">
      <w:pPr>
        <w:ind w:firstLine="210" w:firstLineChars="100"/>
        <w:rPr>
          <w:rFonts w:ascii="黑体" w:hAnsi="黑体" w:eastAsia="黑体"/>
          <w:b/>
          <w:sz w:val="72"/>
          <w:szCs w:val="72"/>
        </w:rPr>
      </w:pP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127635</wp:posOffset>
            </wp:positionV>
            <wp:extent cx="4618355" cy="1619885"/>
            <wp:effectExtent l="0" t="0" r="4445" b="5715"/>
            <wp:wrapNone/>
            <wp:docPr id="849850308" name="图片 1" descr="C:\Users\Administrator\Desktop\njust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50308" name="图片 1" descr="C:\Users\Administrator\Desktop\njust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DA025D">
      <w:pPr>
        <w:ind w:firstLine="723" w:firstLineChars="100"/>
        <w:rPr>
          <w:rFonts w:ascii="黑体" w:hAnsi="黑体" w:eastAsia="黑体"/>
          <w:b/>
          <w:sz w:val="72"/>
          <w:szCs w:val="72"/>
        </w:rPr>
      </w:pPr>
    </w:p>
    <w:p w14:paraId="4C998AD1">
      <w:pPr>
        <w:ind w:firstLine="723" w:firstLineChars="100"/>
        <w:rPr>
          <w:rFonts w:ascii="黑体" w:hAnsi="黑体" w:eastAsia="黑体"/>
          <w:b/>
          <w:sz w:val="72"/>
          <w:szCs w:val="72"/>
        </w:rPr>
      </w:pPr>
    </w:p>
    <w:p w14:paraId="396F5662">
      <w:pPr>
        <w:ind w:firstLine="562" w:firstLineChars="100"/>
        <w:jc w:val="center"/>
        <w:rPr>
          <w:rFonts w:ascii="黑体" w:hAnsi="黑体" w:eastAsia="黑体"/>
          <w:b/>
          <w:sz w:val="56"/>
          <w:szCs w:val="56"/>
        </w:rPr>
      </w:pPr>
      <w:r>
        <w:rPr>
          <w:rFonts w:hint="eastAsia" w:ascii="黑体" w:hAnsi="黑体" w:eastAsia="黑体"/>
          <w:b/>
          <w:sz w:val="56"/>
          <w:szCs w:val="56"/>
          <w:lang w:val="en-US" w:eastAsia="zh-CN"/>
        </w:rPr>
        <w:t>电磁场与电磁波</w:t>
      </w:r>
      <w:r>
        <w:rPr>
          <w:rFonts w:ascii="黑体" w:hAnsi="黑体" w:eastAsia="黑体"/>
          <w:b/>
          <w:sz w:val="56"/>
          <w:szCs w:val="56"/>
        </w:rPr>
        <w:t>实验报告</w:t>
      </w:r>
    </w:p>
    <w:p w14:paraId="7F51BB00">
      <w:pPr>
        <w:jc w:val="center"/>
        <w:rPr>
          <w:rFonts w:ascii="黑体" w:hAnsi="黑体" w:eastAsia="黑体"/>
          <w:b/>
          <w:sz w:val="36"/>
          <w:szCs w:val="36"/>
        </w:rPr>
      </w:pPr>
    </w:p>
    <w:tbl>
      <w:tblPr>
        <w:tblStyle w:val="3"/>
        <w:tblpPr w:leftFromText="180" w:rightFromText="180" w:vertAnchor="text" w:horzAnchor="page" w:tblpX="2644" w:tblpY="155"/>
        <w:tblOverlap w:val="never"/>
        <w:tblW w:w="71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5734"/>
      </w:tblGrid>
      <w:tr w14:paraId="413D6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7D7FE130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w w:val="89"/>
                <w:kern w:val="0"/>
                <w:sz w:val="32"/>
                <w:szCs w:val="32"/>
              </w:rPr>
            </w:pPr>
            <w:r>
              <w:rPr>
                <w:rFonts w:ascii="仿宋" w:hAnsi="仿宋" w:eastAsia="仿宋"/>
                <w:b/>
                <w:bCs/>
                <w:spacing w:val="91"/>
                <w:kern w:val="0"/>
                <w:sz w:val="32"/>
                <w:szCs w:val="32"/>
              </w:rPr>
              <w:t>姓名</w:t>
            </w:r>
            <w:r>
              <w:rPr>
                <w:rFonts w:ascii="仿宋" w:hAnsi="仿宋" w:eastAsia="仿宋"/>
                <w:b/>
                <w:bCs/>
                <w:spacing w:val="3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2DEEE7BF">
            <w:pPr>
              <w:spacing w:line="520" w:lineRule="exact"/>
              <w:jc w:val="center"/>
              <w:rPr>
                <w:rFonts w:hint="eastAsia" w:ascii="仿宋" w:hAnsi="仿宋" w:eastAsia="仿宋"/>
                <w:sz w:val="32"/>
                <w:lang w:eastAsia="zh-CN"/>
              </w:rPr>
            </w:pPr>
            <w:r>
              <w:rPr>
                <w:rFonts w:hint="eastAsia" w:ascii="仿宋" w:hAnsi="仿宋" w:eastAsia="仿宋"/>
                <w:sz w:val="32"/>
                <w:lang w:val="en-US" w:eastAsia="zh-CN"/>
              </w:rPr>
              <w:t>Wwj</w:t>
            </w:r>
          </w:p>
        </w:tc>
      </w:tr>
      <w:tr w14:paraId="6A680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6BADD191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ascii="仿宋" w:hAnsi="仿宋" w:eastAsia="仿宋"/>
                <w:b/>
                <w:bCs/>
                <w:spacing w:val="95"/>
                <w:w w:val="99"/>
                <w:kern w:val="0"/>
                <w:sz w:val="32"/>
                <w:szCs w:val="32"/>
              </w:rPr>
              <w:t>学号</w:t>
            </w:r>
            <w:r>
              <w:rPr>
                <w:rFonts w:ascii="仿宋" w:hAnsi="仿宋" w:eastAsia="仿宋"/>
                <w:b/>
                <w:bCs/>
                <w:w w:val="99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064D9C0B">
            <w:pPr>
              <w:spacing w:line="520" w:lineRule="exact"/>
              <w:jc w:val="center"/>
              <w:rPr>
                <w:rFonts w:hint="default" w:ascii="仿宋" w:hAnsi="仿宋" w:eastAsia="仿宋"/>
                <w:sz w:val="32"/>
                <w:lang w:val="en-US" w:eastAsia="zh-CN"/>
              </w:rPr>
            </w:pPr>
            <w:bookmarkStart w:id="16" w:name="_GoBack"/>
            <w:bookmarkEnd w:id="16"/>
          </w:p>
        </w:tc>
      </w:tr>
      <w:tr w14:paraId="74ED4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342AFEAE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ascii="仿宋" w:hAnsi="仿宋" w:eastAsia="仿宋"/>
                <w:b/>
                <w:bCs/>
                <w:spacing w:val="91"/>
                <w:kern w:val="0"/>
                <w:sz w:val="32"/>
                <w:szCs w:val="32"/>
              </w:rPr>
              <w:t>学院</w:t>
            </w:r>
            <w:r>
              <w:rPr>
                <w:rFonts w:ascii="仿宋" w:hAnsi="仿宋" w:eastAsia="仿宋"/>
                <w:b/>
                <w:bCs/>
                <w:spacing w:val="3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707934D8">
            <w:pPr>
              <w:spacing w:line="520" w:lineRule="exact"/>
              <w:jc w:val="center"/>
              <w:rPr>
                <w:rFonts w:ascii="仿宋" w:hAnsi="仿宋" w:eastAsia="仿宋"/>
                <w:sz w:val="32"/>
              </w:rPr>
            </w:pPr>
            <w:r>
              <w:rPr>
                <w:rFonts w:hint="eastAsia" w:ascii="仿宋" w:hAnsi="仿宋" w:eastAsia="仿宋"/>
                <w:sz w:val="32"/>
              </w:rPr>
              <w:t>电子工程与光电技术学院</w:t>
            </w:r>
          </w:p>
        </w:tc>
      </w:tr>
      <w:tr w14:paraId="52951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4DFB289B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ascii="仿宋" w:hAnsi="仿宋" w:eastAsia="仿宋"/>
                <w:b/>
                <w:bCs/>
                <w:spacing w:val="91"/>
                <w:kern w:val="0"/>
                <w:sz w:val="32"/>
                <w:szCs w:val="32"/>
              </w:rPr>
              <w:t>专业</w:t>
            </w:r>
            <w:r>
              <w:rPr>
                <w:rFonts w:ascii="仿宋" w:hAnsi="仿宋" w:eastAsia="仿宋"/>
                <w:b/>
                <w:bCs/>
                <w:spacing w:val="3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3751A78A">
            <w:pPr>
              <w:spacing w:line="520" w:lineRule="exact"/>
              <w:jc w:val="center"/>
              <w:rPr>
                <w:rFonts w:ascii="仿宋" w:hAnsi="仿宋" w:eastAsia="仿宋"/>
                <w:sz w:val="32"/>
              </w:rPr>
            </w:pPr>
            <w:r>
              <w:rPr>
                <w:rFonts w:hint="eastAsia" w:ascii="仿宋" w:hAnsi="仿宋" w:eastAsia="仿宋"/>
                <w:sz w:val="32"/>
              </w:rPr>
              <w:t>通信工程</w:t>
            </w:r>
          </w:p>
        </w:tc>
      </w:tr>
      <w:tr w14:paraId="3707F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3D591417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ascii="仿宋" w:hAnsi="仿宋" w:eastAsia="仿宋"/>
                <w:b/>
                <w:bCs/>
                <w:spacing w:val="91"/>
                <w:kern w:val="0"/>
                <w:sz w:val="32"/>
                <w:szCs w:val="32"/>
              </w:rPr>
              <w:t>班级</w:t>
            </w:r>
            <w:r>
              <w:rPr>
                <w:rFonts w:ascii="仿宋" w:hAnsi="仿宋" w:eastAsia="仿宋"/>
                <w:b/>
                <w:bCs/>
                <w:spacing w:val="3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1D64972A">
            <w:pPr>
              <w:spacing w:line="520" w:lineRule="exact"/>
              <w:jc w:val="center"/>
              <w:rPr>
                <w:rFonts w:hint="default" w:ascii="仿宋" w:hAnsi="仿宋" w:eastAsia="仿宋"/>
                <w:sz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lang w:val="en-US" w:eastAsia="zh-CN"/>
              </w:rPr>
              <w:t>9231042202</w:t>
            </w:r>
          </w:p>
        </w:tc>
      </w:tr>
      <w:tr w14:paraId="4D206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406" w:type="dxa"/>
            <w:tcFitText/>
            <w:vAlign w:val="bottom"/>
          </w:tcPr>
          <w:p w14:paraId="472125F7">
            <w:pPr>
              <w:spacing w:line="520" w:lineRule="exact"/>
              <w:jc w:val="center"/>
              <w:rPr>
                <w:rFonts w:ascii="仿宋" w:hAnsi="仿宋" w:eastAsia="仿宋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bCs/>
                <w:w w:val="80"/>
                <w:kern w:val="0"/>
                <w:sz w:val="32"/>
                <w:szCs w:val="32"/>
              </w:rPr>
              <w:t>指导老师</w:t>
            </w:r>
            <w:r>
              <w:rPr>
                <w:rFonts w:ascii="仿宋" w:hAnsi="仿宋" w:eastAsia="仿宋"/>
                <w:b/>
                <w:bCs/>
                <w:spacing w:val="16"/>
                <w:w w:val="80"/>
                <w:kern w:val="0"/>
                <w:sz w:val="32"/>
                <w:szCs w:val="32"/>
              </w:rPr>
              <w:t>:</w:t>
            </w:r>
          </w:p>
        </w:tc>
        <w:tc>
          <w:tcPr>
            <w:tcW w:w="5734" w:type="dxa"/>
            <w:tcBorders>
              <w:bottom w:val="single" w:color="auto" w:sz="8" w:space="0"/>
            </w:tcBorders>
            <w:vAlign w:val="bottom"/>
          </w:tcPr>
          <w:p w14:paraId="5DBA3F6F">
            <w:pPr>
              <w:spacing w:line="520" w:lineRule="exact"/>
              <w:jc w:val="center"/>
              <w:rPr>
                <w:rFonts w:hint="default" w:ascii="仿宋" w:hAnsi="仿宋" w:eastAsia="仿宋"/>
                <w:sz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lang w:val="en-US" w:eastAsia="zh-CN"/>
              </w:rPr>
              <w:t>谷继红</w:t>
            </w:r>
          </w:p>
        </w:tc>
      </w:tr>
    </w:tbl>
    <w:p w14:paraId="6E7C7997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38518B7E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2B614182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D1ADECF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AE28916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FB1DB51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537B9D2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5E08FD2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2FA3FA9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4568FE1A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67E8FEC3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70827E71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59399BB4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12171C8A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1BAE8CF0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12618C83">
      <w:pPr>
        <w:spacing w:line="480" w:lineRule="exact"/>
        <w:ind w:right="79"/>
        <w:jc w:val="center"/>
        <w:rPr>
          <w:rFonts w:ascii="仿宋_GB2312" w:eastAsia="仿宋_GB2312"/>
          <w:b/>
          <w:sz w:val="30"/>
          <w:szCs w:val="30"/>
        </w:rPr>
      </w:pPr>
    </w:p>
    <w:p w14:paraId="43582F5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</w:t>
      </w:r>
      <w:r>
        <w:rPr>
          <w:b/>
          <w:sz w:val="32"/>
          <w:szCs w:val="32"/>
        </w:rPr>
        <w:t>02</w:t>
      </w:r>
      <w:r>
        <w:rPr>
          <w:rFonts w:hint="eastAsia"/>
          <w:b/>
          <w:sz w:val="32"/>
          <w:szCs w:val="32"/>
          <w:lang w:val="en-US" w:eastAsia="zh-CN"/>
        </w:rPr>
        <w:t>5</w:t>
      </w:r>
      <w:r>
        <w:rPr>
          <w:b/>
          <w:sz w:val="32"/>
          <w:szCs w:val="32"/>
        </w:rPr>
        <w:t>.12</w:t>
      </w:r>
    </w:p>
    <w:p w14:paraId="2BE83D8F">
      <w:pPr>
        <w:pStyle w:val="6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实验一</w:t>
      </w:r>
      <w:r>
        <w:rPr>
          <w:sz w:val="32"/>
          <w:szCs w:val="32"/>
        </w:rPr>
        <w:t xml:space="preserve"> 电磁波参量的测定实验</w:t>
      </w:r>
    </w:p>
    <w:p w14:paraId="078E5F55">
      <w:pPr>
        <w:pStyle w:val="6"/>
        <w:rPr>
          <w:rFonts w:hint="eastAsia"/>
        </w:rPr>
      </w:pPr>
      <w:r>
        <w:t>1.实验目的</w:t>
      </w:r>
    </w:p>
    <w:p w14:paraId="7BEC052F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1）观察电磁波的传播特性。</w:t>
      </w:r>
    </w:p>
    <w:p w14:paraId="288FDCF4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2）通过测定自由空间中电磁波的波长，来确定电磁波传播的相位常数k和传播速度v。</w:t>
      </w:r>
    </w:p>
    <w:p w14:paraId="321C404D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3）了解用相干波的原理测量波长的方法。</w:t>
      </w:r>
    </w:p>
    <w:p w14:paraId="00DBA4A4">
      <w:pPr>
        <w:pStyle w:val="6"/>
        <w:rPr>
          <w:rFonts w:hint="eastAsia"/>
        </w:rPr>
      </w:pPr>
      <w:r>
        <w:t>2.实验内容</w:t>
      </w:r>
    </w:p>
    <w:p w14:paraId="0547D2D1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1）了解并熟悉电磁波综合测试仪的工作特点、线路结构、使用方法。</w:t>
      </w:r>
    </w:p>
    <w:p w14:paraId="2F6F47FC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2）测量信号源的工作波长（或频率）。</w:t>
      </w:r>
    </w:p>
    <w:p w14:paraId="5B296C63">
      <w:pPr>
        <w:pStyle w:val="6"/>
        <w:rPr>
          <w:rFonts w:hint="eastAsia"/>
        </w:rPr>
      </w:pPr>
      <w:r>
        <w:t>3.实验原理与说明</w:t>
      </w:r>
    </w:p>
    <w:p w14:paraId="5F300AB6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1）实验仪器</w:t>
      </w:r>
    </w:p>
    <w:p w14:paraId="5117CA1F">
      <w:pPr>
        <w:pStyle w:val="7"/>
        <w:rPr>
          <w:rFonts w:hint="eastAsia"/>
        </w:rPr>
      </w:pPr>
      <w:r>
        <w:rPr>
          <w:rFonts w:hint="eastAsia"/>
        </w:rPr>
        <w:t>分度转台</w:t>
      </w:r>
      <w:r>
        <w:t xml:space="preserve">       晶体检波器       可变衰减器       喇叭天线</w:t>
      </w:r>
    </w:p>
    <w:p w14:paraId="18B1F795">
      <w:pPr>
        <w:pStyle w:val="7"/>
        <w:rPr>
          <w:rFonts w:hint="eastAsia"/>
        </w:rPr>
      </w:pPr>
      <w:r>
        <w:rPr>
          <w:rFonts w:hint="eastAsia"/>
        </w:rPr>
        <w:t>反射板</w:t>
      </w:r>
      <w:r>
        <w:t xml:space="preserve">         固态信号源       微安表</w:t>
      </w:r>
    </w:p>
    <w:p w14:paraId="3CE6DB54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2）实验仪器布置图</w:t>
      </w:r>
    </w:p>
    <w:p w14:paraId="4924D408">
      <w:pPr>
        <w:jc w:val="center"/>
        <w:rPr>
          <w:rFonts w:hint="eastAsia" w:ascii="宋体" w:hAnsi="宋体" w:eastAsia="宋体"/>
          <w:sz w:val="24"/>
          <w:szCs w:val="24"/>
        </w:rPr>
      </w:pPr>
      <w:bookmarkStart w:id="0" w:name="OLE_LINK3"/>
      <w:bookmarkStart w:id="1" w:name="OLE_LINK2"/>
      <w:r>
        <w:rPr>
          <w:rFonts w:ascii="宋体" w:hAnsi="宋体" w:eastAsia="宋体"/>
          <w:sz w:val="24"/>
          <w:szCs w:val="24"/>
        </w:rPr>
        <w:object>
          <v:shape id="_x0000_i1025" o:spt="75" type="#_x0000_t75" style="height:200.5pt;width:275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SmartDraw.2" ShapeID="_x0000_i1025" DrawAspect="Content" ObjectID="_1468075725" r:id="rId5">
            <o:LockedField>false</o:LockedField>
          </o:OLEObject>
        </w:object>
      </w:r>
      <w:bookmarkEnd w:id="0"/>
      <w:bookmarkEnd w:id="1"/>
    </w:p>
    <w:p w14:paraId="05803D17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图1</w:t>
      </w:r>
      <w:r>
        <w:rPr>
          <w:rFonts w:ascii="宋体" w:hAnsi="宋体" w:eastAsia="宋体"/>
          <w:sz w:val="24"/>
          <w:szCs w:val="24"/>
        </w:rPr>
        <w:t xml:space="preserve">.1 </w:t>
      </w:r>
      <w:r>
        <w:rPr>
          <w:rFonts w:hint="eastAsia" w:ascii="宋体" w:hAnsi="宋体" w:eastAsia="宋体"/>
          <w:sz w:val="24"/>
          <w:szCs w:val="24"/>
        </w:rPr>
        <w:t>实验仪器布置图</w:t>
      </w:r>
    </w:p>
    <w:p w14:paraId="27584694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如图1</w:t>
      </w:r>
      <w:r>
        <w:t>.1</w:t>
      </w:r>
      <w:r>
        <w:rPr>
          <w:rFonts w:hint="eastAsia"/>
        </w:rPr>
        <w:t>所示，固态信号源所产生的信号经可变衰减器至矩形喇叭天线，在接收端用矩形喇叭天线接收信号，接收到的信号经晶体检波器后通过微安表指示。</w:t>
      </w:r>
    </w:p>
    <w:p w14:paraId="7C4B3A37">
      <w:pPr>
        <w:pStyle w:val="7"/>
        <w:rPr>
          <w:rFonts w:hint="eastAsia"/>
        </w:rPr>
      </w:pPr>
      <w:r>
        <w:rPr>
          <w:rFonts w:hint="eastAsia"/>
        </w:rPr>
        <w:t>（3）实验原理</w:t>
      </w:r>
    </w:p>
    <w:p w14:paraId="74383C83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本实验利用相干波原理，通过测得的电磁波的波长</w:t>
      </w:r>
      <m:oMath>
        <m:r>
          <m:rPr/>
          <w:rPr>
            <w:rFonts w:ascii="Cambria Math" w:hAnsi="Cambria Math" w:eastAsia="宋体"/>
            <w:sz w:val="24"/>
            <w:szCs w:val="24"/>
          </w:rPr>
          <m:t>λ</m:t>
        </m:r>
      </m:oMath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再由关系式</w:t>
      </w:r>
      <m:oMath>
        <m:r>
          <m:rPr/>
          <w:rPr>
            <w:rFonts w:hint="eastAsia" w:ascii="Cambria Math" w:hAnsi="Cambria Math" w:eastAsia="宋体"/>
            <w:sz w:val="24"/>
            <w:szCs w:val="24"/>
          </w:rPr>
          <m:t>k</m:t>
        </m:r>
        <m:r>
          <m:rPr/>
          <w:rPr>
            <w:rFonts w:ascii="Cambria Math" w:hAnsi="Cambria Math" w:eastAsia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2π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λ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/>
          <w:sz w:val="24"/>
          <w:szCs w:val="24"/>
        </w:rPr>
        <w:t>，</w:t>
      </w:r>
      <m:oMath>
        <m:r>
          <m:rPr/>
          <w:rPr>
            <w:rFonts w:ascii="Cambria Math" w:hAnsi="Cambria Math" w:eastAsia="宋体"/>
            <w:sz w:val="24"/>
            <w:szCs w:val="24"/>
          </w:rPr>
          <m:t>v=λf=</m:t>
        </m:r>
        <m:f>
          <m:f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ω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/>
          <w:sz w:val="24"/>
          <w:szCs w:val="24"/>
        </w:rPr>
        <w:t>得到电磁波的主要参量</w:t>
      </w:r>
      <w:r>
        <w:rPr>
          <w:rFonts w:ascii="宋体" w:hAnsi="宋体" w:eastAsia="宋体"/>
          <w:sz w:val="24"/>
          <w:szCs w:val="24"/>
        </w:rPr>
        <w:t>k，v等。</w:t>
      </w:r>
    </w:p>
    <w:p w14:paraId="117E6BC4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实验示意图如图</w:t>
      </w:r>
      <w:r>
        <w:rPr>
          <w:rFonts w:ascii="宋体" w:hAnsi="宋体" w:eastAsia="宋体"/>
          <w:sz w:val="24"/>
          <w:szCs w:val="24"/>
        </w:rPr>
        <w:t>1.2所示。图中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r</m:t>
            </m:r>
            <m:r>
              <m:rPr/>
              <w:rPr>
                <w:rFonts w:ascii="Cambria Math" w:hAnsi="Cambria Math" w:eastAsia="宋体"/>
                <w:sz w:val="24"/>
                <w:szCs w:val="24"/>
              </w:rPr>
              <m:t>0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、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r1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="宋体"/>
            <w:sz w:val="24"/>
            <w:szCs w:val="24"/>
          </w:rPr>
          <m:t>、</m:t>
        </m:r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r2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r3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分别表示辐射喇叭、固定反射板、可动反射板和接收喇叭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图中介质板是一</w:t>
      </w:r>
      <m:oMath>
        <m:r>
          <m:rPr/>
          <w:rPr>
            <w:rFonts w:ascii="Cambria Math" w:hAnsi="Cambria Math" w:eastAsia="宋体"/>
            <w:sz w:val="24"/>
            <w:szCs w:val="24"/>
          </w:rPr>
          <m:t>30×30</m:t>
        </m:r>
      </m:oMath>
      <w:r>
        <w:rPr>
          <w:rFonts w:hint="eastAsia" w:ascii="宋体" w:hAnsi="宋体" w:eastAsia="宋体"/>
          <w:sz w:val="24"/>
          <w:szCs w:val="24"/>
        </w:rPr>
        <w:t>（</w:t>
      </w:r>
      <m:oMath>
        <m:sSup>
          <m:sSup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mm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的玻璃板，它对电磁波进行反射、折射后，可实现相干波测试。</w:t>
      </w:r>
    </w:p>
    <w:p w14:paraId="0788ABC6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设入射波为：</w:t>
      </w:r>
      <m:oMath>
        <m:sSup>
          <m:sSup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pPr>
          <m:e>
            <m:box>
              <m:boxPr>
                <m:opEmu m:val="1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boxPr>
              <m:e>
                <m:acc>
                  <m:accPr>
                    <m:chr m:val="⃗"/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宋体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="宋体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box>
            <m:acc>
              <m:accPr>
                <m:chr m:val="⃗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acc>
            <m:r>
              <m:rPr/>
              <w:rPr>
                <w:rFonts w:ascii="Cambria Math" w:hAnsi="Cambria Math" w:eastAsia="宋体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−</m:t>
            </m:r>
            <m:r>
              <m:rPr/>
              <w:rPr>
                <w:rFonts w:hint="eastAsia" w:ascii="Cambria Math" w:hAnsi="Cambria Math" w:eastAsia="宋体"/>
                <w:sz w:val="24"/>
                <w:szCs w:val="24"/>
              </w:rPr>
              <m:t>j</m:t>
            </m:r>
            <m:acc>
              <m:accPr>
                <m:chr m:val="⃗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k</m:t>
                </m:r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∙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acc>
            <m:acc>
              <m:accPr>
                <m:chr m:val="⃗"/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宋体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 w:eastAsia="宋体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/>
          <w:sz w:val="24"/>
          <w:szCs w:val="24"/>
        </w:rPr>
        <w:t>，当入射波以入射角</w:t>
      </w:r>
      <m:oMath>
        <m:sSub>
          <m:sSubP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θ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="宋体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/>
          <w:sz w:val="24"/>
          <w:szCs w:val="24"/>
        </w:rPr>
        <w:t>向介质板斜投射时，在分界面上产生反射波</w:t>
      </w:r>
      <w:r>
        <w:rPr>
          <w:rFonts w:ascii="宋体" w:hAnsi="宋体" w:eastAsia="宋体"/>
          <w:position w:val="-4"/>
          <w:sz w:val="24"/>
          <w:szCs w:val="24"/>
        </w:rPr>
        <w:object>
          <v:shape id="_x0000_i1026" o:spt="75" type="#_x0000_t75" style="height:13.3pt;width:15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和折射波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27" o:spt="75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。设入射波为垂直极化波，用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28" o:spt="75" type="#_x0000_t75" style="height:16.6pt;width:13.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表示介质板的反射系数，用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29" o:spt="75" type="#_x0000_t75" style="height:16.6pt;width:16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、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30" o:spt="75" type="#_x0000_t75" style="height:16.6pt;width:16.6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分别表示由空气进入介质板和由介质板进入空气的折射系数。另外固定的和可动的金属反射板的反射系数均为-1。在一次近似的条件下，接收喇叭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31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处的相干波分别为：</w:t>
      </w:r>
    </w:p>
    <w:p w14:paraId="09BEFFEB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4D0C4701">
      <w:pPr>
        <w:autoSpaceDE w:val="0"/>
        <w:autoSpaceDN w:val="0"/>
        <w:adjustRightInd w:val="0"/>
        <w:spacing w:line="360" w:lineRule="auto"/>
        <w:ind w:left="21" w:right="6"/>
        <w:jc w:val="center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2" o:spt="75" type="#_x0000_t75" style="height:16.6pt;width:99.7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 w14:paraId="6B0CCC8C">
      <w:pPr>
        <w:spacing w:line="360" w:lineRule="auto"/>
        <w:jc w:val="center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3" o:spt="75" type="#_x0000_t75" style="height:16.6pt;width:100.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</w:p>
    <w:p w14:paraId="36790BC3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即两者幅度相等，相位差为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34" o:spt="75" type="#_x0000_t75" style="height:16.6pt;width:4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，其中</w:t>
      </w:r>
    </w:p>
    <w:p w14:paraId="5CC510B4">
      <w:pPr>
        <w:spacing w:line="360" w:lineRule="auto"/>
        <w:jc w:val="center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5" o:spt="75" type="#_x0000_t75" style="height:16.6pt;width:91.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</w:p>
    <w:p w14:paraId="0F1EB391">
      <w:pPr>
        <w:spacing w:line="360" w:lineRule="auto"/>
        <w:jc w:val="center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6" o:spt="75" type="#_x0000_t75" style="height:16.6pt;width:171.7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6AF480CD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从而可得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7" o:spt="75" type="#_x0000_t75" style="height:16.6pt;width:7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，因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8" o:spt="75" type="#_x0000_t75" style="height:16.6pt;width:54.3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为固定值，而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39" o:spt="75" type="#_x0000_t75" style="height:16.6pt;width:52.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是可改变的，改变可动反射板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ascii="宋体" w:hAnsi="宋体" w:eastAsia="宋体" w:cs="Times New Roman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位置而取不同的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0" o:spt="75" type="#_x0000_t75" style="height:16.6pt;width:13.3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值，可使行程相位差为</w:t>
      </w:r>
      <w:r>
        <w:rPr>
          <w:rFonts w:hint="eastAsia" w:ascii="宋体" w:hAnsi="宋体" w:eastAsia="宋体" w:cs="Times New Roman"/>
          <w:position w:val="-6"/>
          <w:sz w:val="24"/>
          <w:szCs w:val="24"/>
        </w:rPr>
        <w:object>
          <v:shape id="_x0000_i1041" o:spt="75" type="#_x0000_t75" style="height:15.5pt;width:16.6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。当</w:t>
      </w:r>
      <w:r>
        <w:rPr>
          <w:rFonts w:hint="eastAsia" w:ascii="宋体" w:hAnsi="宋体" w:eastAsia="宋体" w:cs="Times New Roman"/>
          <w:position w:val="-6"/>
          <w:sz w:val="24"/>
          <w:szCs w:val="24"/>
        </w:rPr>
        <w:object>
          <v:shape id="_x0000_i1042" o:spt="75" type="#_x0000_t75" style="height:13.3pt;width:13.3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的值使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hint="eastAsia" w:ascii="宋体" w:hAnsi="宋体" w:eastAsia="宋体" w:cs="Times New Roman"/>
          <w:sz w:val="24"/>
          <w:szCs w:val="24"/>
          <w:vertAlign w:val="subscript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为最大输出时，必有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3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与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4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同相叠加。若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5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与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6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反相时，则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hint="eastAsia" w:ascii="宋体" w:hAnsi="宋体" w:eastAsia="宋体" w:cs="Times New Roman"/>
          <w:sz w:val="24"/>
          <w:szCs w:val="24"/>
          <w:vertAlign w:val="subscript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输出指示为零。因此可以通过改变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ascii="宋体" w:hAnsi="宋体" w:eastAsia="宋体" w:cs="Times New Roman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的位置即改变</w:t>
      </w:r>
      <w:r>
        <w:rPr>
          <w:rFonts w:ascii="宋体" w:hAnsi="宋体" w:eastAsia="宋体" w:cs="Times New Roman"/>
          <w:sz w:val="24"/>
          <w:szCs w:val="24"/>
        </w:rPr>
        <w:t></w:t>
      </w:r>
      <w:r>
        <w:rPr>
          <w:rFonts w:ascii="宋体" w:hAnsi="宋体" w:eastAsia="宋体" w:cs="Times New Roman"/>
          <w:i/>
          <w:sz w:val="24"/>
          <w:szCs w:val="24"/>
        </w:rPr>
        <w:t>l</w:t>
      </w:r>
      <w:r>
        <w:rPr>
          <w:rFonts w:hint="eastAsia" w:ascii="宋体" w:hAnsi="宋体" w:eastAsia="宋体" w:cs="Times New Roman"/>
          <w:sz w:val="24"/>
          <w:szCs w:val="24"/>
        </w:rPr>
        <w:t>值，实现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hint="eastAsia" w:ascii="宋体" w:hAnsi="宋体" w:eastAsia="宋体" w:cs="Times New Roman"/>
          <w:sz w:val="24"/>
          <w:szCs w:val="24"/>
          <w:vertAlign w:val="subscript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输出最大与零的重复出现，从而测出电磁波的波长</w:t>
      </w:r>
      <w:r>
        <w:rPr>
          <w:rFonts w:ascii="宋体" w:hAnsi="宋体" w:eastAsia="宋体" w:cs="Times New Roman"/>
          <w:i/>
          <w:sz w:val="24"/>
          <w:szCs w:val="24"/>
        </w:rPr>
        <w:t></w:t>
      </w:r>
      <w:r>
        <w:rPr>
          <w:rFonts w:hint="eastAsia" w:ascii="宋体" w:hAnsi="宋体" w:eastAsia="宋体" w:cs="Times New Roman"/>
          <w:sz w:val="24"/>
          <w:szCs w:val="24"/>
        </w:rPr>
        <w:t>和相位常数</w:t>
      </w:r>
      <w:r>
        <w:rPr>
          <w:rFonts w:ascii="宋体" w:hAnsi="宋体" w:eastAsia="宋体" w:cs="Times New Roman"/>
          <w:i/>
          <w:sz w:val="24"/>
          <w:szCs w:val="24"/>
        </w:rPr>
        <w:t>k</w:t>
      </w:r>
      <w:r>
        <w:rPr>
          <w:rFonts w:hint="eastAsia" w:ascii="宋体" w:hAnsi="宋体" w:eastAsia="宋体" w:cs="Times New Roman"/>
          <w:sz w:val="24"/>
          <w:szCs w:val="24"/>
        </w:rPr>
        <w:t>。有关数字表达式可推得如下</w:t>
      </w:r>
    </w:p>
    <w:p w14:paraId="40FE1A1B">
      <w:pPr>
        <w:spacing w:line="360" w:lineRule="auto"/>
        <w:ind w:firstLine="420"/>
        <w:jc w:val="center"/>
        <w:rPr>
          <w:rFonts w:hint="eastAsia" w:ascii="宋体" w:hAnsi="宋体" w:eastAsia="宋体" w:cs="Times New Roman"/>
          <w:sz w:val="24"/>
          <w:szCs w:val="24"/>
        </w:rPr>
      </w:pPr>
      <w:bookmarkStart w:id="2" w:name="_Hlk185450185"/>
      <w:r>
        <w:rPr>
          <w:rFonts w:hint="eastAsia" w:ascii="宋体" w:hAnsi="宋体" w:eastAsia="宋体" w:cs="Times New Roman"/>
          <w:position w:val="-40"/>
          <w:sz w:val="24"/>
          <w:szCs w:val="24"/>
        </w:rPr>
        <w:object>
          <v:shape id="_x0000_i1047" o:spt="75" type="#_x0000_t75" style="height:45.4pt;width:183.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bookmarkEnd w:id="2"/>
    </w:p>
    <w:p w14:paraId="2D21625C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式中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48" o:spt="75" type="#_x0000_t75" style="height:16.6pt;width:135.7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，为了测准波长</w:t>
      </w:r>
      <w:r>
        <w:rPr>
          <w:rFonts w:ascii="宋体" w:hAnsi="宋体" w:eastAsia="宋体" w:cs="Times New Roman"/>
          <w:i/>
          <w:sz w:val="24"/>
          <w:szCs w:val="24"/>
        </w:rPr>
        <w:t></w:t>
      </w:r>
      <w:r>
        <w:rPr>
          <w:rFonts w:hint="eastAsia" w:ascii="宋体" w:hAnsi="宋体" w:eastAsia="宋体" w:cs="Times New Roman"/>
          <w:sz w:val="24"/>
          <w:szCs w:val="24"/>
        </w:rPr>
        <w:t>值，一般采用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hint="eastAsia" w:ascii="宋体" w:hAnsi="宋体" w:eastAsia="宋体" w:cs="Times New Roman"/>
          <w:sz w:val="24"/>
          <w:szCs w:val="24"/>
          <w:vertAlign w:val="subscript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为零指示办法，即</w:t>
      </w:r>
      <w:r>
        <w:rPr>
          <w:rFonts w:hint="eastAsia" w:ascii="宋体" w:hAnsi="宋体" w:eastAsia="宋体" w:cs="Times New Roman"/>
          <w:position w:val="-22"/>
          <w:sz w:val="24"/>
          <w:szCs w:val="24"/>
        </w:rPr>
        <w:object>
          <v:shape id="_x0000_i1049" o:spt="75" type="#_x0000_t75" style="height:27.7pt;width:50.4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或者</w:t>
      </w:r>
      <w:r>
        <w:rPr>
          <w:rFonts w:hint="eastAsia" w:ascii="宋体" w:hAnsi="宋体" w:eastAsia="宋体" w:cs="Times New Roman"/>
          <w:position w:val="-22"/>
          <w:sz w:val="24"/>
          <w:szCs w:val="24"/>
        </w:rPr>
        <w:object>
          <v:shape id="_x0000_i1050" o:spt="75" type="#_x0000_t75" style="height:27.7pt;width:130.7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这里</w:t>
      </w:r>
      <w:r>
        <w:rPr>
          <w:rFonts w:hint="eastAsia" w:ascii="宋体" w:hAnsi="宋体" w:eastAsia="宋体" w:cs="Times New Roman"/>
          <w:position w:val="-8"/>
          <w:sz w:val="24"/>
          <w:szCs w:val="24"/>
        </w:rPr>
        <w:object>
          <v:shape id="_x0000_i1051" o:spt="75" type="#_x0000_t75" style="height:13.3pt;width:51.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表示相干波</w:t>
      </w:r>
      <w:r>
        <w:rPr>
          <w:rFonts w:hint="eastAsia" w:ascii="宋体" w:hAnsi="宋体" w:eastAsia="宋体" w:cs="Times New Roman"/>
          <w:position w:val="-6"/>
          <w:sz w:val="24"/>
          <w:szCs w:val="24"/>
        </w:rPr>
        <w:object>
          <v:shape id="_x0000_i1052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的节点，而除零以外的</w:t>
      </w:r>
      <w:r>
        <w:rPr>
          <w:rFonts w:ascii="宋体" w:hAnsi="宋体" w:eastAsia="宋体" w:cs="Times New Roman"/>
          <w:i/>
          <w:sz w:val="24"/>
          <w:szCs w:val="24"/>
        </w:rPr>
        <w:t>n</w:t>
      </w:r>
      <w:r>
        <w:rPr>
          <w:rFonts w:hint="eastAsia" w:ascii="宋体" w:hAnsi="宋体" w:eastAsia="宋体" w:cs="Times New Roman"/>
          <w:sz w:val="24"/>
          <w:szCs w:val="24"/>
        </w:rPr>
        <w:t>值，又表示相干波合成驻波的半波长数，故</w:t>
      </w:r>
      <w:r>
        <w:rPr>
          <w:rFonts w:ascii="宋体" w:hAnsi="宋体" w:eastAsia="宋体" w:cs="Times New Roman"/>
          <w:i/>
          <w:sz w:val="24"/>
          <w:szCs w:val="24"/>
        </w:rPr>
        <w:t>n</w:t>
      </w:r>
      <w:r>
        <w:rPr>
          <w:rFonts w:ascii="宋体" w:hAnsi="宋体" w:eastAsia="宋体" w:cs="Times New Roman"/>
          <w:sz w:val="24"/>
          <w:szCs w:val="24"/>
        </w:rPr>
        <w:t>=0</w:t>
      </w:r>
      <w:r>
        <w:rPr>
          <w:rFonts w:hint="eastAsia" w:ascii="宋体" w:hAnsi="宋体" w:eastAsia="宋体" w:cs="Times New Roman"/>
          <w:sz w:val="24"/>
          <w:szCs w:val="24"/>
        </w:rPr>
        <w:t>时，出现</w:t>
      </w:r>
      <w:r>
        <w:rPr>
          <w:rFonts w:hint="eastAsia" w:ascii="宋体" w:hAnsi="宋体" w:eastAsia="宋体" w:cs="Times New Roman"/>
          <w:position w:val="-6"/>
          <w:sz w:val="24"/>
          <w:szCs w:val="24"/>
        </w:rPr>
        <w:object>
          <v:shape id="_x0000_i1053" o:spt="7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，在</w:t>
      </w:r>
      <w:r>
        <w:rPr>
          <w:rFonts w:ascii="宋体" w:hAnsi="宋体" w:eastAsia="宋体" w:cs="Times New Roman"/>
          <w:i/>
          <w:sz w:val="24"/>
          <w:szCs w:val="24"/>
        </w:rPr>
        <w:t>P</w:t>
      </w:r>
      <w:r>
        <w:rPr>
          <w:rFonts w:ascii="宋体" w:hAnsi="宋体" w:eastAsia="宋体" w:cs="Times New Roman"/>
          <w:i/>
          <w:sz w:val="24"/>
          <w:szCs w:val="24"/>
          <w:vertAlign w:val="subscript"/>
        </w:rPr>
        <w:t>r</w:t>
      </w:r>
      <w:r>
        <w:rPr>
          <w:rFonts w:ascii="宋体" w:hAnsi="宋体" w:eastAsia="宋体" w:cs="Times New Roman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Times New Roman"/>
          <w:sz w:val="24"/>
          <w:szCs w:val="24"/>
        </w:rPr>
        <w:t>处记为</w:t>
      </w:r>
      <w:r>
        <w:rPr>
          <w:rFonts w:ascii="宋体" w:hAnsi="宋体" w:eastAsia="宋体" w:cs="Times New Roman"/>
          <w:i/>
          <w:sz w:val="24"/>
          <w:szCs w:val="24"/>
        </w:rPr>
        <w:t>l</w:t>
      </w:r>
      <w:r>
        <w:rPr>
          <w:rFonts w:ascii="宋体" w:hAnsi="宋体" w:eastAsia="宋体" w:cs="Times New Roman"/>
          <w:sz w:val="24"/>
          <w:szCs w:val="24"/>
          <w:vertAlign w:val="subscript"/>
        </w:rPr>
        <w:t>0</w:t>
      </w:r>
      <w:r>
        <w:rPr>
          <w:rFonts w:hint="eastAsia" w:ascii="宋体" w:hAnsi="宋体" w:eastAsia="宋体" w:cs="Times New Roman"/>
          <w:sz w:val="24"/>
          <w:szCs w:val="24"/>
        </w:rPr>
        <w:t xml:space="preserve">。 又因 </w:t>
      </w:r>
      <w:r>
        <w:rPr>
          <w:rFonts w:hint="eastAsia" w:ascii="宋体" w:hAnsi="宋体" w:eastAsia="宋体" w:cs="Times New Roman"/>
          <w:position w:val="-22"/>
          <w:sz w:val="24"/>
          <w:szCs w:val="24"/>
        </w:rPr>
        <w:object>
          <v:shape id="_x0000_i1054" o:spt="75" type="#_x0000_t75" style="height:27.7pt;width:52.6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</w:p>
    <w:p w14:paraId="74C72F52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故得</w:t>
      </w:r>
      <w:r>
        <w:rPr>
          <w:rFonts w:hint="eastAsia" w:ascii="宋体" w:hAnsi="宋体" w:eastAsia="宋体" w:cs="Times New Roman"/>
          <w:position w:val="-22"/>
          <w:sz w:val="24"/>
          <w:szCs w:val="24"/>
        </w:rPr>
        <w:object>
          <v:shape id="_x0000_i1055" o:spt="75" type="#_x0000_t75" style="height:27.7pt;width:78.1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，或：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56" o:spt="75" type="#_x0000_t75" style="height:15.5pt;width:68.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。为确定相干波节点以求，可把波形图表示于图3上。</w:t>
      </w:r>
    </w:p>
    <w:p w14:paraId="7DDBB54E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</w:p>
    <w:p w14:paraId="035744CC">
      <w:pPr>
        <w:spacing w:line="360" w:lineRule="auto"/>
        <w:rPr>
          <w:rFonts w:hint="eastAsia" w:ascii="宋体" w:hAnsi="宋体" w:eastAsia="宋体" w:cs="Times New Roman"/>
          <w:sz w:val="24"/>
          <w:szCs w:val="24"/>
        </w:rPr>
      </w:pPr>
    </w:p>
    <w:p w14:paraId="307D914B">
      <w:pPr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293620" cy="2057400"/>
            <wp:effectExtent l="0" t="0" r="5080" b="0"/>
            <wp:docPr id="7700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300" name="图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7459" cy="2069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293620" cy="2110105"/>
            <wp:effectExtent l="0" t="0" r="5080" b="10795"/>
            <wp:docPr id="4065047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4747" name="图片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995" cy="2116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385CE">
      <w:pPr>
        <w:ind w:firstLine="1470" w:firstLineChars="700"/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图1</w:t>
      </w:r>
      <w:r>
        <w:rPr>
          <w:rFonts w:ascii="宋体" w:hAnsi="宋体" w:eastAsia="宋体"/>
          <w:szCs w:val="21"/>
        </w:rPr>
        <w:t xml:space="preserve">.2 </w:t>
      </w:r>
      <w:r>
        <w:rPr>
          <w:rFonts w:hint="eastAsia" w:ascii="宋体" w:hAnsi="宋体" w:eastAsia="宋体"/>
          <w:szCs w:val="21"/>
        </w:rPr>
        <w:t xml:space="preserve">实验示意图 </w:t>
      </w:r>
      <w:r>
        <w:rPr>
          <w:rFonts w:ascii="宋体" w:hAnsi="宋体" w:eastAsia="宋体"/>
          <w:szCs w:val="21"/>
        </w:rPr>
        <w:t xml:space="preserve">                   </w:t>
      </w: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 xml:space="preserve">1.3 </w:t>
      </w:r>
      <w:r>
        <w:rPr>
          <w:rFonts w:hint="eastAsia" w:ascii="宋体" w:hAnsi="宋体" w:eastAsia="宋体"/>
          <w:szCs w:val="21"/>
        </w:rPr>
        <w:t>波形图</w:t>
      </w:r>
    </w:p>
    <w:p w14:paraId="628A7238">
      <w:pPr>
        <w:spacing w:line="360" w:lineRule="auto"/>
        <w:ind w:firstLine="240" w:firstLineChars="100"/>
        <w:jc w:val="lef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57" o:spt="75" type="#_x0000_t75" style="height:16.6pt;width:152.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得第一个波节点位置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58" o:spt="75" type="#_x0000_t75" style="height:16.6pt;width:11.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059" o:spt="75" type="#_x0000_t75" style="height:16.6pt;width:117.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得</w:t>
      </w:r>
      <w:r>
        <w:rPr>
          <w:rFonts w:hint="eastAsia" w:ascii="宋体" w:hAnsi="宋体" w:eastAsia="宋体" w:cs="宋体"/>
          <w:kern w:val="0"/>
          <w:sz w:val="24"/>
          <w:szCs w:val="24"/>
        </w:rPr>
        <w:t>第二个波节点位置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60" o:spt="75" type="#_x0000_t75" style="height:16.6pt;width:9.4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61" o:spt="75" type="#_x0000_t75" style="height:16.6pt;width:134.6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得第N个波节点位置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62" o:spt="75" type="#_x0000_t75" style="height:16.6pt;width:12.2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。可见，当波节点总数为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63" o:spt="75" type="#_x0000_t75" style="height:15.5pt;width:29.9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时，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64" o:spt="75" type="#_x0000_t75" style="height:16.6pt;width:15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上移动的总距离为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65" o:spt="75" type="#_x0000_t75" style="height:16.6pt;width:37.1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，它相当于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66" o:spt="75" type="#_x0000_t75" style="height:11.1pt;width:9.4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个半波长数。即：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67" o:spt="75" type="#_x0000_t75" style="height:16.6pt;width:63.7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，故： </w:t>
      </w:r>
      <w:bookmarkStart w:id="3" w:name="_Hlk185450334"/>
      <w:r>
        <w:rPr>
          <w:rFonts w:hint="eastAsia" w:ascii="宋体" w:hAnsi="宋体" w:eastAsia="宋体" w:cs="宋体"/>
          <w:kern w:val="0"/>
          <w:position w:val="-22"/>
          <w:sz w:val="24"/>
          <w:szCs w:val="24"/>
        </w:rPr>
        <w:object>
          <v:shape id="_x0000_i1068" o:spt="75" type="#_x0000_t75" style="height:27.7pt;width:60.9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bookmarkEnd w:id="3"/>
      <w:r>
        <w:rPr>
          <w:rFonts w:hint="eastAsia" w:ascii="宋体" w:hAnsi="宋体" w:eastAsia="宋体" w:cs="宋体"/>
          <w:kern w:val="0"/>
          <w:sz w:val="24"/>
          <w:szCs w:val="24"/>
        </w:rPr>
        <w:t>。根据：</w:t>
      </w:r>
    </w:p>
    <w:p w14:paraId="3D04F76D">
      <w:pPr>
        <w:autoSpaceDE w:val="0"/>
        <w:autoSpaceDN w:val="0"/>
        <w:adjustRightInd w:val="0"/>
        <w:spacing w:line="360" w:lineRule="auto"/>
        <w:ind w:right="6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22"/>
          <w:sz w:val="24"/>
          <w:szCs w:val="24"/>
        </w:rPr>
        <w:object>
          <v:shape id="_x0000_i1069" o:spt="75" type="#_x0000_t75" style="height:27.7pt;width:95.8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就可得到所测电磁波的参量</w:t>
      </w:r>
      <w:r>
        <w:rPr>
          <w:rFonts w:ascii="Symbol" w:hAnsi="Symbol" w:eastAsia="Symbol" w:cs="Symbol"/>
          <w:i/>
          <w:sz w:val="29"/>
          <w:szCs w:val="29"/>
        </w:rPr>
        <w:sym w:font="Symbol" w:char="F06C"/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i/>
          <w:sz w:val="24"/>
          <w:szCs w:val="24"/>
        </w:rPr>
        <w:t>k</w: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i/>
          <w:kern w:val="0"/>
          <w:sz w:val="24"/>
          <w:szCs w:val="24"/>
        </w:rPr>
        <w:t>v</w:t>
      </w:r>
      <w:r>
        <w:rPr>
          <w:rFonts w:hint="eastAsia" w:ascii="宋体" w:hAnsi="宋体" w:eastAsia="宋体" w:cs="Times New Roman"/>
          <w:sz w:val="24"/>
          <w:szCs w:val="24"/>
        </w:rPr>
        <w:t>等值。可见测试波长</w:t>
      </w:r>
      <w:r>
        <w:rPr>
          <w:rFonts w:ascii="宋体" w:hAnsi="宋体" w:eastAsia="宋体" w:cs="Times New Roman"/>
          <w:i/>
          <w:sz w:val="24"/>
          <w:szCs w:val="24"/>
        </w:rPr>
        <w:t></w:t>
      </w:r>
      <w:r>
        <w:rPr>
          <w:rFonts w:hint="eastAsia" w:ascii="宋体" w:hAnsi="宋体" w:eastAsia="宋体" w:cs="Times New Roman"/>
          <w:sz w:val="24"/>
          <w:szCs w:val="24"/>
        </w:rPr>
        <w:t>所用公式得出的是平均值。从理论上讲，</w:t>
      </w:r>
      <w:r>
        <w:rPr>
          <w:rFonts w:ascii="宋体" w:hAnsi="宋体" w:eastAsia="宋体" w:cs="Times New Roman"/>
          <w:i/>
          <w:kern w:val="0"/>
          <w:sz w:val="24"/>
          <w:szCs w:val="24"/>
        </w:rPr>
        <w:t>n</w:t>
      </w:r>
      <w:r>
        <w:rPr>
          <w:rFonts w:hint="eastAsia" w:ascii="宋体" w:hAnsi="宋体" w:eastAsia="宋体" w:cs="Times New Roman"/>
          <w:sz w:val="24"/>
          <w:szCs w:val="24"/>
        </w:rPr>
        <w:t>值越大，测出的值精度应越高。</w:t>
      </w:r>
    </w:p>
    <w:p w14:paraId="08F196F9">
      <w:pPr>
        <w:spacing w:line="360" w:lineRule="auto"/>
        <w:ind w:firstLine="360" w:firstLineChars="15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实际测试时，一般取</w:t>
      </w:r>
      <w:r>
        <w:rPr>
          <w:rFonts w:ascii="宋体" w:hAnsi="宋体" w:eastAsia="宋体" w:cs="Times New Roman"/>
          <w:i/>
          <w:sz w:val="24"/>
          <w:szCs w:val="24"/>
        </w:rPr>
        <w:t>n</w:t>
      </w:r>
      <w:r>
        <w:rPr>
          <w:rFonts w:ascii="宋体" w:hAnsi="宋体" w:eastAsia="宋体" w:cs="Times New Roman"/>
          <w:sz w:val="24"/>
          <w:szCs w:val="24"/>
        </w:rPr>
        <w:t>=4</w:t>
      </w:r>
      <w:r>
        <w:rPr>
          <w:rFonts w:hint="eastAsia" w:ascii="宋体" w:hAnsi="宋体" w:eastAsia="宋体" w:cs="Times New Roman"/>
          <w:sz w:val="24"/>
          <w:szCs w:val="24"/>
        </w:rPr>
        <w:t>已足够，这时相应于5个波节点，所测的波长为</w:t>
      </w:r>
      <w:r>
        <w:rPr>
          <w:rFonts w:hint="eastAsia" w:ascii="宋体" w:hAnsi="宋体" w:eastAsia="宋体" w:cs="Times New Roman"/>
          <w:position w:val="-22"/>
          <w:sz w:val="24"/>
          <w:szCs w:val="24"/>
        </w:rPr>
        <w:object>
          <v:shape id="_x0000_i1070" o:spt="75" type="#_x0000_t75" style="height:27.7pt;width:58.7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，它表示了5个波节点的距离</w:t>
      </w:r>
      <w:r>
        <w:rPr>
          <w:rFonts w:hint="eastAsia" w:ascii="宋体" w:hAnsi="宋体" w:eastAsia="宋体" w:cs="Times New Roman"/>
          <w:position w:val="-10"/>
          <w:sz w:val="24"/>
          <w:szCs w:val="24"/>
        </w:rPr>
        <w:object>
          <v:shape id="_x0000_i1071" o:spt="75" type="#_x0000_t75" style="height:16.6pt;width:34.9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宋体" w:hAnsi="宋体" w:eastAsia="宋体" w:cs="Times New Roman"/>
          <w:sz w:val="24"/>
          <w:szCs w:val="24"/>
        </w:rPr>
        <w:t>，相应于4个半波长。由于被测场</w:t>
      </w:r>
      <w:bookmarkStart w:id="4" w:name="_Hlk185450441"/>
      <w:r>
        <w:rPr>
          <w:rFonts w:hint="eastAsia" w:ascii="宋体" w:hAnsi="宋体" w:eastAsia="宋体" w:cs="Times New Roman"/>
          <w:position w:val="-4"/>
          <w:sz w:val="24"/>
          <w:szCs w:val="24"/>
        </w:rPr>
        <w:object>
          <v:shape id="_x0000_i1072" o:spt="75" type="#_x0000_t75" style="height:13.3pt;width:15.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bookmarkEnd w:id="4"/>
      <w:r>
        <w:rPr>
          <w:rFonts w:hint="eastAsia" w:ascii="宋体" w:hAnsi="宋体" w:eastAsia="宋体" w:cs="Times New Roman"/>
          <w:sz w:val="24"/>
          <w:szCs w:val="24"/>
        </w:rPr>
        <w:t>处于近区场范围内，不仅影响着驻波节点位置均匀分布，而且使波幅值也有起伏。</w:t>
      </w:r>
    </w:p>
    <w:p w14:paraId="15D0A3E2">
      <w:pPr>
        <w:pStyle w:val="6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实验步骤</w:t>
      </w:r>
    </w:p>
    <w:p w14:paraId="78ACBFB1">
      <w:pPr>
        <w:pStyle w:val="7"/>
        <w:rPr>
          <w:rFonts w:hint="eastAsia"/>
        </w:rPr>
      </w:pPr>
      <w:r>
        <w:rPr>
          <w:rFonts w:hint="eastAsia"/>
        </w:rPr>
        <w:t>（1）</w:t>
      </w:r>
      <w:r>
        <w:t>了解并熟悉电磁波综合测试仪的工作特点、线路结构、使用方法。</w:t>
      </w:r>
    </w:p>
    <w:p w14:paraId="269BBBD0">
      <w:pPr>
        <w:pStyle w:val="7"/>
        <w:rPr>
          <w:rFonts w:hint="eastAsia"/>
        </w:rPr>
      </w:pPr>
      <w:r>
        <w:rPr>
          <w:rFonts w:hint="eastAsia"/>
        </w:rPr>
        <w:t>（2）</w:t>
      </w:r>
      <w:r>
        <w:t>测量电磁波的波长。</w:t>
      </w:r>
    </w:p>
    <w:p w14:paraId="77FCE756">
      <w:pPr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首先调整好电磁波综合测试仪使能进行正常工作。然后测出电磁波的波长，根据测出的值，得到电磁波的重要参量</w:t>
      </w:r>
      <w:r>
        <w:rPr>
          <w:rFonts w:ascii="宋体" w:hAnsi="宋体" w:eastAsia="宋体"/>
          <w:sz w:val="24"/>
          <w:szCs w:val="24"/>
        </w:rPr>
        <w:t>k，由k值可计算出传播速度</w:t>
      </w:r>
      <w:r>
        <w:rPr>
          <w:rFonts w:hint="eastAsia" w:ascii="宋体" w:hAnsi="宋体" w:eastAsia="宋体" w:cs="宋体"/>
          <w:kern w:val="0"/>
          <w:position w:val="-30"/>
          <w:sz w:val="24"/>
          <w:szCs w:val="24"/>
        </w:rPr>
        <w:object>
          <v:shape id="_x0000_i1073" o:spt="75" type="#_x0000_t75" style="height:31pt;width:94.7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</w:p>
    <w:p w14:paraId="40053E4F">
      <w:pPr>
        <w:autoSpaceDE w:val="0"/>
        <w:autoSpaceDN w:val="0"/>
        <w:adjustRightInd w:val="0"/>
        <w:ind w:right="6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）用波长计（或频率计）测出信号源的工作波长（或频率）。</w:t>
      </w:r>
    </w:p>
    <w:p w14:paraId="2434441A">
      <w:pPr>
        <w:autoSpaceDE w:val="0"/>
        <w:autoSpaceDN w:val="0"/>
        <w:adjustRightInd w:val="0"/>
        <w:ind w:left="65" w:right="6" w:firstLine="42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把测试值填入表1</w:t>
      </w:r>
      <w:r>
        <w:rPr>
          <w:rFonts w:ascii="宋体" w:hAnsi="宋体" w:eastAsia="宋体" w:cs="宋体"/>
          <w:kern w:val="0"/>
          <w:sz w:val="24"/>
          <w:szCs w:val="24"/>
        </w:rPr>
        <w:t>.1</w:t>
      </w:r>
      <w:r>
        <w:rPr>
          <w:rFonts w:hint="eastAsia" w:ascii="宋体" w:hAnsi="宋体" w:eastAsia="宋体" w:cs="宋体"/>
          <w:kern w:val="0"/>
          <w:sz w:val="24"/>
          <w:szCs w:val="24"/>
        </w:rPr>
        <w:t>中。如采用3cm标准信号源，则可改变信号源工作频率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74" o:spt="75" type="#_x0000_t75" style="height:16.6pt;width:12.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（即改变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75" o:spt="75" type="#_x0000_t75" style="height:16.6pt;width:12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）。由以上实验内容，得到相应的电磁波参量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76" o:spt="75" type="#_x0000_t75" style="height:16.6pt;width:45.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，并与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77" o:spt="75" type="#_x0000_t75" style="height:16.6pt;width:55.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作比较（如使用该仪器本身的固态信号源，它已调定在一个固定频率</w:t>
      </w:r>
      <w:r>
        <w:rPr>
          <w:rFonts w:hint="eastAsia" w:ascii="宋体" w:hAnsi="宋体" w:eastAsia="宋体" w:cs="宋体"/>
          <w:kern w:val="0"/>
          <w:position w:val="-10"/>
          <w:sz w:val="24"/>
          <w:szCs w:val="24"/>
        </w:rPr>
        <w:object>
          <v:shape id="_x0000_i1078" o:spt="75" type="#_x0000_t75" style="height:16.6pt;width:12.2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上工作，故ν及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79" o:spt="75" type="#_x0000_t75" style="height:13.3pt;width:9.4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不能改变）。</w:t>
      </w:r>
    </w:p>
    <w:p w14:paraId="014256B2">
      <w:pPr>
        <w:autoSpaceDE w:val="0"/>
        <w:autoSpaceDN w:val="0"/>
        <w:adjustRightInd w:val="0"/>
        <w:spacing w:line="360" w:lineRule="auto"/>
        <w:ind w:right="6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表1</w:t>
      </w:r>
      <w:r>
        <w:rPr>
          <w:rFonts w:ascii="宋体" w:hAnsi="宋体" w:eastAsia="宋体" w:cs="宋体"/>
          <w:kern w:val="0"/>
          <w:sz w:val="24"/>
          <w:szCs w:val="24"/>
        </w:rPr>
        <w:t>.1</w:t>
      </w:r>
      <w:r>
        <w:rPr>
          <w:rFonts w:hint="eastAsia" w:ascii="宋体" w:hAnsi="宋体" w:eastAsia="宋体" w:cs="宋体"/>
          <w:kern w:val="0"/>
          <w:sz w:val="24"/>
          <w:szCs w:val="24"/>
        </w:rPr>
        <w:t>电磁波参量测试数据表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2880"/>
        <w:gridCol w:w="2520"/>
      </w:tblGrid>
      <w:tr w14:paraId="401A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8" w:type="dxa"/>
            <w:vAlign w:val="center"/>
          </w:tcPr>
          <w:p w14:paraId="51353FE8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波长表(频率计)读数</w:t>
            </w:r>
          </w:p>
          <w:p w14:paraId="6904ADF3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position w:val="-10"/>
                <w:sz w:val="24"/>
                <w:szCs w:val="24"/>
              </w:rPr>
              <w:object>
                <v:shape id="_x0000_i1080" o:spt="75" type="#_x0000_t75" style="height:16.6pt;width:12.2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14">
                  <o:LockedField>false</o:LockedField>
                </o:OLEObject>
              </w:object>
            </w:r>
          </w:p>
        </w:tc>
        <w:tc>
          <w:tcPr>
            <w:tcW w:w="2880" w:type="dxa"/>
          </w:tcPr>
          <w:p w14:paraId="3B3B6D3C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f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  <w:t>=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8.60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  <w:t>GH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z</w:t>
            </w:r>
          </w:p>
          <w:p w14:paraId="73922176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宋体"/>
                        <w:kern w:val="0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eastAsia="宋体" w:cs="宋体"/>
                        <w:kern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宋体"/>
                    <w:kern w:val="0"/>
                    <w:sz w:val="24"/>
                    <w:szCs w:val="24"/>
                  </w:rPr>
                  <m:t>=34.</m:t>
                </m:r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kern w:val="0"/>
                    <w:sz w:val="24"/>
                    <w:szCs w:val="24"/>
                    <w:lang w:val="en-US" w:eastAsia="zh-CN"/>
                  </w:rPr>
                  <m:t>884</m:t>
                </m:r>
                <m:r>
                  <m:rPr>
                    <m:sty m:val="bi"/>
                  </m:rPr>
                  <w:rPr>
                    <w:rFonts w:hint="eastAsia" w:ascii="Cambria Math" w:hAnsi="Cambria Math" w:eastAsia="宋体" w:cs="宋体"/>
                    <w:kern w:val="0"/>
                    <w:sz w:val="24"/>
                    <w:szCs w:val="24"/>
                  </w:rPr>
                  <m:t>mm</m:t>
                </m:r>
              </m:oMath>
            </m:oMathPara>
          </w:p>
        </w:tc>
        <w:tc>
          <w:tcPr>
            <w:tcW w:w="2520" w:type="dxa"/>
          </w:tcPr>
          <w:p w14:paraId="2C7355CA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f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  <w:t>=9.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38</w:t>
            </w: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  <w:t>GH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z</w:t>
            </w:r>
          </w:p>
          <w:p w14:paraId="481A9D89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i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宋体" w:cs="宋体"/>
                        <w:kern w:val="0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eastAsia="宋体" w:cs="宋体"/>
                        <w:kern w:val="0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hAnsi="Cambria Math" w:eastAsia="宋体" w:cs="宋体"/>
                        <w:b/>
                        <w:i/>
                        <w:kern w:val="0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 w:eastAsia="宋体" w:cs="宋体"/>
                    <w:kern w:val="0"/>
                    <w:sz w:val="24"/>
                    <w:szCs w:val="24"/>
                  </w:rPr>
                  <m:t>=31.</m:t>
                </m:r>
                <m:r>
                  <m:rPr>
                    <m:sty m:val="bi"/>
                  </m:rPr>
                  <w:rPr>
                    <w:rFonts w:hint="default" w:ascii="Cambria Math" w:hAnsi="Cambria Math" w:eastAsia="宋体" w:cs="宋体"/>
                    <w:kern w:val="0"/>
                    <w:sz w:val="24"/>
                    <w:szCs w:val="24"/>
                    <w:lang w:val="en-US" w:eastAsia="zh-CN"/>
                  </w:rPr>
                  <m:t>983</m:t>
                </m:r>
                <m:r>
                  <m:rPr>
                    <m:sty m:val="bi"/>
                  </m:rPr>
                  <w:rPr>
                    <w:rFonts w:hint="eastAsia" w:ascii="Cambria Math" w:hAnsi="Cambria Math" w:eastAsia="宋体" w:cs="宋体"/>
                    <w:kern w:val="0"/>
                    <w:sz w:val="24"/>
                    <w:szCs w:val="24"/>
                  </w:rPr>
                  <m:t>mm</m:t>
                </m:r>
              </m:oMath>
            </m:oMathPara>
          </w:p>
        </w:tc>
      </w:tr>
      <w:tr w14:paraId="63C8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2988" w:type="dxa"/>
            <w:vAlign w:val="center"/>
          </w:tcPr>
          <w:p w14:paraId="4DE39217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微安表零指示次数  </w:t>
            </w:r>
            <w:r>
              <w:rPr>
                <w:rFonts w:hint="eastAsia" w:ascii="宋体" w:hAnsi="宋体" w:eastAsia="宋体" w:cs="Times New Roman"/>
                <w:position w:val="-10"/>
                <w:sz w:val="24"/>
                <w:szCs w:val="24"/>
              </w:rPr>
              <w:object>
                <v:shape id="_x0000_i1081" o:spt="75" type="#_x0000_t75" style="height:15.5pt;width:29.9pt;" o:ole="t" filled="f" o:preferrelative="t" stroked="f" coordsize="21600,21600">
                  <v:path/>
                  <v:fill on="f" focussize="0,0"/>
                  <v:stroke on="f" joinstyle="miter"/>
                  <v:imagedata r:id="rId117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16">
                  <o:LockedField>false</o:LockedField>
                </o:OLEObject>
              </w:object>
            </w:r>
          </w:p>
        </w:tc>
        <w:tc>
          <w:tcPr>
            <w:tcW w:w="2880" w:type="dxa"/>
          </w:tcPr>
          <w:p w14:paraId="2E684A82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71FF2202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5</w:t>
            </w:r>
          </w:p>
        </w:tc>
      </w:tr>
      <w:tr w14:paraId="1CAD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8" w:type="dxa"/>
            <w:vAlign w:val="center"/>
          </w:tcPr>
          <w:p w14:paraId="22431B06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可动板总位移 </w:t>
            </w:r>
            <w:r>
              <w:rPr>
                <w:rFonts w:hint="eastAsia" w:ascii="宋体" w:hAnsi="宋体" w:eastAsia="宋体" w:cs="Times New Roman"/>
                <w:position w:val="-10"/>
                <w:sz w:val="24"/>
                <w:szCs w:val="24"/>
              </w:rPr>
              <w:object>
                <v:shape id="_x0000_i1082" o:spt="75" type="#_x0000_t75" style="height:16.6pt;width:47.1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18">
                  <o:LockedField>false</o:LockedField>
                </o:OLEObject>
              </w:object>
            </w:r>
          </w:p>
        </w:tc>
        <w:tc>
          <w:tcPr>
            <w:tcW w:w="2880" w:type="dxa"/>
          </w:tcPr>
          <w:p w14:paraId="03706DD4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54.814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mm</w:t>
            </w:r>
          </w:p>
        </w:tc>
        <w:tc>
          <w:tcPr>
            <w:tcW w:w="2520" w:type="dxa"/>
          </w:tcPr>
          <w:p w14:paraId="0B321DC8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63.598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mm</w:t>
            </w:r>
          </w:p>
        </w:tc>
      </w:tr>
      <w:tr w14:paraId="42B5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8" w:type="dxa"/>
            <w:tcBorders>
              <w:right w:val="single" w:color="auto" w:sz="4" w:space="0"/>
            </w:tcBorders>
            <w:vAlign w:val="center"/>
          </w:tcPr>
          <w:p w14:paraId="3F2C24DF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自由空间中波长 </w:t>
            </w:r>
            <w:r>
              <w:rPr>
                <w:rFonts w:hint="eastAsia" w:ascii="宋体" w:hAnsi="宋体" w:eastAsia="宋体" w:cs="Times New Roman"/>
                <w:position w:val="-22"/>
                <w:sz w:val="24"/>
                <w:szCs w:val="24"/>
              </w:rPr>
              <w:object>
                <v:shape id="_x0000_i1083" o:spt="75" type="#_x0000_t75" style="height:27.7pt;width:38.2pt;" o:ole="t" filled="f" o:preferrelative="t" stroked="f" coordsize="21600,21600">
                  <v:path/>
                  <v:fill on="f" focussize="0,0"/>
                  <v:stroke on="f" joinstyle="miter"/>
                  <v:imagedata r:id="rId121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0">
                  <o:LockedField>false</o:LockedField>
                </o:OLEObject>
              </w:object>
            </w:r>
          </w:p>
        </w:tc>
        <w:tc>
          <w:tcPr>
            <w:tcW w:w="2880" w:type="dxa"/>
            <w:tcBorders>
              <w:left w:val="single" w:color="auto" w:sz="4" w:space="0"/>
              <w:right w:val="single" w:color="auto" w:sz="4" w:space="0"/>
            </w:tcBorders>
          </w:tcPr>
          <w:p w14:paraId="1B8F6451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36.543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mm</w:t>
            </w:r>
          </w:p>
        </w:tc>
        <w:tc>
          <w:tcPr>
            <w:tcW w:w="2520" w:type="dxa"/>
            <w:tcBorders>
              <w:left w:val="single" w:color="auto" w:sz="4" w:space="0"/>
            </w:tcBorders>
          </w:tcPr>
          <w:p w14:paraId="67084114">
            <w:pPr>
              <w:autoSpaceDE w:val="0"/>
              <w:autoSpaceDN w:val="0"/>
              <w:adjustRightInd w:val="0"/>
              <w:ind w:right="216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31.799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mm</w:t>
            </w:r>
          </w:p>
        </w:tc>
      </w:tr>
      <w:tr w14:paraId="45AC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8" w:type="dxa"/>
            <w:tcBorders>
              <w:right w:val="single" w:color="auto" w:sz="4" w:space="0"/>
            </w:tcBorders>
            <w:vAlign w:val="center"/>
          </w:tcPr>
          <w:p w14:paraId="49AE36E2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波的相位常数 </w:t>
            </w:r>
            <w:r>
              <w:rPr>
                <w:rFonts w:hint="eastAsia" w:ascii="宋体" w:hAnsi="宋体" w:eastAsia="宋体" w:cs="Times New Roman"/>
                <w:position w:val="-22"/>
                <w:sz w:val="24"/>
                <w:szCs w:val="24"/>
              </w:rPr>
              <w:object>
                <v:shape id="_x0000_i1084" o:spt="75" type="#_x0000_t75" style="height:27.7pt;width:34.9pt;" o:ole="t" filled="f" o:preferrelative="t" stroked="f" coordsize="21600,21600">
                  <v:path/>
                  <v:fill on="f" focussize="0,0"/>
                  <v:stroke on="f" joinstyle="miter"/>
                  <v:imagedata r:id="rId123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2">
                  <o:LockedField>false</o:LockedField>
                </o:OLEObject>
              </w:object>
            </w:r>
          </w:p>
        </w:tc>
        <w:tc>
          <w:tcPr>
            <w:tcW w:w="2880" w:type="dxa"/>
            <w:tcBorders>
              <w:left w:val="single" w:color="auto" w:sz="4" w:space="0"/>
              <w:right w:val="single" w:color="auto" w:sz="4" w:space="0"/>
            </w:tcBorders>
          </w:tcPr>
          <w:p w14:paraId="3B7C4622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171.94</w:t>
            </w:r>
          </w:p>
        </w:tc>
        <w:tc>
          <w:tcPr>
            <w:tcW w:w="2520" w:type="dxa"/>
            <w:tcBorders>
              <w:left w:val="single" w:color="auto" w:sz="4" w:space="0"/>
            </w:tcBorders>
          </w:tcPr>
          <w:p w14:paraId="299B4B83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197.59</w:t>
            </w:r>
          </w:p>
        </w:tc>
      </w:tr>
      <w:tr w14:paraId="40E5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8" w:type="dxa"/>
            <w:tcBorders>
              <w:right w:val="single" w:color="auto" w:sz="4" w:space="0"/>
            </w:tcBorders>
            <w:vAlign w:val="center"/>
          </w:tcPr>
          <w:p w14:paraId="0C7C1687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 xml:space="preserve">波的相速度 </w:t>
            </w:r>
            <w:r>
              <w:rPr>
                <w:rFonts w:hint="eastAsia" w:ascii="宋体" w:hAnsi="宋体" w:eastAsia="宋体" w:cs="Times New Roman"/>
                <w:position w:val="-22"/>
                <w:sz w:val="24"/>
                <w:szCs w:val="24"/>
              </w:rPr>
              <w:object>
                <v:shape id="_x0000_i1085" o:spt="75" type="#_x0000_t75" style="height:27.7pt;width:42.1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4">
                  <o:LockedField>false</o:LockedField>
                </o:OLEObject>
              </w:object>
            </w:r>
          </w:p>
        </w:tc>
        <w:tc>
          <w:tcPr>
            <w:tcW w:w="2880" w:type="dxa"/>
            <w:tcBorders>
              <w:left w:val="single" w:color="auto" w:sz="4" w:space="0"/>
              <w:right w:val="single" w:color="auto" w:sz="4" w:space="0"/>
            </w:tcBorders>
          </w:tcPr>
          <w:p w14:paraId="0F78EC99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3.14</w:t>
            </w:r>
            <m:oMath>
              <m:r>
                <m:rPr>
                  <m:sty m:val="bi"/>
                </m:rPr>
                <w:rPr>
                  <w:rFonts w:ascii="Cambria Math" w:hAnsi="Cambria Math" w:eastAsia="宋体" w:cs="宋体"/>
                  <w:kern w:val="0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0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0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sup>
              </m:sSup>
              <m:r>
                <m:rPr>
                  <m:sty m:val="bi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</w:rPr>
                <m:t>m/s</m:t>
              </m:r>
            </m:oMath>
          </w:p>
        </w:tc>
        <w:tc>
          <w:tcPr>
            <w:tcW w:w="2520" w:type="dxa"/>
            <w:tcBorders>
              <w:left w:val="single" w:color="auto" w:sz="4" w:space="0"/>
            </w:tcBorders>
          </w:tcPr>
          <w:p w14:paraId="2D195BDC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2.98</w:t>
            </w:r>
            <m:oMath>
              <m:r>
                <m:rPr>
                  <m:sty m:val="bi"/>
                </m:rPr>
                <w:rPr>
                  <w:rFonts w:ascii="Cambria Math" w:hAnsi="Cambria Math" w:eastAsia="宋体" w:cs="宋体"/>
                  <w:kern w:val="0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0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eastAsia="宋体" w:cs="宋体"/>
                      <w:kern w:val="0"/>
                      <w:sz w:val="24"/>
                      <w:szCs w:val="24"/>
                    </w:rPr>
                    <m:t>8</m:t>
                  </m:r>
                  <m:ctrlPr>
                    <w:rPr>
                      <w:rFonts w:ascii="Cambria Math" w:hAnsi="Cambria Math" w:eastAsia="宋体" w:cs="宋体"/>
                      <w:b/>
                      <w:i/>
                      <w:kern w:val="0"/>
                      <w:sz w:val="24"/>
                      <w:szCs w:val="24"/>
                    </w:rPr>
                  </m:ctrlPr>
                </m:sup>
              </m:sSup>
              <m:r>
                <m:rPr>
                  <m:sty m:val="bi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</w:rPr>
                <m:t>m/s</m:t>
              </m:r>
            </m:oMath>
          </w:p>
        </w:tc>
      </w:tr>
    </w:tbl>
    <w:p w14:paraId="2A8BA35A">
      <w:pPr>
        <w:pStyle w:val="6"/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实验结果分析</w:t>
      </w:r>
    </w:p>
    <w:p w14:paraId="7C6489E2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（1）当信号源输入波长为</w:t>
      </w:r>
      <w:r>
        <w:rPr>
          <w:rFonts w:ascii="宋体" w:hAnsi="宋体" w:eastAsia="宋体"/>
          <w:sz w:val="24"/>
          <w:szCs w:val="24"/>
        </w:rPr>
        <w:t>34.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884</w:t>
      </w:r>
      <w:r>
        <w:rPr>
          <w:rFonts w:ascii="宋体" w:hAnsi="宋体" w:eastAsia="宋体"/>
          <w:sz w:val="24"/>
          <w:szCs w:val="24"/>
        </w:rPr>
        <w:t>mm时微安表零点次数为四次，符合要</w:t>
      </w:r>
      <w:r>
        <w:rPr>
          <w:rFonts w:hint="eastAsia" w:ascii="宋体" w:hAnsi="宋体" w:eastAsia="宋体"/>
          <w:sz w:val="24"/>
          <w:szCs w:val="24"/>
        </w:rPr>
        <w:t>求，根据测量数据可得测量结果为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36.543</w:t>
      </w:r>
      <w:r>
        <w:rPr>
          <w:rFonts w:ascii="宋体" w:hAnsi="宋体" w:eastAsia="宋体"/>
          <w:sz w:val="24"/>
          <w:szCs w:val="24"/>
        </w:rPr>
        <w:t>mm。故实验误差为</w:t>
      </w:r>
    </w:p>
    <w:p w14:paraId="736E340D">
      <w:pPr>
        <w:jc w:val="left"/>
        <w:rPr>
          <w:rFonts w:hint="eastAsia" w:ascii="宋体" w:hAnsi="宋体" w:eastAsia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/>
              <w:sz w:val="24"/>
              <w:szCs w:val="24"/>
            </w:rPr>
            <m:t>E=</m:t>
          </m:r>
          <m:d>
            <m:dPr>
              <m:begChr m:val="|"/>
              <m:endChr m:val="|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测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理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理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/>
              <w:sz w:val="24"/>
              <w:szCs w:val="24"/>
            </w:rPr>
            <m:t>×100%=</m:t>
          </m:r>
          <m:d>
            <m:dPr>
              <m:begChr m:val="|"/>
              <m:endChr m:val="|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3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6.543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−34.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884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34.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884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/>
              <w:sz w:val="24"/>
              <w:szCs w:val="24"/>
            </w:rPr>
            <m:t>×100%=</m:t>
          </m:r>
          <m:r>
            <m:rPr/>
            <w:rPr>
              <w:rFonts w:hint="default" w:ascii="Cambria Math" w:hAnsi="Cambria Math" w:eastAsia="宋体"/>
              <w:sz w:val="24"/>
              <w:szCs w:val="24"/>
              <w:lang w:val="en-US" w:eastAsia="zh-CN"/>
            </w:rPr>
            <m:t>4</m:t>
          </m:r>
          <m:r>
            <m:rPr/>
            <w:rPr>
              <w:rFonts w:ascii="Cambria Math" w:hAnsi="Cambria Math" w:eastAsia="宋体"/>
              <w:sz w:val="24"/>
              <w:szCs w:val="24"/>
            </w:rPr>
            <m:t>.7%</m:t>
          </m:r>
        </m:oMath>
      </m:oMathPara>
    </w:p>
    <w:p w14:paraId="615FCB30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（2）当信号源输入波长为当信号源输入波长为</w:t>
      </w:r>
      <w:r>
        <w:rPr>
          <w:rFonts w:ascii="宋体" w:hAnsi="宋体" w:eastAsia="宋体"/>
          <w:sz w:val="24"/>
          <w:szCs w:val="24"/>
        </w:rPr>
        <w:t>31.9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83</w:t>
      </w:r>
      <w:r>
        <w:rPr>
          <w:rFonts w:ascii="宋体" w:hAnsi="宋体" w:eastAsia="宋体"/>
          <w:sz w:val="24"/>
          <w:szCs w:val="24"/>
        </w:rPr>
        <w:t>mm时微安表零点次数为四次，符合要</w:t>
      </w:r>
      <w:r>
        <w:rPr>
          <w:rFonts w:hint="eastAsia" w:ascii="宋体" w:hAnsi="宋体" w:eastAsia="宋体"/>
          <w:sz w:val="24"/>
          <w:szCs w:val="24"/>
        </w:rPr>
        <w:t>求，根据测量数据可得测量结果为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1.799</w:t>
      </w:r>
      <w:r>
        <w:rPr>
          <w:rFonts w:ascii="宋体" w:hAnsi="宋体" w:eastAsia="宋体"/>
          <w:sz w:val="24"/>
          <w:szCs w:val="24"/>
        </w:rPr>
        <w:t>mm。故实验误差为</w:t>
      </w:r>
    </w:p>
    <w:p w14:paraId="3302D345">
      <w:pPr>
        <w:jc w:val="left"/>
        <w:rPr>
          <w:rFonts w:hint="eastAsia" w:ascii="宋体" w:hAnsi="宋体" w:eastAsia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/>
              <w:sz w:val="24"/>
              <w:szCs w:val="24"/>
            </w:rPr>
            <m:t>E=</m:t>
          </m:r>
          <m:d>
            <m:dPr>
              <m:begChr m:val="|"/>
              <m:endChr m:val="|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测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理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/>
                          <w:sz w:val="24"/>
                          <w:szCs w:val="24"/>
                        </w:rPr>
                        <m:t>理</m:t>
                      </m:r>
                      <m:ctrlPr>
                        <w:rPr>
                          <w:rFonts w:ascii="Cambria Math" w:hAnsi="Cambria Math" w:eastAsia="宋体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/>
              <w:sz w:val="24"/>
              <w:szCs w:val="24"/>
            </w:rPr>
            <m:t>×100%=</m:t>
          </m:r>
          <m:d>
            <m:dPr>
              <m:begChr m:val="|"/>
              <m:endChr m:val="|"/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3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1.799</m:t>
                  </m:r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−31.9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83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宋体"/>
                      <w:sz w:val="24"/>
                      <w:szCs w:val="24"/>
                    </w:rPr>
                    <m:t>31.9</m:t>
                  </m:r>
                  <m:r>
                    <m:rPr/>
                    <w:rPr>
                      <w:rFonts w:hint="default" w:ascii="Cambria Math" w:hAnsi="Cambria Math" w:eastAsia="宋体"/>
                      <w:sz w:val="24"/>
                      <w:szCs w:val="24"/>
                      <w:lang w:val="en-US" w:eastAsia="zh-CN"/>
                    </w:rPr>
                    <m:t>83</m:t>
                  </m:r>
                  <m:ctrlPr>
                    <w:rPr>
                      <w:rFonts w:ascii="Cambria Math" w:hAnsi="Cambria Math" w:eastAsia="宋体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/>
              <w:sz w:val="24"/>
              <w:szCs w:val="24"/>
            </w:rPr>
            <m:t>×100%=</m:t>
          </m:r>
          <m:r>
            <m:rPr/>
            <w:rPr>
              <w:rFonts w:hint="default" w:ascii="Cambria Math" w:hAnsi="Cambria Math" w:eastAsia="宋体"/>
              <w:sz w:val="24"/>
              <w:szCs w:val="24"/>
              <w:lang w:val="en-US" w:eastAsia="zh-CN"/>
            </w:rPr>
            <m:t>0.6</m:t>
          </m:r>
          <m:r>
            <m:rPr/>
            <w:rPr>
              <w:rFonts w:ascii="Cambria Math" w:hAnsi="Cambria Math" w:eastAsia="宋体"/>
              <w:sz w:val="24"/>
              <w:szCs w:val="24"/>
            </w:rPr>
            <m:t>%</m:t>
          </m:r>
        </m:oMath>
      </m:oMathPara>
    </w:p>
    <w:p w14:paraId="31EB9D61">
      <w:pPr>
        <w:pStyle w:val="7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hint="eastAsia"/>
          <w:sz w:val="24"/>
          <w:szCs w:val="24"/>
          <w:lang w:val="en-US" w:eastAsia="zh-CN"/>
        </w:rPr>
        <w:t>可见两次实验的误差都在5%以内，均在可接受范围内。特别的，对于9.38GHz的误差更加小，这应该与次数n更大有关，相比于第一个8.60GHz的实验，进一步避免了偶然误差。否则，因为微安表的指针比较灵敏，有时候并不能准确判断是什么位置微安表指向零，所以在n次数比较少的时候就可能有比较大的偶然误差。</w:t>
      </w:r>
    </w:p>
    <w:p w14:paraId="7C3C14A7">
      <w:pPr>
        <w:pStyle w:val="6"/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实验思考</w:t>
      </w:r>
    </w:p>
    <w:p w14:paraId="5F3164FB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问题：用相干波测量自由空间波长时，介质板所放位置，为什么必须如图</w:t>
      </w:r>
      <w:r>
        <w:t>1所示。若把介质板转90。，将发生何种现象？这时，能否测准电磁波波</w:t>
      </w:r>
      <w:r>
        <w:rPr>
          <w:rFonts w:hint="eastAsia"/>
        </w:rPr>
        <w:t>长？为什么？</w:t>
      </w:r>
    </w:p>
    <w:p w14:paraId="39000EF1">
      <w:pPr>
        <w:pStyle w:val="7"/>
        <w:ind w:firstLine="480" w:firstLineChars="200"/>
        <w:rPr>
          <w:rFonts w:hint="eastAsia"/>
          <w:lang w:val="en-US" w:eastAsia="zh-CN"/>
        </w:rPr>
      </w:pPr>
      <w:r>
        <w:rPr>
          <w:rFonts w:hint="eastAsia"/>
        </w:rPr>
        <w:t>答：这样放置可以</w:t>
      </w:r>
      <w:r>
        <w:rPr>
          <w:rFonts w:hint="eastAsia"/>
          <w:lang w:val="en-US" w:eastAsia="zh-CN"/>
        </w:rPr>
        <w:t>尽量</w:t>
      </w:r>
      <w:r>
        <w:rPr>
          <w:rFonts w:hint="eastAsia"/>
        </w:rPr>
        <w:t>抵消</w:t>
      </w:r>
      <w:r>
        <w:rPr>
          <w:rFonts w:hint="eastAsia"/>
          <w:lang w:val="en-US" w:eastAsia="zh-CN"/>
        </w:rPr>
        <w:t>光路路程带来的误差，</w:t>
      </w:r>
      <w:r>
        <w:rPr>
          <w:rFonts w:hint="eastAsia"/>
        </w:rPr>
        <w:t>因为经介质板反射的波的路径为反射—反射—</w:t>
      </w:r>
      <w:r>
        <w:rPr>
          <w:rFonts w:hint="eastAsia"/>
          <w:lang w:val="en-US" w:eastAsia="zh-CN"/>
        </w:rPr>
        <w:t>透</w:t>
      </w:r>
      <w:r>
        <w:rPr>
          <w:rFonts w:hint="eastAsia"/>
        </w:rPr>
        <w:t>射，经反射板反射的波的路径为</w:t>
      </w:r>
      <w:r>
        <w:rPr>
          <w:rFonts w:hint="eastAsia"/>
          <w:lang w:val="en-US" w:eastAsia="zh-CN"/>
        </w:rPr>
        <w:t>透</w:t>
      </w:r>
      <w:r>
        <w:rPr>
          <w:rFonts w:hint="eastAsia"/>
        </w:rPr>
        <w:t>射—反射—反射，路径</w:t>
      </w:r>
      <w:r>
        <w:rPr>
          <w:rFonts w:hint="eastAsia"/>
          <w:lang w:val="en-US" w:eastAsia="zh-CN"/>
        </w:rPr>
        <w:t>是基本</w:t>
      </w:r>
      <w:r>
        <w:rPr>
          <w:rFonts w:hint="eastAsia"/>
        </w:rPr>
        <w:t>相同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这样就能确保两束波能够干涉</w:t>
      </w:r>
      <w:r>
        <w:rPr>
          <w:rFonts w:hint="eastAsia"/>
        </w:rPr>
        <w:t xml:space="preserve">。 </w:t>
      </w:r>
      <w:r>
        <w:rPr>
          <w:rFonts w:hint="eastAsia"/>
          <w:lang w:val="en-US" w:eastAsia="zh-CN"/>
        </w:rPr>
        <w:tab/>
      </w:r>
    </w:p>
    <w:p w14:paraId="58D89A93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而若将介质板转过90度，则到达接收喇叭的两路波路径完全不同，一条是直接由介质板反射得到，另一条则经</w:t>
      </w:r>
      <w:r>
        <w:rPr>
          <w:rFonts w:hint="eastAsia"/>
          <w:lang w:val="en-US" w:eastAsia="zh-CN"/>
        </w:rPr>
        <w:t>透</w:t>
      </w:r>
      <w:r>
        <w:rPr>
          <w:rFonts w:hint="eastAsia"/>
        </w:rPr>
        <w:t>射—反射—反射—反射—</w:t>
      </w:r>
      <w:r>
        <w:rPr>
          <w:rFonts w:hint="eastAsia"/>
          <w:lang w:val="en-US" w:eastAsia="zh-CN"/>
        </w:rPr>
        <w:t>透</w:t>
      </w:r>
      <w:r>
        <w:rPr>
          <w:rFonts w:hint="eastAsia"/>
        </w:rPr>
        <w:t>射得到，</w:t>
      </w:r>
      <w:r>
        <w:rPr>
          <w:rFonts w:hint="eastAsia"/>
          <w:lang w:val="en-US" w:eastAsia="zh-CN"/>
        </w:rPr>
        <w:t>两者路径完全不同，无法确保路程差，而且由于路程相差过大，空气中的衰减也会十分比较明显，两者是强度也会有所不同，就无法确定二者能够产生干涉，导致干涉现象消失或极其微弱，也就无法观察到清晰的干涉零点。</w:t>
      </w:r>
    </w:p>
    <w:p w14:paraId="75FB5BE6">
      <w:pPr>
        <w:pStyle w:val="6"/>
        <w:rPr>
          <w:rFonts w:hint="eastAsia"/>
        </w:rPr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结论与收获</w:t>
      </w:r>
    </w:p>
    <w:p w14:paraId="1B630741">
      <w:pPr>
        <w:pStyle w:val="7"/>
        <w:ind w:firstLine="500" w:firstLineChars="200"/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本次实验中，我掌握了利用相干波原理精确测量电磁波波长的方法。在搭建干涉光路并寻找波节点的过程中，我深刻理解了波长、相位常数等核心概念。实验中，通过精确移动可动反射板并记录微安表的零指示位置，我们成功地测量了不同频率下电磁波在自由空间的波长，并进一步计算出相位常数和相速度。并认识到通过增加测量次数可以有效减少偶然误差，从而提升最后实验的测量精度。思考题中对介质板位置作用的分析，更让我理解了实验设计的巧思，那就是通过对称光路设计来平衡两束相干波的路径与损耗，从而能够保证干涉成功、测量准确。</w:t>
      </w:r>
    </w:p>
    <w:p w14:paraId="4CC69723">
      <w:pPr>
        <w:pStyle w:val="7"/>
        <w:rPr>
          <w:rFonts w:hint="eastAsia"/>
        </w:rPr>
      </w:pPr>
      <w:r>
        <w:br w:type="page"/>
      </w:r>
    </w:p>
    <w:p w14:paraId="4C6E545C">
      <w:pPr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bookmarkStart w:id="5" w:name="_Hlk185453899"/>
      <w:r>
        <w:rPr>
          <w:rFonts w:hint="eastAsia" w:ascii="宋体" w:hAnsi="宋体" w:eastAsia="宋体" w:cs="Times New Roman"/>
          <w:b/>
          <w:sz w:val="32"/>
          <w:szCs w:val="32"/>
        </w:rPr>
        <w:t xml:space="preserve">实验二 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电磁波的极化</w:t>
      </w:r>
    </w:p>
    <w:bookmarkEnd w:id="5"/>
    <w:p w14:paraId="3FA73D5D">
      <w:pPr>
        <w:pStyle w:val="6"/>
        <w:rPr>
          <w:rFonts w:hint="eastAsia"/>
        </w:rPr>
      </w:pPr>
      <w:bookmarkStart w:id="6" w:name="_Hlk185453981"/>
      <w:r>
        <w:rPr>
          <w:rFonts w:hint="eastAsia"/>
        </w:rPr>
        <w:t>1</w:t>
      </w:r>
      <w:r>
        <w:t>.</w:t>
      </w:r>
      <w:r>
        <w:rPr>
          <w:rFonts w:hint="eastAsia"/>
        </w:rPr>
        <w:t>实验目的</w:t>
      </w:r>
    </w:p>
    <w:p w14:paraId="0DEA00DD">
      <w:pPr>
        <w:pStyle w:val="7"/>
        <w:rPr>
          <w:rFonts w:hint="eastAsia"/>
        </w:rPr>
      </w:pPr>
      <w:r>
        <w:rPr>
          <w:rStyle w:val="8"/>
          <w:rFonts w:hint="eastAsia"/>
        </w:rPr>
        <w:t>研究线极化、圆极化和椭圆极化电磁波的产生和各自的特点</w:t>
      </w:r>
      <w:r>
        <w:rPr>
          <w:rFonts w:hint="eastAsia"/>
        </w:rPr>
        <w:t>。</w:t>
      </w:r>
    </w:p>
    <w:p w14:paraId="267DED03">
      <w:pPr>
        <w:pStyle w:val="6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实验内容</w:t>
      </w:r>
    </w:p>
    <w:p w14:paraId="7846C3B9">
      <w:pPr>
        <w:pStyle w:val="7"/>
        <w:rPr>
          <w:rFonts w:hint="eastAsia" w:cs="Times New Roman"/>
          <w:b/>
        </w:rPr>
      </w:pPr>
      <w:r>
        <w:rPr>
          <w:rFonts w:hint="eastAsia"/>
        </w:rPr>
        <w:t>（1）圆极化波的调整与测试</w:t>
      </w:r>
    </w:p>
    <w:p w14:paraId="4DCF7F40">
      <w:pPr>
        <w:pStyle w:val="7"/>
        <w:rPr>
          <w:rFonts w:hint="eastAsia"/>
        </w:rPr>
      </w:pPr>
      <w:r>
        <w:rPr>
          <w:rFonts w:hint="eastAsia"/>
        </w:rPr>
        <w:t>（2）线极化波的调整与测试</w:t>
      </w:r>
    </w:p>
    <w:p w14:paraId="2C519B95">
      <w:pPr>
        <w:pStyle w:val="7"/>
        <w:rPr>
          <w:rFonts w:hint="eastAsia"/>
        </w:rPr>
      </w:pPr>
      <w:r>
        <w:rPr>
          <w:rFonts w:hint="eastAsia"/>
        </w:rPr>
        <w:t>（3）椭圆极化波的调整与测试</w:t>
      </w:r>
    </w:p>
    <w:p w14:paraId="51CA7B18">
      <w:pPr>
        <w:pStyle w:val="6"/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实验原理</w:t>
      </w:r>
    </w:p>
    <w:p w14:paraId="5FE12AFF">
      <w:pPr>
        <w:pStyle w:val="7"/>
        <w:rPr>
          <w:rFonts w:hint="eastAsia"/>
        </w:rPr>
      </w:pPr>
      <w:r>
        <w:rPr>
          <w:rFonts w:hint="eastAsia"/>
        </w:rPr>
        <w:t>（1）所使用的实验仪器</w:t>
      </w:r>
    </w:p>
    <w:p w14:paraId="202B3E17">
      <w:pPr>
        <w:pStyle w:val="7"/>
        <w:rPr>
          <w:rFonts w:hint="eastAsia"/>
        </w:rPr>
      </w:pPr>
      <w:r>
        <w:rPr>
          <w:rFonts w:hint="eastAsia"/>
        </w:rPr>
        <w:t>固态信号源</w:t>
      </w:r>
      <w:r>
        <w:t xml:space="preserve">     </w:t>
      </w:r>
      <w:r>
        <w:rPr>
          <w:rFonts w:hint="eastAsia"/>
        </w:rPr>
        <w:t xml:space="preserve">频率计 </w:t>
      </w:r>
      <w:r>
        <w:t xml:space="preserve">    </w:t>
      </w:r>
      <w:r>
        <w:rPr>
          <w:rFonts w:hint="eastAsia"/>
        </w:rPr>
        <w:t xml:space="preserve">衰减器 </w:t>
      </w:r>
      <w:r>
        <w:t xml:space="preserve">    </w:t>
      </w:r>
      <w:r>
        <w:rPr>
          <w:rFonts w:hint="eastAsia"/>
        </w:rPr>
        <w:t>矩形喇叭</w:t>
      </w:r>
    </w:p>
    <w:p w14:paraId="5792CBDA">
      <w:pPr>
        <w:pStyle w:val="7"/>
        <w:rPr>
          <w:rFonts w:hint="eastAsia"/>
        </w:rPr>
      </w:pPr>
      <w:r>
        <w:rPr>
          <w:rFonts w:hint="eastAsia"/>
        </w:rPr>
        <w:t xml:space="preserve">圆形喇叭 </w:t>
      </w:r>
      <w:r>
        <w:t xml:space="preserve">    </w:t>
      </w:r>
      <w:r>
        <w:rPr>
          <w:rFonts w:hint="eastAsia"/>
        </w:rPr>
        <w:t xml:space="preserve">检波器 </w:t>
      </w:r>
      <w:r>
        <w:t xml:space="preserve">     </w:t>
      </w:r>
      <w:r>
        <w:rPr>
          <w:rFonts w:hint="eastAsia"/>
        </w:rPr>
        <w:t>微安表</w:t>
      </w:r>
    </w:p>
    <w:p w14:paraId="35A350A0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）实验系统框图如图</w:t>
      </w:r>
      <w:r>
        <w:t>2.1</w:t>
      </w:r>
      <w:r>
        <w:rPr>
          <w:rFonts w:hint="eastAsia"/>
        </w:rPr>
        <w:t>所示。</w:t>
      </w:r>
    </w:p>
    <w:bookmarkEnd w:id="6"/>
    <w:p w14:paraId="4C0B1F11">
      <w:pPr>
        <w:ind w:left="420"/>
        <w:jc w:val="center"/>
        <w:rPr>
          <w:rFonts w:ascii="仿宋_GB2312" w:hAnsi="Times New Roman" w:eastAsia="仿宋_GB2312" w:cs="Times New Roman"/>
          <w:sz w:val="28"/>
          <w:szCs w:val="28"/>
        </w:rPr>
      </w:pPr>
      <w:bookmarkStart w:id="7" w:name="_Hlk185454008"/>
      <w:r>
        <w:rPr>
          <w:rFonts w:hint="eastAsia" w:ascii="仿宋_GB2312" w:hAnsi="Times New Roman" w:eastAsia="仿宋_GB2312" w:cs="Times New Roman"/>
          <w:sz w:val="28"/>
          <w:szCs w:val="28"/>
        </w:rPr>
        <w:object>
          <v:shape id="_x0000_i1086" o:spt="75" type="#_x0000_t75" style="height:250.9pt;width:368.3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SmartDraw.2" ShapeID="_x0000_i1086" DrawAspect="Content" ObjectID="_1468075786" r:id="rId126">
            <o:LockedField>false</o:LockedField>
          </o:OLEObject>
        </w:object>
      </w:r>
      <w:bookmarkEnd w:id="7"/>
      <w:r>
        <w:rPr>
          <w:rFonts w:hint="eastAsia" w:ascii="仿宋_GB2312" w:hAnsi="Times New Roman" w:eastAsia="仿宋_GB2312" w:cs="Times New Roman"/>
          <w:sz w:val="28"/>
          <w:szCs w:val="28"/>
        </w:rPr>
        <w:t>、</w:t>
      </w:r>
    </w:p>
    <w:p w14:paraId="5558C937">
      <w:pPr>
        <w:ind w:left="420"/>
        <w:jc w:val="center"/>
        <w:rPr>
          <w:rFonts w:ascii="仿宋_GB2312" w:hAnsi="Times New Roman" w:eastAsia="仿宋_GB2312" w:cs="Times New Roman"/>
          <w:sz w:val="28"/>
          <w:szCs w:val="28"/>
        </w:rPr>
      </w:pPr>
      <w:bookmarkStart w:id="8" w:name="_Hlk185454016"/>
      <w:r>
        <w:rPr>
          <w:rFonts w:hint="eastAsia" w:ascii="仿宋_GB2312" w:hAnsi="Times New Roman" w:eastAsia="仿宋_GB2312" w:cs="Times New Roman"/>
          <w:sz w:val="28"/>
          <w:szCs w:val="28"/>
        </w:rPr>
        <w:t>图</w:t>
      </w:r>
      <w:r>
        <w:rPr>
          <w:rFonts w:ascii="仿宋_GB2312" w:hAnsi="Times New Roman" w:eastAsia="仿宋_GB2312" w:cs="Times New Roman"/>
          <w:sz w:val="28"/>
          <w:szCs w:val="28"/>
        </w:rPr>
        <w:t>2.1</w:t>
      </w:r>
      <w:r>
        <w:rPr>
          <w:rFonts w:hint="eastAsia" w:ascii="仿宋_GB2312" w:hAnsi="Times New Roman" w:eastAsia="仿宋_GB2312" w:cs="Times New Roman"/>
          <w:sz w:val="28"/>
          <w:szCs w:val="28"/>
        </w:rPr>
        <w:t xml:space="preserve"> 实验系统框图</w:t>
      </w:r>
    </w:p>
    <w:bookmarkEnd w:id="8"/>
    <w:p w14:paraId="4A2C1A92">
      <w:pPr>
        <w:pStyle w:val="7"/>
        <w:ind w:firstLine="480" w:firstLineChars="200"/>
        <w:rPr>
          <w:rFonts w:hint="eastAsia"/>
        </w:rPr>
      </w:pPr>
      <w:bookmarkStart w:id="9" w:name="_Hlk185454033"/>
      <w:r>
        <w:rPr>
          <w:rFonts w:hint="eastAsia"/>
        </w:rPr>
        <w:t>电磁波综合测试仪中辐射喇叭（</w:t>
      </w:r>
      <w:r>
        <w:rPr>
          <w:rFonts w:ascii="Times New Roman" w:cs="Times New Roman"/>
        </w:rPr>
        <w:t>3cm</w:t>
      </w:r>
      <w:r>
        <w:rPr>
          <w:rFonts w:hint="eastAsia"/>
        </w:rPr>
        <w:t>波段）支路由固态信号源、频率计(或波长计)、衰减器及圆形喇叭等组成。固态信号源的工作频率</w:t>
      </w:r>
      <w:r>
        <w:rPr>
          <w:rFonts w:ascii="Times New Roman" w:cs="Times New Roman"/>
          <w:i/>
        </w:rPr>
        <w:t>f</w:t>
      </w:r>
      <w:r>
        <w:rPr>
          <w:rFonts w:ascii="Times New Roman" w:cs="Times New Roman"/>
        </w:rPr>
        <w:t>=9370MHz</w:t>
      </w:r>
      <w:r>
        <w:rPr>
          <w:rFonts w:hint="eastAsia"/>
        </w:rPr>
        <w:t>左右，接收喇叭支路由矩形喇叭、检波器、微安表等组成。</w:t>
      </w:r>
    </w:p>
    <w:p w14:paraId="190439D8">
      <w:pPr>
        <w:pStyle w:val="7"/>
        <w:rPr>
          <w:rFonts w:hint="eastAsia" w:cs="Times New Roman"/>
          <w:bCs/>
        </w:rPr>
      </w:pPr>
      <w:r>
        <w:rPr>
          <w:rFonts w:hint="eastAsia" w:cs="Times New Roman"/>
          <w:bCs/>
        </w:rPr>
        <w:t>（3）原理</w:t>
      </w:r>
    </w:p>
    <w:p w14:paraId="522BCF09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电磁波极化是指电磁波在无限大均匀媒质中传播时，空间某点上电场强度矢量</w:t>
      </w:r>
      <w:r>
        <w:rPr>
          <w:rFonts w:ascii="Times New Roman" w:cs="Times New Roman"/>
          <w:b/>
        </w:rPr>
        <w:t>E</w:t>
      </w:r>
      <w:r>
        <w:rPr>
          <w:rFonts w:hint="eastAsia"/>
        </w:rPr>
        <w:t>的末端随时间变化的轨迹。当电场矢量末端总在一直线上周期地变化时，称为线极化波；当电场矢量末端轨迹是圆或椭圆时，即电场矢量末端总在圆或椭圆上周期地变化时，称为圆极化波或椭圆极化波。</w:t>
      </w:r>
    </w:p>
    <w:p w14:paraId="75B2759E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无论是线极化波，左、右旋圆极化波，左、右旋椭圆极化波，都可由两个同频率且场矢量相互正交的线极化波组合而成。本实验利用方圆波导转换，介质圆波导和圆锥喇叭连接而成的电磁波极化天线，分别研究波的极化——线极化波、圆极化波和椭圆极化波的特性。</w:t>
      </w:r>
    </w:p>
    <w:bookmarkEnd w:id="9"/>
    <w:p w14:paraId="5E9064E6">
      <w:pPr>
        <w:autoSpaceDE w:val="0"/>
        <w:autoSpaceDN w:val="0"/>
        <w:adjustRightInd w:val="0"/>
        <w:spacing w:line="360" w:lineRule="auto"/>
        <w:ind w:right="6"/>
        <w:jc w:val="center"/>
        <w:rPr>
          <w:rFonts w:ascii="Times New Roman" w:hAnsi="Times New Roman" w:eastAsia="宋体" w:cs="Times New Roman"/>
          <w:szCs w:val="24"/>
        </w:rPr>
      </w:pPr>
      <w:bookmarkStart w:id="10" w:name="_Hlk185454047"/>
      <w:r>
        <w:rPr>
          <w:rFonts w:ascii="Times New Roman" w:hAnsi="Times New Roman" w:eastAsia="宋体" w:cs="Times New Roman"/>
          <w:szCs w:val="24"/>
        </w:rPr>
        <w:object>
          <v:shape id="_x0000_i1087" o:spt="75" type="#_x0000_t75" style="height:248.7pt;width:360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SmartDraw.2" ShapeID="_x0000_i1087" DrawAspect="Content" ObjectID="_1468075787" r:id="rId128">
            <o:LockedField>false</o:LockedField>
          </o:OLEObject>
        </w:object>
      </w:r>
      <w:bookmarkEnd w:id="10"/>
    </w:p>
    <w:p w14:paraId="5A1D044D">
      <w:pPr>
        <w:autoSpaceDE w:val="0"/>
        <w:autoSpaceDN w:val="0"/>
        <w:adjustRightInd w:val="0"/>
        <w:spacing w:line="360" w:lineRule="auto"/>
        <w:ind w:right="6"/>
        <w:jc w:val="center"/>
        <w:rPr>
          <w:rFonts w:ascii="仿宋_GB2312" w:hAnsi="Times New Roman" w:eastAsia="仿宋_GB2312" w:cs="宋体"/>
          <w:kern w:val="0"/>
          <w:sz w:val="28"/>
          <w:szCs w:val="28"/>
        </w:rPr>
      </w:pPr>
      <w:bookmarkStart w:id="11" w:name="_Hlk185454054"/>
      <w:r>
        <w:rPr>
          <w:rFonts w:hint="eastAsia" w:ascii="仿宋_GB2312" w:hAnsi="Times New Roman" w:eastAsia="仿宋_GB2312" w:cs="宋体"/>
          <w:kern w:val="0"/>
          <w:sz w:val="28"/>
          <w:szCs w:val="28"/>
        </w:rPr>
        <w:t>图2</w:t>
      </w:r>
      <w:r>
        <w:rPr>
          <w:rFonts w:ascii="仿宋_GB2312" w:hAnsi="Times New Roman" w:eastAsia="仿宋_GB2312" w:cs="宋体"/>
          <w:kern w:val="0"/>
          <w:sz w:val="28"/>
          <w:szCs w:val="28"/>
        </w:rPr>
        <w:t>.2</w:t>
      </w:r>
      <w:r>
        <w:rPr>
          <w:rFonts w:hint="eastAsia" w:ascii="仿宋_GB2312" w:hAnsi="Times New Roman" w:eastAsia="仿宋_GB2312" w:cs="宋体"/>
          <w:kern w:val="0"/>
          <w:sz w:val="28"/>
          <w:szCs w:val="28"/>
        </w:rPr>
        <w:t xml:space="preserve"> 圆极化波辐射装置</w:t>
      </w:r>
    </w:p>
    <w:bookmarkEnd w:id="11"/>
    <w:p w14:paraId="263AD3FE">
      <w:pPr>
        <w:autoSpaceDE w:val="0"/>
        <w:autoSpaceDN w:val="0"/>
        <w:adjustRightInd w:val="0"/>
        <w:spacing w:line="360" w:lineRule="auto"/>
        <w:ind w:right="6" w:firstLine="480" w:firstLineChars="200"/>
        <w:rPr>
          <w:rFonts w:ascii="仿宋_GB2312" w:hAnsi="Times New Roman" w:eastAsia="仿宋_GB2312" w:cs="宋体"/>
          <w:kern w:val="0"/>
          <w:sz w:val="28"/>
          <w:szCs w:val="28"/>
        </w:rPr>
      </w:pPr>
      <w:bookmarkStart w:id="12" w:name="_Hlk185454066"/>
      <w:r>
        <w:rPr>
          <w:rStyle w:val="8"/>
          <w:rFonts w:hint="eastAsia"/>
        </w:rPr>
        <w:t>图2</w:t>
      </w:r>
      <w:r>
        <w:rPr>
          <w:rStyle w:val="8"/>
        </w:rPr>
        <w:t>.</w:t>
      </w:r>
      <w:r>
        <w:rPr>
          <w:rStyle w:val="8"/>
          <w:rFonts w:hint="eastAsia"/>
        </w:rPr>
        <w:t>2所示为圆极化波辐射装置，其中介质圆波导可做</w:t>
      </w:r>
      <w:r>
        <w:rPr>
          <w:rStyle w:val="8"/>
        </w:rPr>
        <w:t>3600</w:t>
      </w:r>
      <w:r>
        <w:rPr>
          <w:rStyle w:val="8"/>
          <w:rFonts w:hint="eastAsia"/>
        </w:rPr>
        <w:t>旋转，并有刻度指示转动的角度。当</w:t>
      </w:r>
      <w:r>
        <w:rPr>
          <w:rStyle w:val="8"/>
        </w:rPr>
        <w:t>TE10</w:t>
      </w:r>
      <w:r>
        <w:rPr>
          <w:rStyle w:val="8"/>
          <w:rFonts w:hint="eastAsia"/>
        </w:rPr>
        <w:t>波经方圆波导转换到圆波导口面时则过渡为</w:t>
      </w:r>
      <w:r>
        <w:rPr>
          <w:rStyle w:val="8"/>
        </w:rPr>
        <w:t>TE11</w:t>
      </w:r>
      <w:r>
        <w:rPr>
          <w:rStyle w:val="8"/>
          <w:rFonts w:hint="eastAsia"/>
        </w:rPr>
        <w:t>波，并在介质圆波导内分成两个分量的波，即垂直界面片平面的一个分量和平行介质面的一个分量。实验装置设计为</w:t>
      </w:r>
      <w:r>
        <w:rPr>
          <w:rStyle w:val="8"/>
        </w:rPr>
        <w:t>9370MHz</w:t>
      </w:r>
      <w:r>
        <w:rPr>
          <w:rStyle w:val="8"/>
          <w:rFonts w:hint="eastAsia"/>
        </w:rPr>
        <w:t>左右使两个分量的波相位差</w:t>
      </w:r>
      <w:r>
        <w:rPr>
          <w:rStyle w:val="8"/>
        </w:rPr>
        <w:t>900</w:t>
      </w:r>
      <w:r>
        <w:rPr>
          <w:rStyle w:val="8"/>
          <w:rFonts w:hint="eastAsia"/>
        </w:rPr>
        <w:t>，适当调整介质圆波导（亦可转动介质片）的角度使两个分量</w:t>
      </w:r>
      <w:r>
        <w:rPr>
          <w:rFonts w:hint="eastAsia" w:ascii="仿宋_GB2312" w:hAnsi="Times New Roman" w:eastAsia="仿宋_GB2312" w:cs="宋体"/>
          <w:kern w:val="0"/>
          <w:sz w:val="28"/>
          <w:szCs w:val="28"/>
        </w:rPr>
        <w:t>的幅度相等时则可得到圆极化波。</w:t>
      </w:r>
    </w:p>
    <w:p w14:paraId="39E37ED5">
      <w:pPr>
        <w:autoSpaceDE w:val="0"/>
        <w:autoSpaceDN w:val="0"/>
        <w:adjustRightInd w:val="0"/>
        <w:spacing w:line="360" w:lineRule="auto"/>
        <w:ind w:right="6"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当方圆波导使</w:t>
      </w:r>
      <w:r>
        <w:rPr>
          <w:rFonts w:ascii="宋体" w:hAnsi="宋体" w:eastAsia="宋体" w:cs="Times New Roman"/>
          <w:kern w:val="0"/>
          <w:sz w:val="24"/>
          <w:szCs w:val="24"/>
        </w:rPr>
        <w:t>TE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10</w:t>
      </w:r>
      <w:r>
        <w:rPr>
          <w:rFonts w:hint="eastAsia" w:ascii="宋体" w:hAnsi="宋体" w:eastAsia="宋体" w:cs="宋体"/>
          <w:kern w:val="0"/>
          <w:sz w:val="24"/>
          <w:szCs w:val="24"/>
        </w:rPr>
        <w:t>的</w:t>
      </w:r>
      <w:r>
        <w:rPr>
          <w:rFonts w:ascii="宋体" w:hAnsi="宋体" w:eastAsia="宋体" w:cs="Times New Roman"/>
          <w:kern w:val="0"/>
          <w:sz w:val="24"/>
          <w:szCs w:val="24"/>
        </w:rPr>
        <w:t>EY</w:t>
      </w:r>
      <w:r>
        <w:rPr>
          <w:rFonts w:hint="eastAsia" w:ascii="宋体" w:hAnsi="宋体" w:eastAsia="宋体" w:cs="宋体"/>
          <w:kern w:val="0"/>
          <w:sz w:val="24"/>
          <w:szCs w:val="24"/>
        </w:rPr>
        <w:t>波过渡到</w:t>
      </w:r>
      <w:r>
        <w:rPr>
          <w:rFonts w:ascii="宋体" w:hAnsi="宋体" w:eastAsia="宋体" w:cs="Times New Roman"/>
          <w:kern w:val="0"/>
          <w:sz w:val="24"/>
          <w:szCs w:val="24"/>
        </w:rPr>
        <w:t>TE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11</w:t>
      </w:r>
      <w:r>
        <w:rPr>
          <w:rFonts w:hint="eastAsia" w:ascii="宋体" w:hAnsi="宋体" w:eastAsia="宋体" w:cs="宋体"/>
          <w:kern w:val="0"/>
          <w:sz w:val="24"/>
          <w:szCs w:val="24"/>
        </w:rPr>
        <w:t>成为</w:t>
      </w:r>
      <w:r>
        <w:rPr>
          <w:rFonts w:ascii="宋体" w:hAnsi="宋体" w:eastAsia="宋体" w:cs="Times New Roman"/>
          <w:kern w:val="0"/>
          <w:sz w:val="24"/>
          <w:szCs w:val="24"/>
        </w:rPr>
        <w:t>RP</w:t>
      </w:r>
      <w:r>
        <w:rPr>
          <w:rFonts w:hint="eastAsia" w:ascii="宋体" w:hAnsi="宋体" w:eastAsia="宋体" w:cs="宋体"/>
          <w:kern w:val="0"/>
          <w:sz w:val="24"/>
          <w:szCs w:val="24"/>
        </w:rPr>
        <w:t>波后，在装有介质片的圆波导段内分成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t</w:t>
      </w:r>
      <w:r>
        <w:rPr>
          <w:rFonts w:hint="eastAsia" w:ascii="宋体" w:hAnsi="宋体" w:eastAsia="宋体" w:cs="宋体"/>
          <w:kern w:val="0"/>
          <w:sz w:val="24"/>
          <w:szCs w:val="24"/>
        </w:rPr>
        <w:t>和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n</w:t>
      </w:r>
      <w:r>
        <w:rPr>
          <w:rFonts w:hint="eastAsia" w:ascii="宋体" w:hAnsi="宋体" w:eastAsia="宋体" w:cs="宋体"/>
          <w:kern w:val="0"/>
          <w:sz w:val="24"/>
          <w:szCs w:val="24"/>
        </w:rPr>
        <w:t>两个分量的波，因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t</w:t>
      </w:r>
      <w:r>
        <w:rPr>
          <w:rFonts w:hint="eastAsia" w:ascii="宋体" w:hAnsi="宋体" w:eastAsia="宋体" w:cs="宋体"/>
          <w:kern w:val="0"/>
          <w:sz w:val="24"/>
          <w:szCs w:val="24"/>
        </w:rPr>
        <w:t>和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n</w:t>
      </w:r>
      <w:r>
        <w:rPr>
          <w:rFonts w:hint="eastAsia" w:ascii="宋体" w:hAnsi="宋体" w:eastAsia="宋体" w:cs="宋体"/>
          <w:kern w:val="0"/>
          <w:sz w:val="24"/>
          <w:szCs w:val="24"/>
        </w:rPr>
        <w:t>的速度不同，</w:t>
      </w:r>
      <w:r>
        <w:rPr>
          <w:rFonts w:ascii="宋体" w:hAnsi="宋体" w:eastAsia="宋体" w:cs="宋体"/>
          <w:kern w:val="0"/>
          <w:position w:val="-12"/>
          <w:sz w:val="24"/>
          <w:szCs w:val="24"/>
        </w:rPr>
        <w:object>
          <v:shape id="_x0000_i1088" o:spt="75" type="#_x0000_t75" style="height:20.5pt;width:104.1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，当介质片的长度</w:t>
      </w:r>
      <w:r>
        <w:rPr>
          <w:rFonts w:ascii="宋体" w:hAnsi="宋体" w:eastAsia="宋体" w:cs="Times New Roman"/>
          <w:i/>
          <w:kern w:val="0"/>
          <w:sz w:val="24"/>
          <w:szCs w:val="24"/>
        </w:rPr>
        <w:t>L</w:t>
      </w:r>
      <w:r>
        <w:rPr>
          <w:rFonts w:hint="eastAsia" w:ascii="宋体" w:hAnsi="宋体" w:eastAsia="宋体" w:cs="宋体"/>
          <w:kern w:val="0"/>
          <w:sz w:val="24"/>
          <w:szCs w:val="24"/>
        </w:rPr>
        <w:t>取得合适时，使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n</w:t>
      </w:r>
      <w:r>
        <w:rPr>
          <w:rFonts w:hint="eastAsia" w:ascii="宋体" w:hAnsi="宋体" w:eastAsia="宋体" w:cs="宋体"/>
          <w:kern w:val="0"/>
          <w:sz w:val="24"/>
          <w:szCs w:val="24"/>
        </w:rPr>
        <w:t>波的相位超前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t</w:t>
      </w:r>
      <w:r>
        <w:rPr>
          <w:rFonts w:hint="eastAsia" w:ascii="宋体" w:hAnsi="宋体" w:eastAsia="宋体" w:cs="宋体"/>
          <w:kern w:val="0"/>
          <w:sz w:val="24"/>
          <w:szCs w:val="24"/>
        </w:rPr>
        <w:t>波的相位</w:t>
      </w:r>
      <w:r>
        <w:rPr>
          <w:rFonts w:ascii="宋体" w:hAnsi="宋体" w:eastAsia="宋体" w:cs="Times New Roman"/>
          <w:kern w:val="0"/>
          <w:sz w:val="24"/>
          <w:szCs w:val="24"/>
        </w:rPr>
        <w:t>90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，这就实现了圆极化波相位条件的要求；为使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t</w:t>
      </w:r>
      <w:r>
        <w:rPr>
          <w:rFonts w:hint="eastAsia" w:ascii="宋体" w:hAnsi="宋体" w:eastAsia="宋体" w:cs="宋体"/>
          <w:kern w:val="0"/>
          <w:sz w:val="24"/>
          <w:szCs w:val="24"/>
        </w:rPr>
        <w:t>和</w:t>
      </w:r>
      <w:r>
        <w:rPr>
          <w:rFonts w:ascii="宋体" w:hAnsi="宋体" w:eastAsia="宋体" w:cs="Times New Roman"/>
          <w:kern w:val="0"/>
          <w:sz w:val="24"/>
          <w:szCs w:val="24"/>
        </w:rPr>
        <w:t>E</w:t>
      </w:r>
      <w:r>
        <w:rPr>
          <w:rFonts w:ascii="宋体" w:hAnsi="宋体" w:eastAsia="宋体" w:cs="Times New Roman"/>
          <w:kern w:val="0"/>
          <w:sz w:val="24"/>
          <w:szCs w:val="24"/>
          <w:vertAlign w:val="subscript"/>
        </w:rPr>
        <w:t>n</w:t>
      </w:r>
      <w:r>
        <w:rPr>
          <w:rFonts w:hint="eastAsia" w:ascii="宋体" w:hAnsi="宋体" w:eastAsia="宋体" w:cs="宋体"/>
          <w:kern w:val="0"/>
          <w:sz w:val="24"/>
          <w:szCs w:val="24"/>
        </w:rPr>
        <w:t>的幅度相等，可使介质片的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89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3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方向跟</w:t>
      </w:r>
      <w:r>
        <w:rPr>
          <w:rFonts w:ascii="宋体" w:hAnsi="宋体" w:eastAsia="宋体" w:cs="Times New Roman"/>
          <w:kern w:val="0"/>
          <w:sz w:val="24"/>
          <w:szCs w:val="24"/>
        </w:rPr>
        <w:t>Y</w:t>
      </w:r>
      <w:r>
        <w:rPr>
          <w:rFonts w:hint="eastAsia" w:ascii="宋体" w:hAnsi="宋体" w:eastAsia="宋体" w:cs="宋体"/>
          <w:kern w:val="0"/>
          <w:sz w:val="24"/>
          <w:szCs w:val="24"/>
        </w:rPr>
        <w:t>轴之间夹角为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0" o:spt="75" type="#_x0000_t75" style="height:15.5pt;width:45.4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，若介质片的损耗略去不计，则有</w:t>
      </w:r>
      <w:r>
        <w:rPr>
          <w:rFonts w:ascii="宋体" w:hAnsi="宋体" w:eastAsia="宋体" w:cs="宋体"/>
          <w:kern w:val="0"/>
          <w:position w:val="-26"/>
          <w:sz w:val="24"/>
          <w:szCs w:val="24"/>
        </w:rPr>
        <w:object>
          <v:shape id="_x0000_i1091" o:spt="75" type="#_x0000_t75" style="height:32.1pt;width:95.8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，实现了圆极化波幅度条件的要求（有时需稍偏离</w:t>
      </w:r>
      <w:r>
        <w:rPr>
          <w:rFonts w:ascii="宋体" w:hAnsi="宋体" w:eastAsia="宋体" w:cs="Times New Roman"/>
          <w:kern w:val="0"/>
          <w:sz w:val="24"/>
          <w:szCs w:val="24"/>
        </w:rPr>
        <w:t>45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以实现幅度相位的要求）。</w:t>
      </w:r>
    </w:p>
    <w:p w14:paraId="678576C3">
      <w:pPr>
        <w:autoSpaceDE w:val="0"/>
        <w:autoSpaceDN w:val="0"/>
        <w:adjustRightInd w:val="0"/>
        <w:spacing w:line="360" w:lineRule="auto"/>
        <w:ind w:right="6"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为了确定圆极化波右旋、左旋的特性，把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2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转到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3" o:spt="75" type="#_x0000_t75" style="height:21.6pt;width:11.1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方向符合右手螺旋规则的波，定为右旋圆极化波；把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4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转到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5" o:spt="75" type="#_x0000_t75" style="height:21.6pt;width:11.1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4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方向符合左手螺旋规则的波，定为左旋圆极化波。</w:t>
      </w:r>
    </w:p>
    <w:p w14:paraId="132847B2">
      <w:pPr>
        <w:autoSpaceDE w:val="0"/>
        <w:autoSpaceDN w:val="0"/>
        <w:adjustRightInd w:val="0"/>
        <w:spacing w:line="360" w:lineRule="auto"/>
        <w:ind w:right="6"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波极化天线除作为圆极化波工作外，也可作线极化波，椭圆极化波工作使用。当作线极化波工作时，介质片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6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5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与Y轴相垂直（或平行）。当作椭圆极化波工作时，介质片</w:t>
      </w:r>
      <w:r>
        <w:rPr>
          <w:rFonts w:ascii="宋体" w:hAnsi="宋体" w:eastAsia="宋体" w:cs="宋体"/>
          <w:kern w:val="0"/>
          <w:sz w:val="24"/>
          <w:szCs w:val="24"/>
        </w:rPr>
        <w:object>
          <v:shape id="_x0000_i1097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与Y夹角可在</w:t>
      </w:r>
      <w:r>
        <w:rPr>
          <w:rFonts w:ascii="宋体" w:hAnsi="宋体" w:eastAsia="宋体" w:cs="宋体"/>
          <w:i/>
          <w:kern w:val="0"/>
          <w:sz w:val="24"/>
          <w:szCs w:val="24"/>
        </w:rPr>
        <w:t></w:t>
      </w:r>
      <w:r>
        <w:rPr>
          <w:rFonts w:ascii="宋体" w:hAnsi="宋体" w:eastAsia="宋体" w:cs="Times New Roman"/>
          <w:kern w:val="0"/>
          <w:sz w:val="24"/>
          <w:szCs w:val="24"/>
        </w:rPr>
        <w:t>=0-45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之间。</w:t>
      </w:r>
    </w:p>
    <w:p w14:paraId="0B532C58">
      <w:pPr>
        <w:rPr>
          <w:rFonts w:ascii="仿宋_GB2312" w:hAnsi="Times New Roman" w:eastAsia="仿宋_GB2312" w:cs="Times New Roman"/>
          <w:b/>
          <w:sz w:val="28"/>
          <w:szCs w:val="28"/>
        </w:rPr>
      </w:pPr>
      <w:r>
        <w:rPr>
          <w:rFonts w:hint="eastAsia" w:ascii="仿宋_GB2312" w:hAnsi="Times New Roman" w:eastAsia="仿宋_GB2312" w:cs="Times New Roman"/>
          <w:b/>
          <w:sz w:val="28"/>
          <w:szCs w:val="28"/>
        </w:rPr>
        <w:t>4.实验步骤</w:t>
      </w:r>
    </w:p>
    <w:p w14:paraId="10D8D3AF">
      <w:pPr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（1）圆极化波的调整与测试</w:t>
      </w:r>
    </w:p>
    <w:p w14:paraId="693D9E63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bookmarkStart w:id="13" w:name="_Hlk185454392"/>
      <w:r>
        <w:rPr>
          <w:rFonts w:hint="eastAsia" w:ascii="宋体" w:hAnsi="宋体" w:eastAsia="宋体" w:cs="宋体"/>
          <w:kern w:val="0"/>
          <w:sz w:val="24"/>
          <w:szCs w:val="24"/>
        </w:rPr>
        <w:t>根据圆极化波的条件，两个同频率的正交场相干波必须幅度相等，相位差</w:t>
      </w:r>
      <w:r>
        <w:rPr>
          <w:rFonts w:hint="eastAsia" w:ascii="宋体" w:hAnsi="宋体" w:eastAsia="宋体" w:cs="宋体"/>
          <w:kern w:val="0"/>
          <w:position w:val="-22"/>
          <w:sz w:val="24"/>
          <w:szCs w:val="24"/>
        </w:rPr>
        <w:object>
          <v:shape id="_x0000_i1098" o:spt="75" type="#_x0000_t75" style="height:27.7pt;width:19.4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bookmarkEnd w:id="13"/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 w14:paraId="7BF2368B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为此将反射板和介质板拿掉，把辐射喇叭换成圆喇叭，转动圆喇叭使介质片的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099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9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方向跟</w:t>
      </w:r>
      <w:r>
        <w:rPr>
          <w:rFonts w:ascii="宋体" w:hAnsi="宋体" w:eastAsia="宋体" w:cs="Times New Roman"/>
          <w:kern w:val="0"/>
          <w:sz w:val="24"/>
          <w:szCs w:val="24"/>
        </w:rPr>
        <w:t>Y</w:t>
      </w:r>
      <w:r>
        <w:rPr>
          <w:rFonts w:hint="eastAsia" w:ascii="宋体" w:hAnsi="宋体" w:eastAsia="宋体" w:cs="宋体"/>
          <w:kern w:val="0"/>
          <w:sz w:val="24"/>
          <w:szCs w:val="24"/>
        </w:rPr>
        <w:t>轴之间夹角为</w:t>
      </w:r>
      <w:r>
        <w:rPr>
          <w:rFonts w:ascii="宋体" w:hAnsi="宋体" w:eastAsia="宋体" w:cs="Times New Roman"/>
          <w:kern w:val="0"/>
          <w:sz w:val="24"/>
          <w:szCs w:val="24"/>
        </w:rPr>
        <w:t>45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左右，然后固定圆喇叭，再把接收喇叭调整到与圆喇叭成一直线。转动接收喇叭，每隔10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测量一次，读取微安表上的读数，并填入下表，最后算出圆极化波的椭圆度</w:t>
      </w:r>
      <w:r>
        <w:rPr>
          <w:rFonts w:ascii="宋体" w:hAnsi="宋体" w:eastAsia="宋体" w:cs="宋体"/>
          <w:kern w:val="0"/>
          <w:position w:val="-14"/>
          <w:sz w:val="24"/>
          <w:szCs w:val="24"/>
        </w:rPr>
        <w:object>
          <v:shape id="_x0000_i1100" o:spt="75" type="#_x0000_t75" style="height:21.6pt;width:73.1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值。</w:t>
      </w:r>
    </w:p>
    <w:bookmarkEnd w:id="12"/>
    <w:p w14:paraId="162378FF">
      <w:pPr>
        <w:keepNext/>
        <w:spacing w:line="360" w:lineRule="auto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bookmarkStart w:id="14" w:name="_Hlk185454205"/>
      <w:r>
        <w:rPr>
          <w:rFonts w:hint="eastAsia" w:ascii="宋体" w:hAnsi="宋体" w:eastAsia="宋体" w:cs="宋体"/>
          <w:kern w:val="0"/>
          <w:sz w:val="24"/>
          <w:szCs w:val="24"/>
        </w:rPr>
        <w:t>表</w:t>
      </w:r>
      <w:r>
        <w:rPr>
          <w:rFonts w:ascii="宋体" w:hAnsi="宋体" w:eastAsia="宋体" w:cs="宋体"/>
          <w:kern w:val="0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kern w:val="0"/>
          <w:sz w:val="24"/>
          <w:szCs w:val="24"/>
        </w:rPr>
        <w:t>圆极化波调整与测试数据表</w:t>
      </w:r>
    </w:p>
    <w:tbl>
      <w:tblPr>
        <w:tblStyle w:val="3"/>
        <w:tblW w:w="500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702"/>
      </w:tblGrid>
      <w:tr w14:paraId="4620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55ED8AA6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4ECDD0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-90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5DE8C78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-80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63CAD9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-70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0DD32C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-60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60F1045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-50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9401223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-40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A0499B6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-30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D89C28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-20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8F8354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-10</w:t>
            </w:r>
          </w:p>
        </w:tc>
        <w:tc>
          <w:tcPr>
            <w:tcW w:w="41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05206073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</w:tr>
      <w:tr w14:paraId="51E7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667E38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0A8FB5E4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50.0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641A034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47.8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5EABC374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48.1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E762DC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49.6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6C80A8F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48.2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349D7CF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46.6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2E8DB19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44.8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0A29F8B8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44.2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07376BE3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43.6</w:t>
            </w:r>
          </w:p>
        </w:tc>
        <w:tc>
          <w:tcPr>
            <w:tcW w:w="41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4328A0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49.3</w:t>
            </w:r>
          </w:p>
        </w:tc>
      </w:tr>
      <w:tr w14:paraId="1177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67CD80E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E79532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F78A0C4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1BC5A9E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1ED29F3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326F453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1BF2538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D03D82B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788C928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599CDB6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41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3875923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127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F204C14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35136E23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53.8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5750A82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57.6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3620F63E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64.1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29937A46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62.4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19C6896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60.1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092E4B3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61.2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4E5C9984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58.8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517A4BC5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55.7</w:t>
            </w:r>
          </w:p>
        </w:tc>
        <w:tc>
          <w:tcPr>
            <w:tcW w:w="408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5BB9B735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50.0</w:t>
            </w:r>
          </w:p>
        </w:tc>
        <w:tc>
          <w:tcPr>
            <w:tcW w:w="410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7EB642A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0D3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68469AC8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椭圆度</w:t>
            </w:r>
          </w:p>
        </w:tc>
        <w:tc>
          <w:tcPr>
            <w:tcW w:w="4084" w:type="pct"/>
            <w:gridSpan w:val="10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</w:tcPr>
          <w:p w14:paraId="0493453B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0.8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24</w:t>
            </w:r>
          </w:p>
        </w:tc>
      </w:tr>
    </w:tbl>
    <w:p w14:paraId="5CEA22BE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420F6FF">
      <w:pPr>
        <w:spacing w:line="360" w:lineRule="auto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（2）线极化波的调整与测试</w:t>
      </w:r>
    </w:p>
    <w:p w14:paraId="1FB04B43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转动圆喇叭使介质片的</w:t>
      </w:r>
      <w:r>
        <w:rPr>
          <w:rFonts w:ascii="宋体" w:hAnsi="宋体" w:eastAsia="宋体" w:cs="宋体"/>
          <w:kern w:val="0"/>
          <w:position w:val="-6"/>
          <w:sz w:val="24"/>
          <w:szCs w:val="24"/>
        </w:rPr>
        <w:object>
          <v:shape id="_x0000_i1101" o:spt="75" type="#_x0000_t75" style="height:21.6pt;width:9.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5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方向跟</w:t>
      </w:r>
      <w:r>
        <w:rPr>
          <w:rFonts w:ascii="宋体" w:hAnsi="宋体" w:eastAsia="宋体" w:cs="Times New Roman"/>
          <w:kern w:val="0"/>
          <w:sz w:val="24"/>
          <w:szCs w:val="24"/>
        </w:rPr>
        <w:t>Y</w:t>
      </w:r>
      <w:r>
        <w:rPr>
          <w:rFonts w:hint="eastAsia" w:ascii="宋体" w:hAnsi="宋体" w:eastAsia="宋体" w:cs="宋体"/>
          <w:kern w:val="0"/>
          <w:sz w:val="24"/>
          <w:szCs w:val="24"/>
        </w:rPr>
        <w:t>轴之间夹角为0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或90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，就可以得到线极化波。固定圆喇叭，转动接收喇叭，每隔10</w:t>
      </w:r>
      <w:r>
        <w:rPr>
          <w:rFonts w:ascii="宋体" w:hAnsi="宋体" w:eastAsia="宋体" w:cs="Times New Roman"/>
          <w:kern w:val="0"/>
          <w:sz w:val="24"/>
          <w:szCs w:val="24"/>
          <w:vertAlign w:val="superscript"/>
        </w:rPr>
        <w:t>0</w:t>
      </w:r>
      <w:r>
        <w:rPr>
          <w:rFonts w:hint="eastAsia" w:ascii="宋体" w:hAnsi="宋体" w:eastAsia="宋体" w:cs="宋体"/>
          <w:kern w:val="0"/>
          <w:sz w:val="24"/>
          <w:szCs w:val="24"/>
        </w:rPr>
        <w:t>测量一次，读取微安表上的读数，并填入下表。</w:t>
      </w:r>
    </w:p>
    <w:p w14:paraId="49440CC6">
      <w:pPr>
        <w:spacing w:line="360" w:lineRule="auto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表2线极化波的调整与测试数据表</w:t>
      </w:r>
    </w:p>
    <w:tbl>
      <w:tblPr>
        <w:tblStyle w:val="3"/>
        <w:tblW w:w="50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7"/>
      </w:tblGrid>
      <w:tr w14:paraId="53D0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53" w:hRule="atLeast"/>
          <w:jc w:val="center"/>
        </w:trPr>
        <w:tc>
          <w:tcPr>
            <w:tcW w:w="1229" w:type="pct"/>
            <w:shd w:val="clear" w:color="auto" w:fill="auto"/>
          </w:tcPr>
          <w:p w14:paraId="52AAF40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377" w:type="pct"/>
            <w:shd w:val="clear" w:color="auto" w:fill="auto"/>
          </w:tcPr>
          <w:p w14:paraId="6A00FDE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-90</w:t>
            </w:r>
          </w:p>
        </w:tc>
        <w:tc>
          <w:tcPr>
            <w:tcW w:w="377" w:type="pct"/>
            <w:shd w:val="clear" w:color="auto" w:fill="auto"/>
          </w:tcPr>
          <w:p w14:paraId="431A299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377" w:type="pct"/>
            <w:shd w:val="clear" w:color="auto" w:fill="auto"/>
          </w:tcPr>
          <w:p w14:paraId="5DB9698E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377" w:type="pct"/>
            <w:shd w:val="clear" w:color="auto" w:fill="auto"/>
          </w:tcPr>
          <w:p w14:paraId="2D134A2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377" w:type="pct"/>
            <w:shd w:val="clear" w:color="auto" w:fill="auto"/>
          </w:tcPr>
          <w:p w14:paraId="58114EC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377" w:type="pct"/>
            <w:shd w:val="clear" w:color="auto" w:fill="auto"/>
          </w:tcPr>
          <w:p w14:paraId="2B08FFFE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377" w:type="pct"/>
            <w:shd w:val="clear" w:color="auto" w:fill="auto"/>
          </w:tcPr>
          <w:p w14:paraId="13516DD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377" w:type="pct"/>
            <w:shd w:val="clear" w:color="auto" w:fill="auto"/>
          </w:tcPr>
          <w:p w14:paraId="35F0B923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377" w:type="pct"/>
            <w:shd w:val="clear" w:color="auto" w:fill="auto"/>
          </w:tcPr>
          <w:p w14:paraId="6EFB453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377" w:type="pct"/>
            <w:shd w:val="clear" w:color="auto" w:fill="auto"/>
          </w:tcPr>
          <w:p w14:paraId="389C009D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</w:tr>
      <w:tr w14:paraId="0C80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7BA2C8B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377" w:type="pct"/>
            <w:shd w:val="clear" w:color="auto" w:fill="auto"/>
          </w:tcPr>
          <w:p w14:paraId="4CCB613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315D0E63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59FDC787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0.3</w:t>
            </w:r>
          </w:p>
        </w:tc>
        <w:tc>
          <w:tcPr>
            <w:tcW w:w="377" w:type="pct"/>
            <w:shd w:val="clear" w:color="auto" w:fill="auto"/>
          </w:tcPr>
          <w:p w14:paraId="77DC5E88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2.0</w:t>
            </w:r>
          </w:p>
        </w:tc>
        <w:tc>
          <w:tcPr>
            <w:tcW w:w="377" w:type="pct"/>
            <w:shd w:val="clear" w:color="auto" w:fill="auto"/>
          </w:tcPr>
          <w:p w14:paraId="5C23751A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6.2</w:t>
            </w:r>
          </w:p>
        </w:tc>
        <w:tc>
          <w:tcPr>
            <w:tcW w:w="377" w:type="pct"/>
            <w:shd w:val="clear" w:color="auto" w:fill="auto"/>
          </w:tcPr>
          <w:p w14:paraId="57503D49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14.3</w:t>
            </w:r>
          </w:p>
        </w:tc>
        <w:tc>
          <w:tcPr>
            <w:tcW w:w="377" w:type="pct"/>
            <w:shd w:val="clear" w:color="auto" w:fill="auto"/>
          </w:tcPr>
          <w:p w14:paraId="3C4C075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21.8</w:t>
            </w:r>
          </w:p>
        </w:tc>
        <w:tc>
          <w:tcPr>
            <w:tcW w:w="377" w:type="pct"/>
            <w:shd w:val="clear" w:color="auto" w:fill="auto"/>
          </w:tcPr>
          <w:p w14:paraId="4BC35F90">
            <w:pPr>
              <w:spacing w:line="360" w:lineRule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32.1</w:t>
            </w:r>
          </w:p>
        </w:tc>
        <w:tc>
          <w:tcPr>
            <w:tcW w:w="377" w:type="pct"/>
            <w:shd w:val="clear" w:color="auto" w:fill="auto"/>
          </w:tcPr>
          <w:p w14:paraId="2135FCEB">
            <w:pPr>
              <w:spacing w:line="360" w:lineRule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36.4</w:t>
            </w:r>
          </w:p>
        </w:tc>
        <w:tc>
          <w:tcPr>
            <w:tcW w:w="377" w:type="pct"/>
            <w:shd w:val="clear" w:color="auto" w:fill="auto"/>
          </w:tcPr>
          <w:p w14:paraId="2F348289">
            <w:pPr>
              <w:spacing w:line="360" w:lineRule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41.2</w:t>
            </w:r>
          </w:p>
        </w:tc>
      </w:tr>
      <w:tr w14:paraId="5B18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73D9A1A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377" w:type="pct"/>
            <w:shd w:val="clear" w:color="auto" w:fill="auto"/>
          </w:tcPr>
          <w:p w14:paraId="7F1BF10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6DFAF74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4FEC64B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3AE15E5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72ECBB24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7ED4533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3289E1B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6EA4F6E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49A007EE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1B5D0869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9F1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9" w:type="pct"/>
            <w:shd w:val="clear" w:color="auto" w:fill="auto"/>
          </w:tcPr>
          <w:p w14:paraId="68DBEAD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377" w:type="pct"/>
            <w:shd w:val="clear" w:color="auto" w:fill="auto"/>
          </w:tcPr>
          <w:p w14:paraId="57CE12B3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49.8</w:t>
            </w:r>
          </w:p>
        </w:tc>
        <w:tc>
          <w:tcPr>
            <w:tcW w:w="377" w:type="pct"/>
            <w:shd w:val="clear" w:color="auto" w:fill="auto"/>
          </w:tcPr>
          <w:p w14:paraId="17B044E1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44.2</w:t>
            </w:r>
          </w:p>
        </w:tc>
        <w:tc>
          <w:tcPr>
            <w:tcW w:w="377" w:type="pct"/>
            <w:shd w:val="clear" w:color="auto" w:fill="auto"/>
          </w:tcPr>
          <w:p w14:paraId="604F3C22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35.9</w:t>
            </w:r>
          </w:p>
        </w:tc>
        <w:tc>
          <w:tcPr>
            <w:tcW w:w="377" w:type="pct"/>
            <w:shd w:val="clear" w:color="auto" w:fill="auto"/>
          </w:tcPr>
          <w:p w14:paraId="5AC2E0BB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29.7</w:t>
            </w:r>
          </w:p>
        </w:tc>
        <w:tc>
          <w:tcPr>
            <w:tcW w:w="377" w:type="pct"/>
            <w:shd w:val="clear" w:color="auto" w:fill="auto"/>
          </w:tcPr>
          <w:p w14:paraId="013453DC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10.3</w:t>
            </w:r>
          </w:p>
        </w:tc>
        <w:tc>
          <w:tcPr>
            <w:tcW w:w="377" w:type="pct"/>
            <w:shd w:val="clear" w:color="auto" w:fill="auto"/>
          </w:tcPr>
          <w:p w14:paraId="4F81BDF1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4.2</w:t>
            </w:r>
          </w:p>
        </w:tc>
        <w:tc>
          <w:tcPr>
            <w:tcW w:w="377" w:type="pct"/>
            <w:shd w:val="clear" w:color="auto" w:fill="auto"/>
          </w:tcPr>
          <w:p w14:paraId="3F60A809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1.7</w:t>
            </w:r>
          </w:p>
        </w:tc>
        <w:tc>
          <w:tcPr>
            <w:tcW w:w="377" w:type="pct"/>
            <w:shd w:val="clear" w:color="auto" w:fill="auto"/>
          </w:tcPr>
          <w:p w14:paraId="7A1B2C4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7F7E4C7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2B47BB82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</w:tbl>
    <w:p w14:paraId="3D939932">
      <w:pPr>
        <w:spacing w:line="360" w:lineRule="auto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268F578">
      <w:pPr>
        <w:pStyle w:val="7"/>
        <w:rPr>
          <w:rFonts w:hint="eastAsia"/>
        </w:rPr>
      </w:pPr>
      <w:r>
        <w:rPr>
          <w:rFonts w:hint="eastAsia"/>
        </w:rPr>
        <w:t>（3）椭圆极化波的调整与测试</w:t>
      </w:r>
    </w:p>
    <w:p w14:paraId="6F9DE26B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调整与测试椭圆极化波的方法与内容同a、b项，要注意的是圆喇叭的转角在</w:t>
      </w:r>
      <w:r>
        <w:rPr>
          <w:rFonts w:ascii="Times New Roman" w:cs="Times New Roman"/>
        </w:rPr>
        <w:t>0-45</w:t>
      </w:r>
      <w:r>
        <w:rPr>
          <w:rFonts w:ascii="Times New Roman" w:cs="Times New Roman"/>
          <w:vertAlign w:val="superscript"/>
        </w:rPr>
        <w:t>0</w:t>
      </w:r>
      <w:r>
        <w:rPr>
          <w:rFonts w:hint="eastAsia"/>
        </w:rPr>
        <w:t>之间，</w:t>
      </w:r>
      <w:r>
        <w:rPr>
          <w:rFonts w:hint="eastAsia"/>
          <w:lang w:val="en-US" w:eastAsia="zh-CN"/>
        </w:rPr>
        <w:t>实验中取角度为30°</w:t>
      </w:r>
      <w:r>
        <w:rPr>
          <w:rFonts w:hint="eastAsia"/>
        </w:rPr>
        <w:t>按表3列出记录表格，最后计算出椭圆极化波的椭圆度</w:t>
      </w:r>
      <w:bookmarkStart w:id="15" w:name="_Hlk185454231"/>
      <w:r>
        <w:rPr>
          <w:position w:val="-14"/>
        </w:rPr>
        <w:object>
          <v:shape id="_x0000_i1102" o:spt="75" type="#_x0000_t75" style="height:21.6pt;width:73.1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53">
            <o:LockedField>false</o:LockedField>
          </o:OLEObject>
        </w:object>
      </w:r>
      <w:bookmarkEnd w:id="15"/>
      <w:r>
        <w:rPr>
          <w:rFonts w:hint="eastAsia"/>
        </w:rPr>
        <w:t>值。</w:t>
      </w:r>
    </w:p>
    <w:p w14:paraId="17041D4F">
      <w:pPr>
        <w:pStyle w:val="7"/>
        <w:jc w:val="center"/>
        <w:rPr>
          <w:rFonts w:hint="eastAsia"/>
        </w:rPr>
      </w:pPr>
      <w:r>
        <w:rPr>
          <w:rFonts w:hint="eastAsia"/>
        </w:rPr>
        <w:t>表3椭圆极化波的调整与测试数据表</w:t>
      </w:r>
    </w:p>
    <w:tbl>
      <w:tblPr>
        <w:tblStyle w:val="3"/>
        <w:tblW w:w="50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14:paraId="7A77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229" w:type="pct"/>
            <w:shd w:val="clear" w:color="auto" w:fill="auto"/>
          </w:tcPr>
          <w:p w14:paraId="57F246B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377" w:type="pct"/>
            <w:shd w:val="clear" w:color="auto" w:fill="auto"/>
          </w:tcPr>
          <w:p w14:paraId="0490F0B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-90</w:t>
            </w:r>
          </w:p>
        </w:tc>
        <w:tc>
          <w:tcPr>
            <w:tcW w:w="377" w:type="pct"/>
            <w:shd w:val="clear" w:color="auto" w:fill="auto"/>
          </w:tcPr>
          <w:p w14:paraId="47707D5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80</w:t>
            </w:r>
          </w:p>
        </w:tc>
        <w:tc>
          <w:tcPr>
            <w:tcW w:w="377" w:type="pct"/>
            <w:shd w:val="clear" w:color="auto" w:fill="auto"/>
          </w:tcPr>
          <w:p w14:paraId="4184738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70</w:t>
            </w:r>
          </w:p>
        </w:tc>
        <w:tc>
          <w:tcPr>
            <w:tcW w:w="377" w:type="pct"/>
            <w:shd w:val="clear" w:color="auto" w:fill="auto"/>
          </w:tcPr>
          <w:p w14:paraId="1150D97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60</w:t>
            </w:r>
          </w:p>
        </w:tc>
        <w:tc>
          <w:tcPr>
            <w:tcW w:w="377" w:type="pct"/>
            <w:shd w:val="clear" w:color="auto" w:fill="auto"/>
          </w:tcPr>
          <w:p w14:paraId="65B442E9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377" w:type="pct"/>
            <w:shd w:val="clear" w:color="auto" w:fill="auto"/>
          </w:tcPr>
          <w:p w14:paraId="4F77CED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40</w:t>
            </w:r>
          </w:p>
        </w:tc>
        <w:tc>
          <w:tcPr>
            <w:tcW w:w="377" w:type="pct"/>
            <w:shd w:val="clear" w:color="auto" w:fill="auto"/>
          </w:tcPr>
          <w:p w14:paraId="4246108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377" w:type="pct"/>
            <w:shd w:val="clear" w:color="auto" w:fill="auto"/>
          </w:tcPr>
          <w:p w14:paraId="14F4D46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377" w:type="pct"/>
            <w:shd w:val="clear" w:color="auto" w:fill="auto"/>
          </w:tcPr>
          <w:p w14:paraId="0F85203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-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377" w:type="pct"/>
            <w:shd w:val="clear" w:color="auto" w:fill="auto"/>
          </w:tcPr>
          <w:p w14:paraId="01321C61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</w:tr>
      <w:tr w14:paraId="732B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4F610407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377" w:type="pct"/>
            <w:shd w:val="clear" w:color="auto" w:fill="auto"/>
          </w:tcPr>
          <w:p w14:paraId="57E45E6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9.8</w:t>
            </w:r>
          </w:p>
        </w:tc>
        <w:tc>
          <w:tcPr>
            <w:tcW w:w="377" w:type="pct"/>
            <w:shd w:val="clear" w:color="auto" w:fill="auto"/>
          </w:tcPr>
          <w:p w14:paraId="6F076C4A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4.4</w:t>
            </w:r>
          </w:p>
        </w:tc>
        <w:tc>
          <w:tcPr>
            <w:tcW w:w="377" w:type="pct"/>
            <w:shd w:val="clear" w:color="auto" w:fill="auto"/>
          </w:tcPr>
          <w:p w14:paraId="0AD233EB">
            <w:pPr>
              <w:spacing w:line="360" w:lineRule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3.8</w:t>
            </w:r>
          </w:p>
        </w:tc>
        <w:tc>
          <w:tcPr>
            <w:tcW w:w="377" w:type="pct"/>
            <w:shd w:val="clear" w:color="auto" w:fill="auto"/>
          </w:tcPr>
          <w:p w14:paraId="3D1E7A8A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3.2</w:t>
            </w:r>
          </w:p>
        </w:tc>
        <w:tc>
          <w:tcPr>
            <w:tcW w:w="377" w:type="pct"/>
            <w:shd w:val="clear" w:color="auto" w:fill="auto"/>
          </w:tcPr>
          <w:p w14:paraId="554FD480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3.9</w:t>
            </w:r>
          </w:p>
        </w:tc>
        <w:tc>
          <w:tcPr>
            <w:tcW w:w="377" w:type="pct"/>
            <w:shd w:val="clear" w:color="auto" w:fill="auto"/>
          </w:tcPr>
          <w:p w14:paraId="72982091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5.2</w:t>
            </w:r>
          </w:p>
        </w:tc>
        <w:tc>
          <w:tcPr>
            <w:tcW w:w="377" w:type="pct"/>
            <w:shd w:val="clear" w:color="auto" w:fill="auto"/>
          </w:tcPr>
          <w:p w14:paraId="5126545C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8.5</w:t>
            </w:r>
          </w:p>
        </w:tc>
        <w:tc>
          <w:tcPr>
            <w:tcW w:w="377" w:type="pct"/>
            <w:shd w:val="clear" w:color="auto" w:fill="auto"/>
          </w:tcPr>
          <w:p w14:paraId="467F26A9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13.6</w:t>
            </w:r>
          </w:p>
        </w:tc>
        <w:tc>
          <w:tcPr>
            <w:tcW w:w="377" w:type="pct"/>
            <w:shd w:val="clear" w:color="auto" w:fill="auto"/>
          </w:tcPr>
          <w:p w14:paraId="16FB080D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20.7</w:t>
            </w:r>
          </w:p>
        </w:tc>
        <w:tc>
          <w:tcPr>
            <w:tcW w:w="377" w:type="pct"/>
            <w:shd w:val="clear" w:color="auto" w:fill="auto"/>
          </w:tcPr>
          <w:p w14:paraId="3770885B">
            <w:pPr>
              <w:spacing w:line="360" w:lineRule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37.8</w:t>
            </w:r>
          </w:p>
        </w:tc>
      </w:tr>
      <w:tr w14:paraId="7231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73C8967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接收喇叭转动角度</w:t>
            </w:r>
          </w:p>
        </w:tc>
        <w:tc>
          <w:tcPr>
            <w:tcW w:w="377" w:type="pct"/>
            <w:shd w:val="clear" w:color="auto" w:fill="auto"/>
          </w:tcPr>
          <w:p w14:paraId="71406AD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4F502C7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51C7F55A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7F1C6924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7FFA760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468FA0D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0F1978E0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5F3EE205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0A71BFF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377" w:type="pct"/>
            <w:shd w:val="clear" w:color="auto" w:fill="auto"/>
          </w:tcPr>
          <w:p w14:paraId="48DD707E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D6D9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6F1C5F2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微安表读数（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u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A）</w:t>
            </w:r>
          </w:p>
        </w:tc>
        <w:tc>
          <w:tcPr>
            <w:tcW w:w="377" w:type="pct"/>
            <w:shd w:val="clear" w:color="auto" w:fill="auto"/>
          </w:tcPr>
          <w:p w14:paraId="2E7A8B5F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49.7</w:t>
            </w:r>
          </w:p>
        </w:tc>
        <w:tc>
          <w:tcPr>
            <w:tcW w:w="377" w:type="pct"/>
            <w:shd w:val="clear" w:color="auto" w:fill="auto"/>
          </w:tcPr>
          <w:p w14:paraId="2E418445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59.2</w:t>
            </w:r>
          </w:p>
        </w:tc>
        <w:tc>
          <w:tcPr>
            <w:tcW w:w="377" w:type="pct"/>
            <w:shd w:val="clear" w:color="auto" w:fill="auto"/>
          </w:tcPr>
          <w:p w14:paraId="227C0CDB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64.8</w:t>
            </w:r>
          </w:p>
        </w:tc>
        <w:tc>
          <w:tcPr>
            <w:tcW w:w="377" w:type="pct"/>
            <w:shd w:val="clear" w:color="auto" w:fill="auto"/>
          </w:tcPr>
          <w:p w14:paraId="0C05F378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65.6</w:t>
            </w:r>
          </w:p>
        </w:tc>
        <w:tc>
          <w:tcPr>
            <w:tcW w:w="377" w:type="pct"/>
            <w:shd w:val="clear" w:color="auto" w:fill="auto"/>
          </w:tcPr>
          <w:p w14:paraId="5B5A0820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48.9</w:t>
            </w:r>
          </w:p>
        </w:tc>
        <w:tc>
          <w:tcPr>
            <w:tcW w:w="377" w:type="pct"/>
            <w:shd w:val="clear" w:color="auto" w:fill="auto"/>
          </w:tcPr>
          <w:p w14:paraId="27F6A30C">
            <w:pPr>
              <w:spacing w:line="360" w:lineRule="auto"/>
              <w:jc w:val="both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40.1</w:t>
            </w:r>
          </w:p>
        </w:tc>
        <w:tc>
          <w:tcPr>
            <w:tcW w:w="377" w:type="pct"/>
            <w:shd w:val="clear" w:color="auto" w:fill="auto"/>
          </w:tcPr>
          <w:p w14:paraId="3BD9BAA8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24.0</w:t>
            </w:r>
          </w:p>
        </w:tc>
        <w:tc>
          <w:tcPr>
            <w:tcW w:w="377" w:type="pct"/>
            <w:shd w:val="clear" w:color="auto" w:fill="auto"/>
          </w:tcPr>
          <w:p w14:paraId="2ADA9AD2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16.1</w:t>
            </w:r>
          </w:p>
        </w:tc>
        <w:tc>
          <w:tcPr>
            <w:tcW w:w="377" w:type="pct"/>
            <w:shd w:val="clear" w:color="auto" w:fill="auto"/>
          </w:tcPr>
          <w:p w14:paraId="1F723153">
            <w:pPr>
              <w:spacing w:line="360" w:lineRule="auto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7.8</w:t>
            </w:r>
          </w:p>
        </w:tc>
        <w:tc>
          <w:tcPr>
            <w:tcW w:w="377" w:type="pct"/>
            <w:shd w:val="clear" w:color="auto" w:fill="auto"/>
          </w:tcPr>
          <w:p w14:paraId="7ADAF81E">
            <w:pPr>
              <w:spacing w:line="360" w:lineRule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710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pct"/>
            <w:shd w:val="clear" w:color="auto" w:fill="auto"/>
          </w:tcPr>
          <w:p w14:paraId="7B6157EF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椭圆度</w:t>
            </w:r>
          </w:p>
        </w:tc>
        <w:tc>
          <w:tcPr>
            <w:tcW w:w="3771" w:type="pct"/>
            <w:gridSpan w:val="10"/>
            <w:shd w:val="clear" w:color="auto" w:fill="auto"/>
          </w:tcPr>
          <w:p w14:paraId="13B5231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.22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</w:p>
        </w:tc>
      </w:tr>
      <w:bookmarkEnd w:id="14"/>
    </w:tbl>
    <w:p w14:paraId="188F8DEB">
      <w:pPr>
        <w:pStyle w:val="6"/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实验结果分析</w:t>
      </w:r>
    </w:p>
    <w:p w14:paraId="44F5CF9F">
      <w:pPr>
        <w:pStyle w:val="7"/>
        <w:rPr>
          <w:rFonts w:hint="eastAsia"/>
        </w:rPr>
      </w:pPr>
      <w:r>
        <w:rPr>
          <w:rFonts w:hint="eastAsia"/>
        </w:rPr>
        <w:t>（1）根据椭圆度计算公式</w:t>
      </w:r>
      <w:r>
        <w:rPr>
          <w:rFonts w:cs="宋体"/>
          <w:kern w:val="0"/>
          <w:position w:val="-14"/>
        </w:rPr>
        <w:object>
          <v:shape id="_x0000_i1103" o:spt="75" type="#_x0000_t75" style="height:21.6pt;width:73.1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54">
            <o:LockedField>false</o:LockedField>
          </o:OLEObject>
        </w:object>
      </w:r>
      <w:r>
        <w:rPr>
          <w:rFonts w:hint="eastAsia" w:cs="宋体"/>
          <w:kern w:val="0"/>
        </w:rPr>
        <w:t>，</w:t>
      </w:r>
      <w:r>
        <w:rPr>
          <w:rFonts w:hint="eastAsia"/>
        </w:rPr>
        <w:t>表</w:t>
      </w:r>
      <w:r>
        <w:t>1中椭圆度e为0.8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接近1但仍有误差</w:t>
      </w:r>
      <w:r>
        <w:t>；</w:t>
      </w:r>
      <w:r>
        <w:rPr>
          <w:rFonts w:hint="eastAsia"/>
        </w:rPr>
        <w:t>表</w:t>
      </w:r>
      <w:r>
        <w:t>3中椭圆度e为0.22</w:t>
      </w:r>
      <w:r>
        <w:rPr>
          <w:rFonts w:hint="eastAsia"/>
          <w:lang w:val="en-US" w:eastAsia="zh-CN"/>
        </w:rPr>
        <w:t>1</w:t>
      </w:r>
      <w:r>
        <w:t>。</w:t>
      </w:r>
    </w:p>
    <w:p w14:paraId="252AD284">
      <w:pPr>
        <w:pStyle w:val="7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）实验结论：</w:t>
      </w:r>
    </w:p>
    <w:p w14:paraId="3BD4E682">
      <w:pPr>
        <w:pStyle w:val="7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</w:rPr>
        <w:t>对于线极化波，实验数据</w:t>
      </w:r>
      <w:r>
        <w:rPr>
          <w:rFonts w:hint="eastAsia"/>
          <w:lang w:val="en-US" w:eastAsia="zh-CN"/>
        </w:rPr>
        <w:t>应该在0°时有最大值，在垂直方向上有最小值</w:t>
      </w:r>
      <w:r>
        <w:rPr>
          <w:rFonts w:hint="eastAsia"/>
        </w:rPr>
        <w:t>，可以看出趋势大致相同，但存在一定误差，</w:t>
      </w:r>
      <w:r>
        <w:rPr>
          <w:rFonts w:hint="eastAsia"/>
          <w:lang w:val="en-US" w:eastAsia="zh-CN"/>
        </w:rPr>
        <w:t>一是在10°时取到最大值，二是其他方向上的强度也不是很符合线极化波，而是更像椭圆极化，所以说明实际的相位差并不是0°，使得更像是一种椭圆极化。</w:t>
      </w:r>
    </w:p>
    <w:p w14:paraId="2AD858ED">
      <w:pPr>
        <w:pStyle w:val="7"/>
        <w:ind w:firstLine="480" w:firstLineChars="200"/>
        <w:rPr>
          <w:rFonts w:hint="default"/>
          <w:lang w:val="en-US" w:eastAsia="zh-CN"/>
        </w:rPr>
      </w:pPr>
      <w:r>
        <w:rPr>
          <w:rFonts w:hint="eastAsia"/>
        </w:rPr>
        <w:t>对于圆极化波，</w:t>
      </w:r>
      <w:r>
        <w:rPr>
          <w:rFonts w:hint="eastAsia"/>
          <w:lang w:val="en-US" w:eastAsia="zh-CN"/>
        </w:rPr>
        <w:t>理论上各个方向上的强度都应该相等，实验中测得数据有一定波动，数</w:t>
      </w:r>
      <w:r>
        <w:rPr>
          <w:rFonts w:hint="eastAsia"/>
        </w:rPr>
        <w:t>据的差值在误差允许范围内，可以认为所有数值大致相等，</w:t>
      </w:r>
      <w:r>
        <w:t>符合要求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借助matlab，对实验数据归一化后，根据最小均方误差法进行极化波形状的拟合，效果如下图。可见圆极化波大致符合，但仍有一定的椭圆程度。</w:t>
      </w:r>
    </w:p>
    <w:p w14:paraId="0B5C169A">
      <w:pPr>
        <w:pStyle w:val="7"/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979420" cy="3599815"/>
            <wp:effectExtent l="0" t="0" r="5080" b="6985"/>
            <wp:docPr id="3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0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EE6E">
      <w:pPr>
        <w:pStyle w:val="7"/>
        <w:ind w:firstLine="480" w:firstLineChars="200"/>
        <w:rPr>
          <w:rFonts w:hint="eastAsia"/>
          <w:lang w:val="en-US" w:eastAsia="zh-CN"/>
        </w:rPr>
      </w:pPr>
      <w:r>
        <w:rPr>
          <w:rFonts w:hint="eastAsia"/>
        </w:rPr>
        <w:t>对于椭圆极化波，</w:t>
      </w:r>
      <w:r>
        <w:rPr>
          <w:rFonts w:hint="eastAsia"/>
          <w:lang w:val="en-US" w:eastAsia="zh-CN"/>
        </w:rPr>
        <w:t>理论上在30°处是长轴取最大值，垂直方向（60°）上是短轴，取最小值。可见实验数据的大致趋势是相同的，椭圆度为0.221。同样的，借助matlab，对实验数据归一化后，目标模型为椭圆模型，根据最小均方误差法进行极化波形状的拟合，效果如下图。</w:t>
      </w:r>
    </w:p>
    <w:p w14:paraId="3755A54F">
      <w:pPr>
        <w:pStyle w:val="7"/>
        <w:spacing w:line="24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112770" cy="3599815"/>
            <wp:effectExtent l="0" t="0" r="11430" b="6985"/>
            <wp:docPr id="4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5417">
      <w:pPr>
        <w:pStyle w:val="7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数据点可以大致看出椭圆的形状，但该拟合的效果就比较差，matlab中计算的均方误差有40%多，一方面是本人的matlab编程能力有限，长轴和短轴的选取只是简单的取最大值以及最小值位置，这点约束可能引入了其他点比较大的误差；另一方面说明实验数据的误差确实是比较大的，就比如，最大值应该在30°出现，实际上40°的值更大一些，该现象与线极化实验中有些类似，所以初步推测二者的共同原因应该是，实验仪器引起的偏差，因为实验中我们是自行拆卸安装的喇叭，可能在安装的过程中有不规范的地方，从而引入了一些固定的相位差，导致了实验数据效果比较不理想。</w:t>
      </w:r>
    </w:p>
    <w:p w14:paraId="074A09DC">
      <w:pPr>
        <w:pStyle w:val="6"/>
        <w:rPr>
          <w:rFonts w:hint="eastAsia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实验思考</w:t>
      </w:r>
    </w:p>
    <w:p w14:paraId="332B2AFF">
      <w:pPr>
        <w:pStyle w:val="7"/>
        <w:ind w:firstLine="480" w:firstLineChars="200"/>
        <w:rPr>
          <w:rFonts w:hint="eastAsia"/>
        </w:rPr>
      </w:pPr>
      <w:r>
        <w:rPr>
          <w:rFonts w:hint="eastAsia"/>
        </w:rPr>
        <w:t>问题：一右旋圆极化波从空气正入射到另一种媒质表面，反射波与透射</w:t>
      </w:r>
    </w:p>
    <w:p w14:paraId="1A1D466A">
      <w:pPr>
        <w:pStyle w:val="7"/>
        <w:rPr>
          <w:rFonts w:hint="eastAsia"/>
        </w:rPr>
      </w:pPr>
      <w:r>
        <w:rPr>
          <w:rFonts w:hint="eastAsia"/>
        </w:rPr>
        <w:t>波的旋向如何（左旋还是右旋）？</w:t>
      </w:r>
    </w:p>
    <w:p w14:paraId="683C4363">
      <w:pPr>
        <w:pStyle w:val="7"/>
        <w:ind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假设该右旋圆极化波传播方向是z方向，幅值方向为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−j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。而反射波、透射波，与入射波的区别就在于反射系数</w:t>
      </w: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Γ与透射系数T，而二者与阻抗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η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2</w:t>
      </w: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与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η</w:t>
      </w: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1的大小有关，但是无论其大小如何，或者在导电媒质中从而存在一定的相位角，其都是直接乘在振幅所有方向上，也就是对于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的变化是一样的，其相位差仍然是原来的-90°。但对于反射波来说，其传输方向变为-z方向，此时相对相位差就变成90°，也就是变成左旋了。而对于透射波，传输方向不变，相位差不变，所以仍然是右旋。</w:t>
      </w:r>
    </w:p>
    <w:p w14:paraId="6F18F2E2">
      <w:pPr>
        <w:pStyle w:val="6"/>
        <w:rPr>
          <w:rFonts w:hint="eastAsia"/>
        </w:rPr>
      </w:pPr>
      <w:r>
        <w:rPr>
          <w:rFonts w:hint="eastAsia"/>
        </w:rPr>
        <w:t>7</w:t>
      </w:r>
      <w:r>
        <w:t>.收获与体会</w:t>
      </w:r>
    </w:p>
    <w:p w14:paraId="58BE3E3C">
      <w:pPr>
        <w:pStyle w:val="7"/>
        <w:ind w:firstLine="500" w:firstLineChars="200"/>
        <w:rPr>
          <w:rFonts w:hint="default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本次实验中，最重要的是直观地感受电磁波极化的过程。实验中我们一步步搭建并鉴别线极化、圆极化和椭圆极化波，对这一抽象但至关重要的电磁波属性建立了鲜明的物理图像，弥补了在理论课堂了解的并不深刻的概念。实验的核心收获是掌握了极化状态的表征与分析方法。特别的，在数据分析方面，为了得到最直接的感受极化波，我借助matlab想要拟合出数据点所映射的极化图，虽然过程比较麻烦并且处理方法还有待提升，但是确实让我直观的感受到各类极化类型，以及理想条件下的理论要求与实际工程实现之间的差距。</w:t>
      </w:r>
    </w:p>
    <w:p w14:paraId="5176E7BF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445A7"/>
    <w:rsid w:val="16632A6A"/>
    <w:rsid w:val="18C90B5C"/>
    <w:rsid w:val="19132E9D"/>
    <w:rsid w:val="1A530AF8"/>
    <w:rsid w:val="208445A7"/>
    <w:rsid w:val="30EB1DE3"/>
    <w:rsid w:val="49C53851"/>
    <w:rsid w:val="4F7D283E"/>
    <w:rsid w:val="51FB670C"/>
    <w:rsid w:val="580B32BE"/>
    <w:rsid w:val="5A7268F7"/>
    <w:rsid w:val="7C66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一级标题"/>
    <w:basedOn w:val="1"/>
    <w:qFormat/>
    <w:uiPriority w:val="0"/>
    <w:pPr>
      <w:spacing w:before="360" w:after="240"/>
      <w:jc w:val="left"/>
    </w:pPr>
    <w:rPr>
      <w:rFonts w:ascii="宋体" w:hAnsi="宋体" w:eastAsia="宋体"/>
      <w:b/>
      <w:sz w:val="30"/>
      <w:szCs w:val="24"/>
    </w:rPr>
  </w:style>
  <w:style w:type="paragraph" w:customStyle="1" w:styleId="7">
    <w:name w:val="宋体小四"/>
    <w:basedOn w:val="1"/>
    <w:link w:val="8"/>
    <w:qFormat/>
    <w:uiPriority w:val="0"/>
    <w:pPr>
      <w:spacing w:line="400" w:lineRule="exact"/>
    </w:pPr>
    <w:rPr>
      <w:rFonts w:ascii="宋体" w:hAnsi="宋体" w:eastAsia="宋体"/>
      <w:sz w:val="24"/>
      <w:szCs w:val="24"/>
    </w:rPr>
  </w:style>
  <w:style w:type="character" w:customStyle="1" w:styleId="8">
    <w:name w:val="宋体小四 字符"/>
    <w:basedOn w:val="4"/>
    <w:link w:val="7"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png"/><Relationship Id="rId67" Type="http://schemas.openxmlformats.org/officeDocument/2006/relationships/image" Target="media/image32.png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image" Target="media/image2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jpe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7" Type="http://schemas.openxmlformats.org/officeDocument/2006/relationships/fontTable" Target="fontTable.xml"/><Relationship Id="rId156" Type="http://schemas.openxmlformats.org/officeDocument/2006/relationships/image" Target="media/image74.png"/><Relationship Id="rId155" Type="http://schemas.openxmlformats.org/officeDocument/2006/relationships/image" Target="media/image73.png"/><Relationship Id="rId154" Type="http://schemas.openxmlformats.org/officeDocument/2006/relationships/oleObject" Target="embeddings/oleObject79.bin"/><Relationship Id="rId153" Type="http://schemas.openxmlformats.org/officeDocument/2006/relationships/oleObject" Target="embeddings/oleObject78.bin"/><Relationship Id="rId152" Type="http://schemas.openxmlformats.org/officeDocument/2006/relationships/oleObject" Target="embeddings/oleObject77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oleObject" Target="embeddings/oleObject73.bin"/><Relationship Id="rId145" Type="http://schemas.openxmlformats.org/officeDocument/2006/relationships/oleObject" Target="embeddings/oleObject72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1486</Words>
  <Characters>1619</Characters>
  <Lines>0</Lines>
  <Paragraphs>0</Paragraphs>
  <TotalTime>30</TotalTime>
  <ScaleCrop>false</ScaleCrop>
  <LinksUpToDate>false</LinksUpToDate>
  <CharactersWithSpaces>1689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2025-12-20T08:23:00Z</dcterms:created>
  <dc:creator>可以，但没必要…</dc:creator>
  <cp:lastModifiedBy>可以，但没必要…</cp:lastModifiedBy>
  <dcterms:modified xsi:type="dcterms:W3CDTF">2026-10-13T14:11:52Z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9B72B13319964CB9BB31DA45C97DB3F7_11</vt:lpwstr>
  </property>
  <property fmtid="{D5CDD505-2E9C-101B-9397-08002B2CF9AE}" pid="4" name="KSOTemplateDocerSaveRecord">
    <vt:lpwstr>eyJoZGlkIjoiYmRkYjE4OTNhNzc0NmM1YjY0YTgzMWM1NDU2Yjg0ZjciLCJ1c2VySWQiOiIxMzMzNTgyNzY0In0=</vt:lpwstr>
  </property>
</Properties>
</file>