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tạo kịch bản AI — DVOR 1150A</w:t>
      </w:r>
    </w:p>
    <w:p>
      <w:pPr>
        <w:pStyle w:val="Subtitle"/>
      </w:pPr>
      <w:r>
        <w:t>Mẫu thông số Scenario Parameters • Có thể chỉnh sửa bằng Word</w:t>
      </w:r>
    </w:p>
    <w:p>
      <w:pPr>
        <w:pStyle w:val="Heading1"/>
      </w:pPr>
      <w:r>
        <w:t>Cách dùng</w:t>
      </w:r>
    </w:p>
    <w:p>
      <w:r>
        <w:t>1. Điền thông tin, mục tiêu và nguồn thật. Chọn lỗi simulator đã hỗ trợ; chưa có manual thì ghi rõ chưa cung cấp nguồn kỹ thuật.</w:t>
      </w:r>
    </w:p>
    <w:p>
      <w:r>
        <w:t>2. Ghi giá trị ban đầu và đường khôi phục bằng các dòng SET / RECOVER. Giữ đúng field ID, kiểu dữ liệu và đơn vị trong danh mục cuối tệp. Thay phần [nội dung] rồi xóa dòng trống, ví dụ hoặc tham số không dùng.</w:t>
      </w:r>
    </w:p>
    <w:p>
      <w:r>
        <w:t>3. Không trộn nhiều tình huống không liên quan. Không yêu cầu thay đổi công thức, phần cứng, quyền bảo mật hoặc tiêu chí nhằm bỏ qua lỗi.</w:t>
      </w:r>
    </w:p>
    <w:p>
      <w:r>
        <w:t>4. Lưu .docx và đính kèm trong modal tạo kịch bản AI. Tên và mô tả ngắn vẫn nhập trong modal. Giám khảo kiểm tra toàn bộ cấu hình trong simulator trước khi đưa vào thư viện.</w:t>
      </w:r>
    </w:p>
    <w:p>
      <w:r>
        <w:t>Mẫu này là quy ước soạn bài đào tạo, không phải manual nhà sản xuất. Chỉ số là cài đặt mô phỏng, không phải chứng nhận thiết bị thật. Không gửi bí mật hoặc bài làm học viên. PDF scan cần OCR trước khi tải lên.</w:t>
      </w:r>
    </w:p>
    <w:p>
      <w:pPr>
        <w:pStyle w:val="Heading1"/>
      </w:pPr>
      <w:r>
        <w:t>A. Thông tin và mục tiêu</w:t>
      </w:r>
    </w:p>
    <w:p>
      <w:r>
        <w:t>Thiết bị: DVOR 1150A</w:t>
      </w:r>
    </w:p>
    <w:p>
      <w:r>
        <w:t>Tên kịch bản: [nội dung]</w:t>
      </w:r>
    </w:p>
    <w:p>
      <w:r>
        <w:t>Độ khó: [cơ bản / trung bình / nâng cao]</w:t>
      </w:r>
    </w:p>
    <w:p>
      <w:r>
        <w:t>Mục tiêu và triệu chứng cần xuất hiện: [nội dung]</w:t>
      </w:r>
    </w:p>
    <w:p>
      <w:r>
        <w:t>Tên / phiên bản tài liệu, trang và đoạn trích chính xác: [nội dung; hoặc Chưa cung cấp nguồn kỹ thuật]</w:t>
      </w:r>
    </w:p>
    <w:p>
      <w:r>
        <w:t>Loại bài: [hiệu chỉnh tham số / chẩn đoán phần cứng bản địa / thao tác terminal bản địa]</w:t>
      </w:r>
    </w:p>
    <w:p>
      <w:pPr>
        <w:pStyle w:val="Heading1"/>
      </w:pPr>
      <w:r>
        <w:t>B. Cấu hình phải đi kèm kịch bản</w:t>
      </w:r>
    </w:p>
    <w:p>
      <w:r>
        <w:t>Không chỉ mô tả bằng văn: ghi chính xác từng trường, giá trị đầu bài, đơn vị, giá trị đích và nguồn. Một giá trị = một dòng. Boolean dùng true/false, số không có dấu phân cách hàng nghìn, dùng dấu chấm thập phân. Enum giữ nguyên token; không đổi đơn vị.</w:t>
      </w:r>
    </w:p>
    <w:p>
      <w:r>
        <w:t>Mẫu cú pháp ban đầu (không phải yêu cầu): SET [field ID từ danh mục] = [giá trị đầu bài và đơn vị nếu có]</w:t>
      </w:r>
    </w:p>
    <w:p>
      <w:r>
        <w:t>Mẫu cú pháp khôi phục (không phải yêu cầu): RECOVER [field ID được phép khôi phục] = [giá trị đích và đơn vị nếu có]</w:t>
      </w:r>
    </w:p>
    <w:p>
      <w:r>
        <w:t>Trạng thái khởi động: [máy chính, Local/Bypass hoặc trạng thái native tương ứng; không suy diễn field không có]</w:t>
      </w:r>
    </w:p>
    <w:p>
      <w:r>
        <w:t>Lỗi/triệu chứng: [fault đang hỗ trợ hoặc tham số tạo sai lệch; phân biệt cài đặt với số đo do engine tính]</w:t>
      </w:r>
    </w:p>
    <w:p>
      <w:r>
        <w:t>Điều kiện đạt: [tiêu chí native phải đạt; không tắt tiêu chí chỉ để bài có thể hoàn tất]</w:t>
      </w:r>
    </w:p>
    <w:p>
      <w:r>
        <w:t>Quyền sửa: [trường cần cho phép học viên thay đổi; không cấp quyền cho field chỉ giám khảo / bảo mật]</w:t>
      </w:r>
    </w:p>
    <w:p>
      <w:r>
        <w:t>Chẩn đoán: [checkpoint, lệnh và đúng vị trí phần cứng theo bài native; không tự đặt ID hoặc menu]</w:t>
      </w:r>
    </w:p>
    <w:p>
      <w:r>
        <w:t>Thông tin còn thiếu / yêu cầu không được thay thế: [nội dung]</w:t>
      </w:r>
    </w:p>
    <w:p>
      <w:pPr>
        <w:pStyle w:val="Heading1"/>
      </w:pPr>
      <w:r>
        <w:t>C. Ví dụ có chỉ số — xóa nếu không dùng</w:t>
      </w:r>
    </w:p>
    <w:p>
      <w:r>
        <w:t>Ví dụ đào tạo dùng scaffold carrier-9960 với các giá trị nêu rõ dưới đây; engine hiện có đã kiểm tra đường xử lý. Không phải thông số nhà sản xuất.</w:t>
      </w:r>
    </w:p>
    <w:p>
      <w:r>
        <w:t>SET configuration.transmitters.tx1.nominal.outputPower = 13.7 W</w:t>
      </w:r>
    </w:p>
    <w:p>
      <w:r>
        <w:t>RECOVER configuration.transmitters.tx1.nominal.outputPower = 125 W</w:t>
      </w:r>
    </w:p>
    <w:p>
      <w:r>
        <w:t>RECOVER startPolicy.startMonitorBypassed = false</w:t>
      </w:r>
    </w:p>
    <w:p>
      <w:r>
        <w:t>Căn cứ: ví dụ đào tạo từ khả năng và ràng buộc của simulator, chưa cung cấp manual kỹ thuật riêng. Không gọi đây là thông số tiêu chuẩn của thiết bị thật.</w:t>
      </w:r>
    </w:p>
    <w:p>
      <w:pPr>
        <w:pStyle w:val="Heading1"/>
      </w:pPr>
      <w:r>
        <w:t>D. Danh mục trường cho tình huống mẫu</w:t>
      </w:r>
    </w:p>
    <w:p>
      <w:r>
        <w:t>Danh mục này thuộc scaffold carrier-9960. Các trường khác phụ thuộc thiết bị và loại lỗi; không tự đoán đường dẫn JSON. Trường không liệt kê hoặc ngoài giới hạn sẽ bị từ chối, không âm thầm bỏ qua. Giá trị không nêu rõ được giữ từ cấu hình nền; phải kiểm tra trong Scenario Parameters.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Field ID / tên</w:t>
            </w:r>
          </w:p>
        </w:tc>
        <w:tc>
          <w:tcPr>
            <w:tcW w:type="dxa" w:w="2556"/>
          </w:tcPr>
          <w:p>
            <w:r>
              <w:t>Kiểu / đơn vị</w:t>
            </w:r>
          </w:p>
        </w:tc>
        <w:tc>
          <w:tcPr>
            <w:tcW w:type="dxa" w:w="2556"/>
          </w:tcPr>
          <w:p>
            <w:r>
              <w:t>Giới hạn / lựa chọn</w:t>
            </w:r>
          </w:p>
        </w:tc>
        <w:tc>
          <w:tcPr>
            <w:tcW w:type="dxa" w:w="2556"/>
          </w:tcPr>
          <w:p>
            <w:r>
              <w:t>Khôi phục?</w:t>
            </w:r>
          </w:p>
        </w:tc>
      </w:tr>
      <w:tr>
        <w:tc>
          <w:tcPr>
            <w:tcW w:type="dxa" w:w="2556"/>
          </w:tcPr>
          <w:p>
            <w:r>
              <w:t>configuration.transmitters.tx1.nominal.outputPower</w:t>
              <w:br/>
              <w:t>Output power</w:t>
            </w:r>
          </w:p>
        </w:tc>
        <w:tc>
          <w:tcPr>
            <w:tcW w:type="dxa" w:w="2556"/>
          </w:tcPr>
          <w:p>
            <w:r>
              <w:t>number / W</w:t>
            </w:r>
          </w:p>
        </w:tc>
        <w:tc>
          <w:tcPr>
            <w:tcW w:type="dxa" w:w="2556"/>
          </w:tcPr>
          <w:p>
            <w:r>
              <w:t>min 0 · max 200 · bước 0.1</w:t>
            </w:r>
          </w:p>
        </w:tc>
        <w:tc>
          <w:tcPr>
            <w:tcW w:type="dxa" w:w="2556"/>
          </w:tcPr>
          <w:p>
            <w:r>
              <w:t>Có</w:t>
            </w:r>
          </w:p>
        </w:tc>
      </w:tr>
      <w:tr>
        <w:tc>
          <w:tcPr>
            <w:tcW w:type="dxa" w:w="2556"/>
          </w:tcPr>
          <w:p>
            <w:r>
              <w:t>startPolicy.mainTransmitterId</w:t>
              <w:br/>
              <w:t>mainTransmitterId</w:t>
            </w:r>
          </w:p>
        </w:tc>
        <w:tc>
          <w:tcPr>
            <w:tcW w:type="dxa" w:w="2556"/>
          </w:tcPr>
          <w:p>
            <w:r>
              <w:t>enum</w:t>
            </w:r>
          </w:p>
        </w:tc>
        <w:tc>
          <w:tcPr>
            <w:tcW w:type="dxa" w:w="2556"/>
          </w:tcPr>
          <w:p>
            <w:r>
              <w:t>tx1, tx2</w:t>
            </w:r>
          </w:p>
        </w:tc>
        <w:tc>
          <w:tcPr>
            <w:tcW w:type="dxa" w:w="2556"/>
          </w:tcPr>
          <w:p>
            <w:r>
              <w:t>Có</w:t>
            </w:r>
          </w:p>
        </w:tc>
      </w:tr>
      <w:tr>
        <w:tc>
          <w:tcPr>
            <w:tcW w:type="dxa" w:w="2556"/>
          </w:tcPr>
          <w:p>
            <w:r>
              <w:t>startPolicy.startLocal</w:t>
              <w:br/>
              <w:t>startLocal</w:t>
            </w:r>
          </w:p>
        </w:tc>
        <w:tc>
          <w:tcPr>
            <w:tcW w:type="dxa" w:w="2556"/>
          </w:tcPr>
          <w:p>
            <w:r>
              <w:t>boolean</w:t>
            </w:r>
          </w:p>
        </w:tc>
        <w:tc>
          <w:tcPr>
            <w:tcW w:type="dxa" w:w="2556"/>
          </w:tcPr>
          <w:p>
            <w:r>
              <w:t>Theo validator native</w:t>
            </w:r>
          </w:p>
        </w:tc>
        <w:tc>
          <w:tcPr>
            <w:tcW w:type="dxa" w:w="2556"/>
          </w:tcPr>
          <w:p>
            <w:r>
              <w:t>Có</w:t>
            </w:r>
          </w:p>
        </w:tc>
      </w:tr>
      <w:tr>
        <w:tc>
          <w:tcPr>
            <w:tcW w:type="dxa" w:w="2556"/>
          </w:tcPr>
          <w:p>
            <w:r>
              <w:t>startPolicy.startMonitorBypassed</w:t>
              <w:br/>
              <w:t>startMonitorBypassed</w:t>
            </w:r>
          </w:p>
        </w:tc>
        <w:tc>
          <w:tcPr>
            <w:tcW w:type="dxa" w:w="2556"/>
          </w:tcPr>
          <w:p>
            <w:r>
              <w:t>boolean</w:t>
            </w:r>
          </w:p>
        </w:tc>
        <w:tc>
          <w:tcPr>
            <w:tcW w:type="dxa" w:w="2556"/>
          </w:tcPr>
          <w:p>
            <w:r>
              <w:t>Theo validator native</w:t>
            </w:r>
          </w:p>
        </w:tc>
        <w:tc>
          <w:tcPr>
            <w:tcW w:type="dxa" w:w="2556"/>
          </w:tcPr>
          <w:p>
            <w:r>
              <w:t>Có</w:t>
            </w:r>
          </w:p>
        </w:tc>
      </w:tr>
      <w:tr>
        <w:tc>
          <w:tcPr>
            <w:tcW w:type="dxa" w:w="2556"/>
          </w:tcPr>
          <w:p>
            <w:r>
              <w:t>successCriteria.requireIntegralMonitorNormal</w:t>
              <w:br/>
              <w:t>requireIntegralMonitorNormal</w:t>
            </w:r>
          </w:p>
        </w:tc>
        <w:tc>
          <w:tcPr>
            <w:tcW w:type="dxa" w:w="2556"/>
          </w:tcPr>
          <w:p>
            <w:r>
              <w:t>boolean</w:t>
            </w:r>
          </w:p>
        </w:tc>
        <w:tc>
          <w:tcPr>
            <w:tcW w:type="dxa" w:w="2556"/>
          </w:tcPr>
          <w:p>
            <w:r>
              <w:t>Theo validator native</w:t>
            </w:r>
          </w:p>
        </w:tc>
        <w:tc>
          <w:tcPr>
            <w:tcW w:type="dxa" w:w="2556"/>
          </w:tcPr>
          <w:p>
            <w:r>
              <w:t>Không</w:t>
            </w:r>
          </w:p>
        </w:tc>
      </w:tr>
      <w:tr>
        <w:tc>
          <w:tcPr>
            <w:tcW w:type="dxa" w:w="2556"/>
          </w:tcPr>
          <w:p>
            <w:r>
              <w:t>successCriteria.requireActiveTransmitter</w:t>
              <w:br/>
              <w:t>requireActiveTransmitter</w:t>
            </w:r>
          </w:p>
        </w:tc>
        <w:tc>
          <w:tcPr>
            <w:tcW w:type="dxa" w:w="2556"/>
          </w:tcPr>
          <w:p>
            <w:r>
              <w:t>boolean</w:t>
            </w:r>
          </w:p>
        </w:tc>
        <w:tc>
          <w:tcPr>
            <w:tcW w:type="dxa" w:w="2556"/>
          </w:tcPr>
          <w:p>
            <w:r>
              <w:t>Theo validator native</w:t>
            </w:r>
          </w:p>
        </w:tc>
        <w:tc>
          <w:tcPr>
            <w:tcW w:type="dxa" w:w="2556"/>
          </w:tcPr>
          <w:p>
            <w:r>
              <w:t>Không</w:t>
            </w:r>
          </w:p>
        </w:tc>
      </w:tr>
      <w:tr>
        <w:tc>
          <w:tcPr>
            <w:tcW w:type="dxa" w:w="2556"/>
          </w:tcPr>
          <w:p>
            <w:r>
              <w:t>successCriteria.requireNoSidebandVswrAlarm</w:t>
              <w:br/>
              <w:t>requireNoSidebandVswrAlarm</w:t>
            </w:r>
          </w:p>
        </w:tc>
        <w:tc>
          <w:tcPr>
            <w:tcW w:type="dxa" w:w="2556"/>
          </w:tcPr>
          <w:p>
            <w:r>
              <w:t>boolean</w:t>
            </w:r>
          </w:p>
        </w:tc>
        <w:tc>
          <w:tcPr>
            <w:tcW w:type="dxa" w:w="2556"/>
          </w:tcPr>
          <w:p>
            <w:r>
              <w:t>Theo validator native</w:t>
            </w:r>
          </w:p>
        </w:tc>
        <w:tc>
          <w:tcPr>
            <w:tcW w:type="dxa" w:w="2556"/>
          </w:tcPr>
          <w:p>
            <w:r>
              <w:t>Không</w:t>
            </w:r>
          </w:p>
        </w:tc>
      </w:tr>
      <w:tr>
        <w:tc>
          <w:tcPr>
            <w:tcW w:type="dxa" w:w="2556"/>
          </w:tcPr>
          <w:p>
            <w:r>
              <w:t>successCriteria.requireMonitorBypassCleared</w:t>
              <w:br/>
              <w:t>requireMonitorBypassCleared</w:t>
            </w:r>
          </w:p>
        </w:tc>
        <w:tc>
          <w:tcPr>
            <w:tcW w:type="dxa" w:w="2556"/>
          </w:tcPr>
          <w:p>
            <w:r>
              <w:t>boolean</w:t>
            </w:r>
          </w:p>
        </w:tc>
        <w:tc>
          <w:tcPr>
            <w:tcW w:type="dxa" w:w="2556"/>
          </w:tcPr>
          <w:p>
            <w:r>
              <w:t>Theo validator native</w:t>
            </w:r>
          </w:p>
        </w:tc>
        <w:tc>
          <w:tcPr>
            <w:tcW w:type="dxa" w:w="2556"/>
          </w:tcPr>
          <w:p>
            <w:r>
              <w:t>Không</w:t>
            </w:r>
          </w:p>
        </w:tc>
      </w:tr>
    </w:tbl>
    <w:p>
      <w:r>
        <w:t>Kiểm tra tự động chỉ xác minh trong mô hình hiện có. Bài chẩn đoán phần cứng có thể hoàn thành kết luận dù cảnh báo chưa hết; replay terminal không chứng minh sensor ngoài thực tế phục hồi. Không tự xuất bản hoặc chấm điểm chính thức bằng tính năng này.</w:t>
      </w:r>
    </w:p>
    <w:sectPr w:rsidR="00FC693F" w:rsidRPr="0006063C" w:rsidSect="00034616">
      <w:headerReference w:type="default" r:id="rId1"/>
      <w:footerReference w:type="default" r:id="rId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