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HỌC VIỆN CÔNG NGHỆ BƯU CHÍNH VIỄN THÔNG</w:t>
        <w:br/>
      </w:r>
      <w:r>
        <w:rPr>
          <w:b/>
          <w:sz w:val="26"/>
        </w:rPr>
        <w:t>KHOA: CÔNG NGHỆ THÔNG TIN 2</w:t>
        <w:br/>
      </w:r>
    </w:p>
    <w:p>
      <w:pPr>
        <w:spacing w:after="360"/>
        <w:jc w:val="center"/>
      </w:pPr>
      <w:r>
        <w:rPr>
          <w:color w:val="888888"/>
        </w:rPr>
        <w:t>——————————————————————————————</w:t>
      </w:r>
    </w:p>
    <w:p>
      <w:pPr>
        <w:jc w:val="center"/>
      </w:pPr>
      <w:r>
        <w:rPr>
          <w:b/>
        </w:rPr>
        <w:t>Học phần: Phát triển ứng dụng cho các thiết bị di động</w:t>
        <w:br/>
      </w:r>
      <w:r>
        <w:t>Trình độ đào tạo: Đại học   |   Hình thức đào tạo: Chính quy</w:t>
        <w:br/>
        <w:br/>
      </w:r>
    </w:p>
    <w:p>
      <w:pPr>
        <w:spacing w:before="240" w:after="240"/>
        <w:jc w:val="center"/>
      </w:pPr>
      <w:r>
        <w:rPr>
          <w:b/>
          <w:sz w:val="28"/>
        </w:rPr>
        <w:t>THÔNG TIN ĐỀ TÀI DỰ ÁN</w:t>
        <w:br/>
        <w:br/>
      </w:r>
      <w:r>
        <w:rPr>
          <w:b/>
          <w:color w:val="1A365D"/>
          <w:sz w:val="36"/>
        </w:rPr>
        <w:t>ĐỀ TÀI: ỨNG DỤNG QUẢN LÝ TÀI CHÍNH CÁ NHÂN</w:t>
        <w:br/>
        <w:t>EXPENSE MANAGER</w:t>
        <w:br/>
      </w:r>
    </w:p>
    <w:p>
      <w:pPr>
        <w:spacing w:before="360" w:after="120"/>
      </w:pPr>
      <w:r>
        <w:rPr>
          <w:b/>
          <w:sz w:val="28"/>
        </w:rPr>
        <w:t>1. Tên đề tài</w:t>
      </w:r>
    </w:p>
    <w:p>
      <w:pPr>
        <w:ind w:left="283"/>
      </w:pPr>
      <w:r>
        <w:t>Xây dựng ứng dụng quản lý tài chính cá nhân Expense Manager trên nền tảng Android.</w:t>
      </w:r>
    </w:p>
    <w:p>
      <w:pPr>
        <w:spacing w:before="240" w:after="120"/>
      </w:pPr>
      <w:r>
        <w:rPr>
          <w:b/>
          <w:sz w:val="28"/>
        </w:rPr>
        <w:t>2. Số lượng sinh viên thực hiện: 01 sinh viên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68"/>
        <w:gridCol w:w="2268"/>
        <w:gridCol w:w="2268"/>
        <w:gridCol w:w="2268"/>
      </w:tblGrid>
      <w:tr>
        <w:tc>
          <w:tcPr>
            <w:tcW w:type="dxa" w:w="2268"/>
            <w:shd w:val="clear" w:color="auto" w:fill="1A365D"/>
          </w:tcPr>
          <w:p>
            <w:pPr>
              <w:jc w:val="center"/>
            </w:pPr>
            <w:r>
              <w:rPr>
                <w:b/>
                <w:color w:val="FFFFFF"/>
                <w:sz w:val="22"/>
              </w:rPr>
              <w:t>STT</w:t>
            </w:r>
          </w:p>
        </w:tc>
        <w:tc>
          <w:tcPr>
            <w:tcW w:type="dxa" w:w="2268"/>
            <w:shd w:val="clear" w:color="auto" w:fill="1A365D"/>
          </w:tcPr>
          <w:p>
            <w:pPr>
              <w:jc w:val="center"/>
            </w:pPr>
            <w:r>
              <w:rPr>
                <w:b/>
                <w:color w:val="FFFFFF"/>
                <w:sz w:val="22"/>
              </w:rPr>
              <w:t>Họ và tên</w:t>
            </w:r>
          </w:p>
        </w:tc>
        <w:tc>
          <w:tcPr>
            <w:tcW w:type="dxa" w:w="2268"/>
            <w:shd w:val="clear" w:color="auto" w:fill="1A365D"/>
          </w:tcPr>
          <w:p>
            <w:pPr>
              <w:jc w:val="center"/>
            </w:pPr>
            <w:r>
              <w:rPr>
                <w:b/>
                <w:color w:val="FFFFFF"/>
                <w:sz w:val="22"/>
              </w:rPr>
              <w:t>MSSV</w:t>
            </w:r>
          </w:p>
        </w:tc>
        <w:tc>
          <w:tcPr>
            <w:tcW w:type="dxa" w:w="2268"/>
            <w:shd w:val="clear" w:color="auto" w:fill="1A365D"/>
          </w:tcPr>
          <w:p>
            <w:pPr>
              <w:jc w:val="center"/>
            </w:pPr>
            <w:r>
              <w:rPr>
                <w:b/>
                <w:color w:val="FFFFFF"/>
                <w:sz w:val="22"/>
              </w:rPr>
              <w:t>Vai trò</w:t>
            </w:r>
          </w:p>
        </w:tc>
      </w:tr>
      <w:tr>
        <w:tc>
          <w:tcPr>
            <w:tcW w:type="dxa" w:w="2268"/>
          </w:tcPr>
          <w:p>
            <w:pPr>
              <w:jc w:val="center"/>
            </w:pPr>
            <w:r>
              <w:rPr>
                <w:sz w:val="22"/>
              </w:rPr>
              <w:t>1</w:t>
            </w:r>
          </w:p>
        </w:tc>
        <w:tc>
          <w:tcPr>
            <w:tcW w:type="dxa" w:w="2268"/>
          </w:tcPr>
          <w:p>
            <w:pPr>
              <w:jc w:val="left"/>
            </w:pPr>
            <w:r>
              <w:rPr>
                <w:sz w:val="22"/>
              </w:rPr>
              <w:t>Nguyễn Ngọc Hoàng</w:t>
            </w:r>
          </w:p>
        </w:tc>
        <w:tc>
          <w:tcPr>
            <w:tcW w:type="dxa" w:w="2268"/>
          </w:tcPr>
          <w:p>
            <w:pPr>
              <w:jc w:val="center"/>
            </w:pPr>
            <w:r>
              <w:rPr>
                <w:sz w:val="22"/>
              </w:rPr>
              <w:t>N22DCVT054</w:t>
            </w:r>
          </w:p>
        </w:tc>
        <w:tc>
          <w:tcPr>
            <w:tcW w:type="dxa" w:w="2268"/>
          </w:tcPr>
          <w:p>
            <w:pPr>
              <w:jc w:val="left"/>
            </w:pPr>
            <w:r>
              <w:rPr>
                <w:sz w:val="22"/>
              </w:rPr>
              <w:t>Trưởng nhóm (Độc lập thực hiện)</w:t>
            </w:r>
          </w:p>
        </w:tc>
      </w:tr>
    </w:tbl>
    <w:p>
      <w:pPr>
        <w:spacing w:after="240"/>
      </w:pPr>
    </w:p>
    <w:p>
      <w:r>
        <w:rPr>
          <w:b/>
          <w:sz w:val="28"/>
        </w:rPr>
        <w:t>3. Mô tả đề tài chi tiết các phân hệ chức năng</w:t>
      </w:r>
    </w:p>
    <w:p>
      <w:pPr>
        <w:spacing w:before="240" w:after="80"/>
      </w:pPr>
      <w:r>
        <w:rPr>
          <w:b/>
          <w:sz w:val="24"/>
        </w:rPr>
        <w:t>• Phần hệ Quản lý Danh mục (Category Customization)</w:t>
      </w:r>
    </w:p>
    <w:p>
      <w:pPr>
        <w:spacing w:after="160" w:line="276" w:lineRule="auto"/>
        <w:ind w:left="283"/>
        <w:jc w:val="both"/>
      </w:pPr>
      <w:r>
        <w:t>Hệ thống cung cấp danh mục thu/chi chi tiết nhằm phục vụ nhu cầu phân loại dòng tiền của người dùng. Để cá nhân hóa trải nghiệm, nhóm phát triển đã tích hợp bộ mã màu Hex riêng biệt cùng bộ sưu tập icon đặc trưng trực quan cho 13 danh mục mặc định. Đối với cơ chế mở rộng (customization), cơ sở dữ liệu Room Database được thiết kế với cấu trúc sẵn sàng hỗ trợ việc thêm mới danh mục (insert) và chỉnh sửa (update) thông qua CategoryDao.</w:t>
        <w:br/>
        <w:br/>
        <w:t>Hệ thống phân biệt rõ ràng hai loại danh mục: "Thu nhập" (Income) và "Chi tiêu" (Expense), đảm bảo việc theo dõi dòng tiền chính xác. Hơn nữa, các danh mục này được sử dụng xuyên suốt trong ứng dụng, từ giao diện nhập liệu trong màn hình giao dịch (hiển thị dưới dạng GridView) đến các biểu đồ thống kê và báo cáo, tạo nên sự nhất quán về mặt trực quan (Visual Consistency). Quan hệ giữa bảng categories và transactions được ràng buộc bằng ForeignKey với chính sách onDelete = SET_NULL để bảo toàn dữ liệu giao dịch khi danh mục bị xóa.</w:t>
      </w:r>
    </w:p>
    <w:p>
      <w:pPr>
        <w:spacing w:before="240" w:after="80"/>
      </w:pPr>
      <w:r>
        <w:rPr>
          <w:b/>
          <w:sz w:val="24"/>
        </w:rPr>
        <w:t>• Phần hệ Quản lý Ngân sách (Budget Control)</w:t>
      </w:r>
    </w:p>
    <w:p>
      <w:pPr>
        <w:spacing w:after="160" w:line="276" w:lineRule="auto"/>
        <w:ind w:left="283"/>
        <w:jc w:val="both"/>
      </w:pPr>
      <w:r>
        <w:t>Đây là chức năng đóng vai trò "người giám sát" tài chính của người dùng. Người dùng có thể thiết lập hạn mức chi tiêu tối đa cho từng danh mục cụ thể trong tháng (ví dụ: 2.000.000 VNĐ cho Ăn uống). Về mặt xử lý logic, hệ thống sử dụng Room Database để theo dõi chi tiêu thực tế cho từng danh mục trong mỗi kỳ thanh toán.</w:t>
        <w:br/>
        <w:br/>
        <w:t>Màn hình này sẽ chạy truy vấn SQL tổng hợp (getSpentPerCategory) để tính tổng tất cả các giao dịch chi tiêu thuộc danh mục đó trong tháng hiện tại và so sánh với hạn mức đã đặt. Kết quả được hiển thị dưới dạng thanh tiến trình (ProgressBar) với công thức tính tỷ lệ phần trăm (spent / budget) × 100. Nếu số tiền chi tiêu vượt quá hạn mức, thanh tiến trình sẽ chuyển sang màu đỏ và hiển thị cảnh báo số tiền vượt, giúp người dùng điều chỉnh hành vi tiêu dùng kịp thời. Ngược lại, nếu còn trong hạn mức, hệ thống hiển thị số tiền còn lại với màu xanh lá trực quan.</w:t>
      </w:r>
    </w:p>
    <w:p>
      <w:pPr>
        <w:spacing w:before="240" w:after="80"/>
      </w:pPr>
      <w:r>
        <w:rPr>
          <w:b/>
          <w:sz w:val="24"/>
        </w:rPr>
        <w:t>• Phần hệ Quản lý Giao dịch (Dashboard)</w:t>
      </w:r>
    </w:p>
    <w:p>
      <w:pPr>
        <w:spacing w:after="160" w:line="276" w:lineRule="auto"/>
        <w:ind w:left="283"/>
        <w:jc w:val="both"/>
      </w:pPr>
      <w:r>
        <w:t>Giao diện chính (Dashboard) trên HomeFragment được thiết kế với triết lý cung cấp thông tin tài chính cốt lõi ngay lập tức. Phần trên cùng hiển thị tổng quan tài chính tháng hiện tại gồm ba chỉ số then chốt: tổng thu nhập (Income), tổng chi tiêu (Expense), và số dư (Balance = Thu nhập − Chi tiêu). Số dư được tính toán phản ứng (reactive) thông qua cơ chế MediatorLiveData trong HomeViewModel, tự động cập nhật mỗi khi tổng thu nhập hoặc tổng chi tiêu thay đổi mà không cần tính toán lại thủ công. Tất cả giá trị tiền tệ được định dạng theo tiêu chuẩn Việt Nam (phân cách hàng nghìn bằng dấu chấm, ký hiệu ₫) thông qua lớp tiện ích CurrencyFormatter.</w:t>
        <w:br/>
        <w:br/>
        <w:t>Ngay bên dưới là danh sách 5 giao dịch gần đây nhất trong tháng hiện tại, được hiển thị qua ListView với BaseAdapter tùy chỉnh (TransactionListAdapter). Người dùng có thể nhấn nhanh (click) vào bất kỳ giao dịch nào để mở màn hình chỉnh sửa giao dịch, hoặc nhấn giữ (long click) để hiển thị hộp thoại AlertDialog xác nhận xóa giao dịch. Màn hình thêm/sửa giao dịch (AddEditTransactionActivity) hỗ trợ chọn ngày qua DatePickerDialog, chọn loại giao dịch qua MaterialButtonToggleGroup, chọn danh mục qua GridView, đáp ứng linh hoạt cả hai chế độ tạo mới (INSERT) và cập nhật (UPDATE).</w:t>
      </w:r>
    </w:p>
    <w:p>
      <w:pPr>
        <w:spacing w:before="240" w:after="80"/>
      </w:pPr>
      <w:r>
        <w:rPr>
          <w:b/>
          <w:sz w:val="24"/>
        </w:rPr>
        <w:t>• Phần hệ Báo cáo và Thống kê</w:t>
      </w:r>
    </w:p>
    <w:p>
      <w:pPr>
        <w:spacing w:after="160" w:line="276" w:lineRule="auto"/>
        <w:ind w:left="283"/>
        <w:jc w:val="both"/>
      </w:pPr>
      <w:r>
        <w:t>Đây là tính năng hỗ trợ phân tích dữ liệu có giá trị của ứng dụng. Nhóm sử dụng thư viện MPAndroidChart (com.github.PhilJay:MPAndroidChart:v3.1.0) để xây dựng các biểu đồ trực quan. Biểu đồ tròn Donut (Pie Chart với lỗ rỗng ở giữa, holeRadius = 45f) được dùng để thể hiện tỷ lệ chi tiêu theo danh mục, giúp người dùng nhận biết danh mục nào đang chiếm tỷ trọng lớn nhất (ví dụ: Ăn uống). Biểu đồ sử dụng đúng màu của danh mục tương ứng và hiển thị phần trăm bằng PercentFormatter với hiệu ứng hoạt ảnh khi load (animateY(800)).</w:t>
        <w:br/>
        <w:br/>
        <w:t>Hệ thống hỗ trợ chuyển đổi tháng qua nút Trước/Sau, sử dụng Transformations.switchMap() trên selectedMonthYear LiveData để tự động truy vấn lại dữ liệu thống kê của tháng được chọn mà không cần tải lại Fragment. Ngoài ra, tab Lịch sử Tài chính hiển thị tổng hợp thu/chi/số dư theo từng tháng qua truy vấn SQL nhóm giao dịch theo tháng (strftime) kết hợp CASE WHEN để tách riêng tổng thu nhập và tổng chi tiêu trong cùng một truy vấn, hiển thị màu xanh lá nếu thặng dư và màu đỏ nếu thâm hụt.</w:t>
      </w:r>
    </w:p>
    <w:p>
      <w:pPr>
        <w:spacing w:before="240" w:after="80"/>
      </w:pPr>
      <w:r>
        <w:rPr>
          <w:b/>
          <w:sz w:val="24"/>
        </w:rPr>
        <w:t>• Phần hệ Quản lý Mục tiêu (Goals)</w:t>
      </w:r>
    </w:p>
    <w:p>
      <w:pPr>
        <w:spacing w:after="160" w:line="276" w:lineRule="auto"/>
        <w:ind w:left="283"/>
        <w:jc w:val="both"/>
      </w:pPr>
      <w:r>
        <w:t>Tính năng này giúp người dùng thiết lập và theo dõi các mục tiêu tiết kiệm dài hạn. Khi người dùng tạo mới mục tiêu tiết kiệm (ví dụ: Mua Laptop với số tiền 20.000.000 VNĐ), hệ thống sử dụng thanh tiến trình (ProgressBar) để phản ánh tỷ lệ hoàn thành dựa trên số tiền nạp tích lũy so với mục tiêu đề ra.</w:t>
        <w:br/>
        <w:br/>
        <w:t>Mục tiêu cũng được theo dõi trạng thái trực quan thông qua màu sắc biểu thị tiến độ: màu xanh lá thể hiện đang thực hiện đúng kế hoạch tiết kiệm, màu vàng cảnh báo sắp đến hạn deadline, và màu đỏ cảnh báo khi đã quá hạn deadline nhưng chưa đạt đủ số tiền mục tiêu tích lũy.</w:t>
      </w:r>
    </w:p>
    <w:p>
      <w:pPr>
        <w:spacing w:before="240" w:after="80"/>
      </w:pPr>
      <w:r>
        <w:rPr>
          <w:b/>
          <w:sz w:val="24"/>
        </w:rPr>
        <w:t>• Phần hệ Quản lý Người dùng</w:t>
      </w:r>
    </w:p>
    <w:p>
      <w:pPr>
        <w:spacing w:after="160" w:line="276" w:lineRule="auto"/>
        <w:ind w:left="283"/>
        <w:jc w:val="both"/>
      </w:pPr>
      <w:r>
        <w:t>Phân hệ này đảm bảo tính riêng tư, bảo mật và quản lý cá nhân hóa giao diện người dùng:</w:t>
        <w:br/>
        <w:t>• Quản lý tài khoản: Hỗ trợ đăng ký tài khoản mới với quy trình xác thực định dạng email (android.util.Patterns.EMAIL_ADDRESS) và kiểm tra mật khẩu mạnh (tối thiểu 6 ký tự). Đăng nhập an toàn với mật khẩu được mã hóa một chiều bằng thuật toán BCrypt (cost factor = 12) trước khi lưu vào Room Database.</w:t>
        <w:br/>
        <w:t>• Xác thực và phiên làm việc: Quản lý phiên đăng nhập thông qua lớp SessionManager kết hợp SharedPreferences. Khi khởi động ứng dụng, hệ thống thực hiện xác thực session kép (double-validation) so khớp giữa session và database để bảo vệ tài khoản.</w:t>
        <w:br/>
        <w:t>• Quản lý hồ sơ: Người dùng có thể cập nhật thông tin cá nhân (như tên hiển thị), cơ sở dữ liệu Room sẵn sàng hỗ trợ cập nhật ảnh đại diện (Avatar).</w:t>
        <w:br/>
        <w:t>• Giao diện người dùng: Hỗ trợ chuyển đổi giữa chế độ sáng (Light mode) và chế độ tối (Dark mode) thông qua SwitchMaterial trên màn hình Cài đặt, sử dụng lớp ThemeManager kế thừa AppCompatDelegate để áp dụng theme tức thì cho toàn bộ ứng dụng mà không cần khởi động lại.</w:t>
      </w:r>
    </w:p>
    <w:p>
      <w:pPr>
        <w:spacing w:before="360" w:after="120"/>
      </w:pPr>
      <w:r>
        <w:rPr>
          <w:b/>
          <w:sz w:val="26"/>
        </w:rPr>
        <w:t>Công nghệ sử dụng trong dự án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24"/>
        <w:gridCol w:w="3024"/>
        <w:gridCol w:w="3024"/>
      </w:tblGrid>
      <w:tr>
        <w:tc>
          <w:tcPr>
            <w:tcW w:type="dxa" w:w="3024"/>
            <w:shd w:val="clear" w:color="auto" w:fill="2D3748"/>
          </w:tcPr>
          <w:p>
            <w:pPr>
              <w:jc w:val="center"/>
            </w:pPr>
            <w:r>
              <w:rPr>
                <w:b/>
                <w:color w:val="FFFFFF"/>
                <w:sz w:val="21"/>
              </w:rPr>
              <w:t>Công nghệ</w:t>
            </w:r>
          </w:p>
        </w:tc>
        <w:tc>
          <w:tcPr>
            <w:tcW w:type="dxa" w:w="3024"/>
            <w:shd w:val="clear" w:color="auto" w:fill="2D3748"/>
          </w:tcPr>
          <w:p>
            <w:pPr>
              <w:jc w:val="center"/>
            </w:pPr>
            <w:r>
              <w:rPr>
                <w:b/>
                <w:color w:val="FFFFFF"/>
                <w:sz w:val="21"/>
              </w:rPr>
              <w:t>Mục đích sử dụng</w:t>
            </w:r>
          </w:p>
        </w:tc>
        <w:tc>
          <w:tcPr>
            <w:tcW w:type="dxa" w:w="3024"/>
            <w:shd w:val="clear" w:color="auto" w:fill="2D3748"/>
          </w:tcPr>
          <w:p>
            <w:pPr>
              <w:jc w:val="center"/>
            </w:pPr>
            <w:r>
              <w:rPr>
                <w:b/>
                <w:color w:val="FFFFFF"/>
                <w:sz w:val="21"/>
              </w:rPr>
              <w:t>Phiên bản</w:t>
            </w:r>
          </w:p>
        </w:tc>
      </w:tr>
      <w:tr>
        <w:tc>
          <w:tcPr>
            <w:tcW w:type="dxa" w:w="3024"/>
          </w:tcPr>
          <w:p>
            <w:pPr>
              <w:jc w:val="center"/>
            </w:pPr>
            <w:r>
              <w:rPr>
                <w:sz w:val="21"/>
              </w:rPr>
              <w:t>Java</w:t>
            </w:r>
          </w:p>
        </w:tc>
        <w:tc>
          <w:tcPr>
            <w:tcW w:type="dxa" w:w="3024"/>
          </w:tcPr>
          <w:p>
            <w:pPr>
              <w:jc w:val="left"/>
            </w:pPr>
            <w:r>
              <w:rPr>
                <w:sz w:val="21"/>
              </w:rPr>
              <w:t>Ngôn ngữ lập trình chính</w:t>
            </w:r>
          </w:p>
        </w:tc>
        <w:tc>
          <w:tcPr>
            <w:tcW w:type="dxa" w:w="3024"/>
          </w:tcPr>
          <w:p>
            <w:pPr>
              <w:jc w:val="center"/>
            </w:pPr>
            <w:r>
              <w:rPr>
                <w:sz w:val="21"/>
              </w:rPr>
              <w:t>JDK 11</w:t>
            </w:r>
          </w:p>
        </w:tc>
      </w:tr>
      <w:tr>
        <w:tc>
          <w:tcPr>
            <w:tcW w:type="dxa" w:w="3024"/>
            <w:shd w:val="clear" w:color="auto" w:fill="F7FAFC"/>
          </w:tcPr>
          <w:p>
            <w:pPr>
              <w:jc w:val="center"/>
            </w:pPr>
            <w:r>
              <w:rPr>
                <w:sz w:val="21"/>
              </w:rPr>
              <w:t>Android SDK</w:t>
            </w:r>
          </w:p>
        </w:tc>
        <w:tc>
          <w:tcPr>
            <w:tcW w:type="dxa" w:w="3024"/>
            <w:shd w:val="clear" w:color="auto" w:fill="F7FAFC"/>
          </w:tcPr>
          <w:p>
            <w:pPr>
              <w:jc w:val="left"/>
            </w:pPr>
            <w:r>
              <w:rPr>
                <w:sz w:val="21"/>
              </w:rPr>
              <w:t>Nền tảng phát triển ứng dụng di động</w:t>
            </w:r>
          </w:p>
        </w:tc>
        <w:tc>
          <w:tcPr>
            <w:tcW w:type="dxa" w:w="3024"/>
            <w:shd w:val="clear" w:color="auto" w:fill="F7FAFC"/>
          </w:tcPr>
          <w:p>
            <w:pPr>
              <w:jc w:val="center"/>
            </w:pPr>
            <w:r>
              <w:rPr>
                <w:sz w:val="21"/>
              </w:rPr>
              <w:t>compileSdk 35, minSdk 26</w:t>
            </w:r>
          </w:p>
        </w:tc>
      </w:tr>
      <w:tr>
        <w:tc>
          <w:tcPr>
            <w:tcW w:type="dxa" w:w="3024"/>
          </w:tcPr>
          <w:p>
            <w:pPr>
              <w:jc w:val="center"/>
            </w:pPr>
            <w:r>
              <w:rPr>
                <w:sz w:val="21"/>
              </w:rPr>
              <w:t>Room Database</w:t>
            </w:r>
          </w:p>
        </w:tc>
        <w:tc>
          <w:tcPr>
            <w:tcW w:type="dxa" w:w="3024"/>
          </w:tcPr>
          <w:p>
            <w:pPr>
              <w:jc w:val="left"/>
            </w:pPr>
            <w:r>
              <w:rPr>
                <w:sz w:val="21"/>
              </w:rPr>
              <w:t>ORM SQLite cục bộ lưu trữ dữ liệu an toàn</w:t>
            </w:r>
          </w:p>
        </w:tc>
        <w:tc>
          <w:tcPr>
            <w:tcW w:type="dxa" w:w="3024"/>
          </w:tcPr>
          <w:p>
            <w:pPr>
              <w:jc w:val="center"/>
            </w:pPr>
            <w:r>
              <w:rPr>
                <w:sz w:val="21"/>
              </w:rPr>
              <w:t>2.6.1</w:t>
            </w:r>
          </w:p>
        </w:tc>
      </w:tr>
      <w:tr>
        <w:tc>
          <w:tcPr>
            <w:tcW w:type="dxa" w:w="3024"/>
            <w:shd w:val="clear" w:color="auto" w:fill="F7FAFC"/>
          </w:tcPr>
          <w:p>
            <w:pPr>
              <w:jc w:val="center"/>
            </w:pPr>
            <w:r>
              <w:rPr>
                <w:sz w:val="21"/>
              </w:rPr>
              <w:t>LiveData + ViewModel</w:t>
            </w:r>
          </w:p>
        </w:tc>
        <w:tc>
          <w:tcPr>
            <w:tcW w:type="dxa" w:w="3024"/>
            <w:shd w:val="clear" w:color="auto" w:fill="F7FAFC"/>
          </w:tcPr>
          <w:p>
            <w:pPr>
              <w:jc w:val="left"/>
            </w:pPr>
            <w:r>
              <w:rPr>
                <w:sz w:val="21"/>
              </w:rPr>
              <w:t>Quản lý vòng đời và phản ứng trạng thái UI</w:t>
            </w:r>
          </w:p>
        </w:tc>
        <w:tc>
          <w:tcPr>
            <w:tcW w:type="dxa" w:w="3024"/>
            <w:shd w:val="clear" w:color="auto" w:fill="F7FAFC"/>
          </w:tcPr>
          <w:p>
            <w:pPr>
              <w:jc w:val="center"/>
            </w:pPr>
            <w:r>
              <w:rPr>
                <w:sz w:val="21"/>
              </w:rPr>
              <w:t>2.7.0</w:t>
            </w:r>
          </w:p>
        </w:tc>
      </w:tr>
      <w:tr>
        <w:tc>
          <w:tcPr>
            <w:tcW w:type="dxa" w:w="3024"/>
          </w:tcPr>
          <w:p>
            <w:pPr>
              <w:jc w:val="center"/>
            </w:pPr>
            <w:r>
              <w:rPr>
                <w:sz w:val="21"/>
              </w:rPr>
              <w:t>Navigation Component</w:t>
            </w:r>
          </w:p>
        </w:tc>
        <w:tc>
          <w:tcPr>
            <w:tcW w:type="dxa" w:w="3024"/>
          </w:tcPr>
          <w:p>
            <w:pPr>
              <w:jc w:val="left"/>
            </w:pPr>
            <w:r>
              <w:rPr>
                <w:sz w:val="21"/>
              </w:rPr>
              <w:t>Điều hướng Fragment mượt mà qua đồ thị</w:t>
            </w:r>
          </w:p>
        </w:tc>
        <w:tc>
          <w:tcPr>
            <w:tcW w:type="dxa" w:w="3024"/>
          </w:tcPr>
          <w:p>
            <w:pPr>
              <w:jc w:val="center"/>
            </w:pPr>
            <w:r>
              <w:rPr>
                <w:sz w:val="21"/>
              </w:rPr>
              <w:t>2.7.7</w:t>
            </w:r>
          </w:p>
        </w:tc>
      </w:tr>
      <w:tr>
        <w:tc>
          <w:tcPr>
            <w:tcW w:type="dxa" w:w="3024"/>
            <w:shd w:val="clear" w:color="auto" w:fill="F7FAFC"/>
          </w:tcPr>
          <w:p>
            <w:pPr>
              <w:jc w:val="center"/>
            </w:pPr>
            <w:r>
              <w:rPr>
                <w:sz w:val="21"/>
              </w:rPr>
              <w:t>MPAndroidChart</w:t>
            </w:r>
          </w:p>
        </w:tc>
        <w:tc>
          <w:tcPr>
            <w:tcW w:type="dxa" w:w="3024"/>
            <w:shd w:val="clear" w:color="auto" w:fill="F7FAFC"/>
          </w:tcPr>
          <w:p>
            <w:pPr>
              <w:jc w:val="left"/>
            </w:pPr>
            <w:r>
              <w:rPr>
                <w:sz w:val="21"/>
              </w:rPr>
              <w:t>Thư viện vẽ biểu đồ thống kê chuyên nghiệp</w:t>
            </w:r>
          </w:p>
        </w:tc>
        <w:tc>
          <w:tcPr>
            <w:tcW w:type="dxa" w:w="3024"/>
            <w:shd w:val="clear" w:color="auto" w:fill="F7FAFC"/>
          </w:tcPr>
          <w:p>
            <w:pPr>
              <w:jc w:val="center"/>
            </w:pPr>
            <w:r>
              <w:rPr>
                <w:sz w:val="21"/>
              </w:rPr>
              <w:t>v3.1.0</w:t>
            </w:r>
          </w:p>
        </w:tc>
      </w:tr>
      <w:tr>
        <w:tc>
          <w:tcPr>
            <w:tcW w:type="dxa" w:w="3024"/>
          </w:tcPr>
          <w:p>
            <w:pPr>
              <w:jc w:val="center"/>
            </w:pPr>
            <w:r>
              <w:rPr>
                <w:sz w:val="21"/>
              </w:rPr>
              <w:t>BCrypt (favre)</w:t>
            </w:r>
          </w:p>
        </w:tc>
        <w:tc>
          <w:tcPr>
            <w:tcW w:type="dxa" w:w="3024"/>
          </w:tcPr>
          <w:p>
            <w:pPr>
              <w:jc w:val="left"/>
            </w:pPr>
            <w:r>
              <w:rPr>
                <w:sz w:val="21"/>
              </w:rPr>
              <w:t>Mã hóa mật khẩu một chiều của người dùng</w:t>
            </w:r>
          </w:p>
        </w:tc>
        <w:tc>
          <w:tcPr>
            <w:tcW w:type="dxa" w:w="3024"/>
          </w:tcPr>
          <w:p>
            <w:pPr>
              <w:jc w:val="center"/>
            </w:pPr>
            <w:r>
              <w:rPr>
                <w:sz w:val="21"/>
              </w:rPr>
              <w:t>0.10.2</w:t>
            </w:r>
          </w:p>
        </w:tc>
      </w:tr>
      <w:tr>
        <w:tc>
          <w:tcPr>
            <w:tcW w:type="dxa" w:w="3024"/>
            <w:shd w:val="clear" w:color="auto" w:fill="F7FAFC"/>
          </w:tcPr>
          <w:p>
            <w:pPr>
              <w:jc w:val="center"/>
            </w:pPr>
            <w:r>
              <w:rPr>
                <w:sz w:val="21"/>
              </w:rPr>
              <w:t>Material Design 3</w:t>
            </w:r>
          </w:p>
        </w:tc>
        <w:tc>
          <w:tcPr>
            <w:tcW w:type="dxa" w:w="3024"/>
            <w:shd w:val="clear" w:color="auto" w:fill="F7FAFC"/>
          </w:tcPr>
          <w:p>
            <w:pPr>
              <w:jc w:val="left"/>
            </w:pPr>
            <w:r>
              <w:rPr>
                <w:sz w:val="21"/>
              </w:rPr>
              <w:t>Các thành phần UI hiện đại theo chuẩn Google</w:t>
            </w:r>
          </w:p>
        </w:tc>
        <w:tc>
          <w:tcPr>
            <w:tcW w:type="dxa" w:w="3024"/>
            <w:shd w:val="clear" w:color="auto" w:fill="F7FAFC"/>
          </w:tcPr>
          <w:p>
            <w:pPr>
              <w:jc w:val="center"/>
            </w:pPr>
            <w:r>
              <w:rPr>
                <w:sz w:val="21"/>
              </w:rPr>
              <w:t>Material Components</w:t>
            </w:r>
          </w:p>
        </w:tc>
      </w:tr>
      <w:tr>
        <w:tc>
          <w:tcPr>
            <w:tcW w:type="dxa" w:w="3024"/>
          </w:tcPr>
          <w:p>
            <w:pPr>
              <w:jc w:val="center"/>
            </w:pPr>
            <w:r>
              <w:rPr>
                <w:sz w:val="21"/>
              </w:rPr>
              <w:t>SharedPreferences</w:t>
            </w:r>
          </w:p>
        </w:tc>
        <w:tc>
          <w:tcPr>
            <w:tcW w:type="dxa" w:w="3024"/>
          </w:tcPr>
          <w:p>
            <w:pPr>
              <w:jc w:val="left"/>
            </w:pPr>
            <w:r>
              <w:rPr>
                <w:sz w:val="21"/>
              </w:rPr>
              <w:t>Lưu trạng thái phiên đăng nhập và giao diện</w:t>
            </w:r>
          </w:p>
        </w:tc>
        <w:tc>
          <w:tcPr>
            <w:tcW w:type="dxa" w:w="3024"/>
          </w:tcPr>
          <w:p>
            <w:pPr>
              <w:jc w:val="center"/>
            </w:pPr>
            <w:r>
              <w:rPr>
                <w:sz w:val="21"/>
              </w:rPr>
              <w:t>Android Native</w:t>
            </w:r>
          </w:p>
        </w:tc>
      </w:tr>
    </w:tbl>
    <w:p>
      <w:pPr>
        <w:spacing w:after="360"/>
      </w:pPr>
    </w:p>
    <w:p>
      <w:pPr>
        <w:spacing w:before="360" w:after="120"/>
      </w:pPr>
      <w:r>
        <w:rPr>
          <w:b/>
          <w:sz w:val="28"/>
        </w:rPr>
        <w:t>4. Yêu cầu của học viện (CLO Mapping)</w:t>
      </w:r>
    </w:p>
    <w:p>
      <w:pPr>
        <w:pStyle w:val="ListBullet"/>
        <w:spacing w:after="80" w:line="276" w:lineRule="auto"/>
        <w:jc w:val="both"/>
      </w:pPr>
      <w:r>
        <w:rPr>
          <w:sz w:val="24"/>
        </w:rPr>
        <w:t>Phát triển ứng dụng di động bằng ngôn ngữ lập trình Java đáp ứng các yêu cầu về chức năng và giao diện sau. [CLO1]</w:t>
      </w:r>
    </w:p>
    <w:p>
      <w:pPr>
        <w:pStyle w:val="ListBullet"/>
        <w:spacing w:after="80" w:line="276" w:lineRule="auto"/>
        <w:jc w:val="both"/>
      </w:pPr>
      <w:r>
        <w:rPr>
          <w:sz w:val="24"/>
        </w:rPr>
        <w:t>Ứng dụng phải được xây dựng trên nền tảng Android với các thành phần TextView, EditText, ListView, GridView (cùng code mẫu tham khảo đối chứng RecyclerView), FloatingActionButton, MaterialButtonToggleGroup, Chip, ProgressBar, SwitchMaterial, BottomNavigationView, DatePickerDialog, AlertDialog, kết hợp kiến trúc MVVM, Room Database, LiveData, Navigation Component, SharedPreferences. [CLO1]</w:t>
      </w:r>
    </w:p>
    <w:p>
      <w:pPr>
        <w:pStyle w:val="ListBullet"/>
        <w:spacing w:after="80" w:line="276" w:lineRule="auto"/>
        <w:jc w:val="both"/>
      </w:pPr>
      <w:r>
        <w:rPr>
          <w:sz w:val="24"/>
        </w:rPr>
        <w:t>Có phần đăng ký và login, bảo vệ tài khoản cá nhân và quyền riêng tư để đáp ứng các yêu cầu nghiệp vụ trên. Mật khẩu được mã hóa bằng BCrypt, phiên làm việc được xác thực kép tại cả LoginActivity và MainActivity. [CLO2]</w:t>
      </w:r>
    </w:p>
    <w:p>
      <w:pPr>
        <w:pStyle w:val="ListBullet"/>
        <w:spacing w:after="80" w:line="276" w:lineRule="auto"/>
        <w:jc w:val="both"/>
      </w:pPr>
      <w:r>
        <w:rPr>
          <w:sz w:val="24"/>
        </w:rPr>
        <w:t>Triển khai và bảo vệ được kết quả công việc của cá nhân, mô hình kiến trúc MVVM + Repository Pattern, các tiêu chuẩn, nguyên tắc áp dụng trong dự án. [CLO2]</w:t>
      </w:r>
    </w:p>
    <w:p>
      <w:pPr>
        <w:spacing w:before="360" w:after="120"/>
      </w:pPr>
      <w:r>
        <w:rPr>
          <w:b/>
          <w:sz w:val="28"/>
        </w:rPr>
        <w:t>5. Các biện pháp Bảo mật</w:t>
      </w:r>
    </w:p>
    <w:p>
      <w:pPr>
        <w:pStyle w:val="ListBullet"/>
        <w:spacing w:after="80" w:line="276" w:lineRule="auto"/>
        <w:jc w:val="both"/>
      </w:pPr>
      <w:r>
        <w:rPr>
          <w:sz w:val="24"/>
        </w:rPr>
        <w:t>Mã hóa mật khẩu: Mật khẩu của người dùng được mã hóa một chiều bằng thuật toán BCrypt (cost factor = 12, salt ngẫu nhiên) trước khi lưu vào cơ sở dữ liệu, đảm bảo an toàn tuyệt đối ngay cả khi dữ liệu bị rò rỉ.</w:t>
      </w:r>
    </w:p>
    <w:p>
      <w:pPr>
        <w:pStyle w:val="ListBullet"/>
        <w:spacing w:after="80" w:line="276" w:lineRule="auto"/>
        <w:jc w:val="both"/>
      </w:pPr>
      <w:r>
        <w:rPr>
          <w:sz w:val="24"/>
        </w:rPr>
        <w:t>Bảo vệ dữ liệu: Sử dụng Room Database với các ràng buộc khóa ngoại (Foreign Key) để đảm bảo tính toàn vẹn dữ liệu. Các thao tác xóa người dùng được thiết lập CASCADE để tự động dọn sạch các bản ghi liên quan (giao dịch, ngân sách). Các thao tác xóa danh mục thiết lập SET_NULL để giữ lại lịch sử giao dịch.</w:t>
      </w:r>
    </w:p>
    <w:p>
      <w:pPr>
        <w:pStyle w:val="ListBullet"/>
        <w:spacing w:after="80" w:line="276" w:lineRule="auto"/>
        <w:jc w:val="both"/>
      </w:pPr>
      <w:r>
        <w:rPr>
          <w:sz w:val="24"/>
        </w:rPr>
        <w:t>Xác thực và phiên làm việc: Đăng nhập thông qua email/mật khẩu, quản lý phiên làm việc bằng SharedPreferences và kiểm tra tính hợp lệ kép (double-validation) ở cả Activity bắt đầu và MainActivity để ngăn chặn tài khoản bị xóa vẫn truy cập được dữ liệu.</w:t>
      </w:r>
    </w:p>
    <w:p>
      <w:pPr>
        <w:spacing w:before="720"/>
        <w:jc w:val="right"/>
      </w:pPr>
      <w:r>
        <w:rPr>
          <w:i/>
          <w:sz w:val="22"/>
        </w:rPr>
        <w:t>Ngày nộp báo cáo: 13/06/2026</w:t>
        <w:br/>
        <w:t>Sinh viên thực hiện: Nguyễn Ngọc Hoàng (Ký tên)</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