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3AF0" w14:textId="5ED0097A" w:rsidR="004B0C77" w:rsidRDefault="001D0B83" w:rsidP="001D0B83">
      <w:pPr>
        <w:pStyle w:val="Title"/>
        <w:rPr>
          <w:lang w:val="en-AU"/>
        </w:rPr>
      </w:pPr>
      <w:r>
        <w:rPr>
          <w:lang w:val="en-AU"/>
        </w:rPr>
        <w:t>Comparison of 5XFAD mouse and fAD-like zebrafish brain transcriptomes</w:t>
      </w:r>
    </w:p>
    <w:p w14:paraId="6E086DD3" w14:textId="546A360E" w:rsidR="001D0B83" w:rsidRDefault="001D0B83" w:rsidP="001D0B83">
      <w:pPr>
        <w:rPr>
          <w:lang w:val="en-AU"/>
        </w:rPr>
      </w:pPr>
    </w:p>
    <w:p w14:paraId="69AA960C" w14:textId="5FD1AEFC" w:rsidR="001D0B83" w:rsidRDefault="001D0B83" w:rsidP="001D0B83">
      <w:pPr>
        <w:pStyle w:val="Heading1"/>
        <w:rPr>
          <w:lang w:val="en-AU"/>
        </w:rPr>
      </w:pPr>
      <w:r>
        <w:rPr>
          <w:lang w:val="en-AU"/>
        </w:rPr>
        <w:t>Materials and Methods</w:t>
      </w:r>
    </w:p>
    <w:p w14:paraId="0A32DFAE" w14:textId="5CBBB96D" w:rsidR="001D0B83" w:rsidRDefault="001D0B83" w:rsidP="001D0B83">
      <w:pPr>
        <w:rPr>
          <w:lang w:val="en-AU"/>
        </w:rPr>
      </w:pPr>
    </w:p>
    <w:p w14:paraId="28C572AD" w14:textId="404EEBFB" w:rsidR="001D0B83" w:rsidRDefault="001D0B83" w:rsidP="001D0B83">
      <w:pPr>
        <w:pStyle w:val="Heading2"/>
        <w:rPr>
          <w:lang w:val="en-AU"/>
        </w:rPr>
      </w:pPr>
      <w:r>
        <w:rPr>
          <w:lang w:val="en-AU"/>
        </w:rPr>
        <w:t>fAD-like zebrafish dataset</w:t>
      </w:r>
    </w:p>
    <w:p w14:paraId="2EBFC803" w14:textId="646C13E1" w:rsidR="001D0B83" w:rsidRDefault="001D0B83" w:rsidP="001D0B83">
      <w:pPr>
        <w:pStyle w:val="ListParagraph"/>
        <w:numPr>
          <w:ilvl w:val="0"/>
          <w:numId w:val="1"/>
        </w:numPr>
        <w:rPr>
          <w:lang w:val="en-AU"/>
        </w:rPr>
      </w:pPr>
      <w:r>
        <w:rPr>
          <w:lang w:val="en-AU"/>
        </w:rPr>
        <w:t xml:space="preserve">Refer to Newman et al. </w:t>
      </w:r>
      <w:r>
        <w:rPr>
          <w:lang w:val="en-AU"/>
        </w:rPr>
        <w:fldChar w:fldCharType="begin" w:fldLock="1"/>
      </w:r>
      <w:r>
        <w:rPr>
          <w:lang w:val="en-AU"/>
        </w:rPr>
        <w:instrText>ADDIN CSL_CITATION {"citationItems":[{"id":"ITEM-1","itemData":{"DOI":"10.1186/s13041-019-0467-y","ISSN":"17566606","abstract":"To prevent or ameliorate Alzheimer's disease (AD) we must understand its molecular basis. AD develops over decades but detailed molecular analysis of AD brains is limited to postmortem tissue where the stresses initiating the disease may be obscured by compensatory responses and neurodegenerative processes. Rare, dominant mutations in a small number of genes, but particularly the gene PRESENILIN 1 (PSEN1), drive early onset of familial AD (EOfAD). Numerous transgenic models of AD have been constructed in mouse and other organisms, but transcriptomic analysis of these models has raised serious doubts regarding their representation of the disease state. Since we lack clarity regarding the molecular mechanism(s) underlying AD, we posit that the most valid approach is to model the human EOfAD genetic state as closely as possible. Therefore, we sought to analyse brains from zebrafish heterozygous for a single, EOfAD-like mutation in their PSEN1-orthologous gene, psen1. We previously introduced an EOfAD-like mutation (Q96-K97del) into the endogenous psen1 gene of zebrafish. Here, we analysed transcriptomes of young adult (6-month-old) entire brains from a family of heterozygous mutant and wild type sibling fish. Gene ontology (GO) analysis implies effects on mitochondria, particularly ATP synthesis, and on ATP-dependent processes including vacuolar acidification.","author":[{"dropping-particle":"","family":"Newman","given":"Morgan","non-dropping-particle":"","parse-names":false,"suffix":""},{"dropping-particle":"","family":"Hin","given":"Nhi","non-dropping-particle":"","parse-names":false,"suffix":""},{"dropping-particle":"","family":"Pederson","given":"Stephen","non-dropping-particle":"","parse-names":false,"suffix":""},{"dropping-particle":"","family":"Lardelli","given":"Michael","non-dropping-particle":"","parse-names":false,"suffix":""}],"container-title":"Molecular Brain","id":"ITEM-1","issue":"1","issued":{"date-parts":[["2019","5","3"]]},"page":"43","publisher":"BioMed Central Ltd.","title":"Brain transcriptome analysis of a familial Alzheimer's disease-like mutation in the zebrafish presenilin 1 gene implies effects on energy production","type":"article-journal","volume":"12"},"uris":["http://www.mendeley.com/documents/?uuid=49ea55f9-7bdd-3f7c-9a25-bbb37cfcf909"]}],"mendeley":{"formattedCitation":"[1]","plainTextFormattedCitation":"[1]","previouslyFormattedCitation":"[1]"},"properties":{"noteIndex":0},"schema":"https://github.com/citation-style-language/schema/raw/master/csl-citation.json"}</w:instrText>
      </w:r>
      <w:r>
        <w:rPr>
          <w:lang w:val="en-AU"/>
        </w:rPr>
        <w:fldChar w:fldCharType="separate"/>
      </w:r>
      <w:r w:rsidRPr="001D0B83">
        <w:rPr>
          <w:noProof/>
          <w:lang w:val="en-AU"/>
        </w:rPr>
        <w:t>[1]</w:t>
      </w:r>
      <w:r>
        <w:rPr>
          <w:lang w:val="en-AU"/>
        </w:rPr>
        <w:fldChar w:fldCharType="end"/>
      </w:r>
      <w:r>
        <w:rPr>
          <w:lang w:val="en-AU"/>
        </w:rPr>
        <w:t xml:space="preserve"> and Hin et al. </w:t>
      </w:r>
      <w:r>
        <w:rPr>
          <w:lang w:val="en-AU"/>
        </w:rPr>
        <w:fldChar w:fldCharType="begin" w:fldLock="1"/>
      </w:r>
      <w:r w:rsidR="00CB1994">
        <w:rPr>
          <w:lang w:val="en-AU"/>
        </w:rPr>
        <w:instrText>ADDIN CSL_CITATION {"citationItems":[{"id":"ITEM-1","itemData":{"DOI":"10.1101/2020.05.01.071498","abstract":"Background : Iron trafficking and accumulation has been associated with Alzheimer's disease (AD) pathogenesis. However, the role of iron dyshomeostasis in early disease stages is uncertain. Currently, gene expression changes indicative of iron dyshomeostasis are not well characterised, making it difficult to explore these in existing datasets. Results : We identified sets of genes predicted to contain Iron Responsive Elements (IREs), and used these to explore iron dyshomeostasis responses in transcript datasets involving (1) cultured cells under iron overload and deficiency treatments, (2) post-mortem brain tissues from AD and other neuropathologies, (3) 5XFAD transgenic mice modelling AD pathologies, and (4) a zebrafish knock-in model of early-onset, familial AD (fAD). IRE gene sets were sufficiently sensitive to distinguish not only between iron overload and deficiency in cultured cells, but also between AD and other pathological brain conditions. Notably, we see changes in 3' IRE transcript abundance as amongst the earliest observable in zebrafish fAD-like brains and preceding other AD-typical pathologies such as inflammatory changes. Unexpectedly, while some 3' IRE transcripts show significantly increased stability under iron deficiency in line with current assumptions, many such transcripts instead show decreased stability, indicating that this is not a generalizable paradigm. Conclusions : Our results reveal iron dyshomeostasis as a likely early driver of fAD and as able to distinguish AD from other brain pathologies. Our work demonstrates how differences in the stability of IRE-containing transcripts can be used to explore and compare iron dyshomeostasis responses in different species, tissues, and conditions.\n\n### Competing Interest Statement\n\nThe authors have declared no competing interest.","author":[{"dropping-particle":"","family":"Hin","given":"Nhi","non-dropping-particle":"","parse-names":false,"suffix":""},{"dropping-particle":"","family":"Newman","given":"Morgan","non-dropping-particle":"","parse-names":false,"suffix":""},{"dropping-particle":"","family":"Pederson","given":"Stephen M","non-dropping-particle":"","parse-names":false,"suffix":""},{"dropping-particle":"","family":"Lardelli","given":"Michael M","non-dropping-particle":"","parse-names":false,"suffix":""}],"container-title":"bioRxiv","id":"ITEM-1","issued":{"date-parts":[["2020","5","3"]]},"page":"2020.05.01.071498","publisher":"Cold Spring Harbor Laboratory","title":"Iron Responsive Element (IRE)-mediated responses to iron dyshomeostasis in Alzheimer's disease","type":"article-journal"},"uris":["http://www.mendeley.com/documents/?uuid=c8b27243-8b96-3a58-a58d-9f0d12a1fba6"]}],"mendeley":{"formattedCitation":"[2]","plainTextFormattedCitation":"[2]","previouslyFormattedCitation":"[2]"},"properties":{"noteIndex":0},"schema":"https://github.com/citation-style-language/schema/raw/master/csl-citation.json"}</w:instrText>
      </w:r>
      <w:r>
        <w:rPr>
          <w:lang w:val="en-AU"/>
        </w:rPr>
        <w:fldChar w:fldCharType="separate"/>
      </w:r>
      <w:r w:rsidRPr="001D0B83">
        <w:rPr>
          <w:noProof/>
          <w:lang w:val="en-AU"/>
        </w:rPr>
        <w:t>[2]</w:t>
      </w:r>
      <w:r>
        <w:rPr>
          <w:lang w:val="en-AU"/>
        </w:rPr>
        <w:fldChar w:fldCharType="end"/>
      </w:r>
      <w:r>
        <w:rPr>
          <w:lang w:val="en-AU"/>
        </w:rPr>
        <w:t xml:space="preserve"> </w:t>
      </w:r>
    </w:p>
    <w:p w14:paraId="54BB0811" w14:textId="59BD16B3" w:rsidR="001D0B83" w:rsidRDefault="001D0B83" w:rsidP="001D0B83">
      <w:pPr>
        <w:rPr>
          <w:lang w:val="en-AU"/>
        </w:rPr>
      </w:pPr>
    </w:p>
    <w:p w14:paraId="461CC82A" w14:textId="04E58F5E" w:rsidR="001D0B83" w:rsidRDefault="001D0B83" w:rsidP="001D0B83">
      <w:pPr>
        <w:pStyle w:val="Heading2"/>
        <w:rPr>
          <w:lang w:val="en-AU"/>
        </w:rPr>
      </w:pPr>
      <w:r>
        <w:rPr>
          <w:lang w:val="en-AU"/>
        </w:rPr>
        <w:t>5XFAD mouse dataset</w:t>
      </w:r>
    </w:p>
    <w:p w14:paraId="1768496A" w14:textId="69399FF6" w:rsidR="001D0B83" w:rsidRDefault="001D0B83" w:rsidP="001D0B83">
      <w:pPr>
        <w:pStyle w:val="ListParagraph"/>
        <w:numPr>
          <w:ilvl w:val="0"/>
          <w:numId w:val="1"/>
        </w:numPr>
        <w:rPr>
          <w:lang w:val="en-AU"/>
        </w:rPr>
      </w:pPr>
      <w:r>
        <w:rPr>
          <w:lang w:val="en-AU"/>
        </w:rPr>
        <w:t xml:space="preserve">Hippocampus, 1, 2, and 4 months old (5 biological replicates, no WT): </w:t>
      </w:r>
      <w:hyperlink r:id="rId6" w:history="1">
        <w:r w:rsidRPr="00840A48">
          <w:rPr>
            <w:rStyle w:val="Hyperlink"/>
            <w:lang w:val="en-AU"/>
          </w:rPr>
          <w:t>https://www.ncbi.nlm.nih.gov/geo/query/acc.cgi?acc=GSE97113</w:t>
        </w:r>
      </w:hyperlink>
      <w:r>
        <w:rPr>
          <w:lang w:val="en-AU"/>
        </w:rPr>
        <w:t xml:space="preserve"> </w:t>
      </w:r>
    </w:p>
    <w:p w14:paraId="0EE3A646" w14:textId="30DFB6D4" w:rsidR="001D0B83" w:rsidRPr="001D0B83" w:rsidRDefault="001D0B83" w:rsidP="001D0B83">
      <w:pPr>
        <w:pStyle w:val="ListParagraph"/>
        <w:numPr>
          <w:ilvl w:val="0"/>
          <w:numId w:val="1"/>
        </w:numPr>
        <w:rPr>
          <w:lang w:val="en-AU"/>
        </w:rPr>
      </w:pPr>
      <w:bookmarkStart w:id="0" w:name="_GoBack"/>
      <w:r>
        <w:rPr>
          <w:lang w:val="en-AU"/>
        </w:rPr>
        <w:t xml:space="preserve">Frontal cortex, </w:t>
      </w:r>
      <w:r w:rsidRPr="001D0B83">
        <w:rPr>
          <w:lang w:val="en-AU"/>
        </w:rPr>
        <w:t>6 and 11 months (3 biological replicates</w:t>
      </w:r>
      <w:r>
        <w:rPr>
          <w:lang w:val="en-AU"/>
        </w:rPr>
        <w:t xml:space="preserve"> + WT</w:t>
      </w:r>
      <w:r w:rsidRPr="001D0B83">
        <w:rPr>
          <w:lang w:val="en-AU"/>
        </w:rPr>
        <w:t xml:space="preserve">): </w:t>
      </w:r>
      <w:bookmarkEnd w:id="0"/>
      <w:r>
        <w:fldChar w:fldCharType="begin"/>
      </w:r>
      <w:r>
        <w:instrText xml:space="preserve"> HYPERLINK "https://www.ncbi.nlm.nih.gov/geo/query/acc.cgi?acc=GSE142633" </w:instrText>
      </w:r>
      <w:r>
        <w:fldChar w:fldCharType="separate"/>
      </w:r>
      <w:r>
        <w:rPr>
          <w:rStyle w:val="Hyperlink"/>
        </w:rPr>
        <w:t>https://www.ncbi.nlm.nih.gov/geo</w:t>
      </w:r>
      <w:r>
        <w:rPr>
          <w:rStyle w:val="Hyperlink"/>
        </w:rPr>
        <w:t>/</w:t>
      </w:r>
      <w:r>
        <w:rPr>
          <w:rStyle w:val="Hyperlink"/>
        </w:rPr>
        <w:t>query/acc.cgi?acc=GSE142633</w:t>
      </w:r>
      <w:r>
        <w:fldChar w:fldCharType="end"/>
      </w:r>
    </w:p>
    <w:p w14:paraId="39EAFC47" w14:textId="2CC3028F" w:rsidR="001D0B83" w:rsidRDefault="001D0B83" w:rsidP="001D0B83">
      <w:pPr>
        <w:pStyle w:val="ListParagraph"/>
        <w:numPr>
          <w:ilvl w:val="0"/>
          <w:numId w:val="1"/>
        </w:numPr>
        <w:rPr>
          <w:lang w:val="en-AU"/>
        </w:rPr>
      </w:pPr>
      <w:r>
        <w:rPr>
          <w:lang w:val="en-AU"/>
        </w:rPr>
        <w:t xml:space="preserve">Cortex, 3, 6, and 12 months (2-3 biological replicates + WT): </w:t>
      </w:r>
      <w:hyperlink r:id="rId7" w:history="1">
        <w:r w:rsidRPr="00840A48">
          <w:rPr>
            <w:rStyle w:val="Hyperlink"/>
            <w:lang w:val="en-AU"/>
          </w:rPr>
          <w:t>https://www.ncbi.nlm.nih.gov/geo/query/acc.cgi?acc=GSE140286</w:t>
        </w:r>
      </w:hyperlink>
      <w:r>
        <w:rPr>
          <w:lang w:val="en-AU"/>
        </w:rPr>
        <w:t xml:space="preserve"> </w:t>
      </w:r>
    </w:p>
    <w:p w14:paraId="311D724D" w14:textId="14D4724F" w:rsidR="001549A3" w:rsidRDefault="001549A3" w:rsidP="001549A3">
      <w:pPr>
        <w:pStyle w:val="ListParagraph"/>
        <w:numPr>
          <w:ilvl w:val="0"/>
          <w:numId w:val="1"/>
        </w:numPr>
        <w:rPr>
          <w:strike/>
          <w:lang w:val="en-AU"/>
        </w:rPr>
      </w:pPr>
      <w:r w:rsidRPr="001549A3">
        <w:rPr>
          <w:strike/>
          <w:lang w:val="en-AU"/>
        </w:rPr>
        <w:t xml:space="preserve">Hippocampus, not sure on age (4 biological replicates + WT): </w:t>
      </w:r>
      <w:hyperlink r:id="rId8" w:history="1">
        <w:r w:rsidRPr="001549A3">
          <w:rPr>
            <w:rStyle w:val="Hyperlink"/>
            <w:strike/>
            <w:lang w:val="en-AU"/>
          </w:rPr>
          <w:t>https://www.ncbi.nlm.nih.gov/geo/query/acc.cgi?acc=GSE115437</w:t>
        </w:r>
      </w:hyperlink>
      <w:r w:rsidRPr="001549A3">
        <w:rPr>
          <w:strike/>
          <w:lang w:val="en-AU"/>
        </w:rPr>
        <w:t xml:space="preserve">   (couldn’t find age anywhere in metadata…)</w:t>
      </w:r>
    </w:p>
    <w:p w14:paraId="3532106D" w14:textId="31FFFFD3" w:rsidR="008D340A" w:rsidRPr="001549A3" w:rsidRDefault="008D340A" w:rsidP="001549A3">
      <w:pPr>
        <w:pStyle w:val="ListParagraph"/>
        <w:numPr>
          <w:ilvl w:val="0"/>
          <w:numId w:val="1"/>
        </w:numPr>
        <w:rPr>
          <w:strike/>
          <w:lang w:val="en-AU"/>
        </w:rPr>
      </w:pPr>
      <w:r>
        <w:rPr>
          <w:strike/>
          <w:lang w:val="en-AU"/>
        </w:rPr>
        <w:t xml:space="preserve">Half brains from 2-14 months old (5 biological replicates + WT) however the platform was specific to their experiment and only ~800 genes’ expression was measured </w:t>
      </w:r>
      <w:hyperlink r:id="rId9" w:history="1">
        <w:r w:rsidRPr="00840A48">
          <w:rPr>
            <w:rStyle w:val="Hyperlink"/>
            <w:strike/>
            <w:lang w:val="en-AU"/>
          </w:rPr>
          <w:t>https://www.ncbi.nlm.nih.gov/geo/query/acc.cgi?acc=GSE141509</w:t>
        </w:r>
      </w:hyperlink>
      <w:r>
        <w:rPr>
          <w:strike/>
          <w:lang w:val="en-AU"/>
        </w:rPr>
        <w:t xml:space="preserve"> </w:t>
      </w:r>
    </w:p>
    <w:p w14:paraId="6E673DBC" w14:textId="06D16D8F" w:rsidR="001D0B83" w:rsidRDefault="001D0B83" w:rsidP="007C6615">
      <w:pPr>
        <w:rPr>
          <w:lang w:val="en-AU"/>
        </w:rPr>
      </w:pPr>
    </w:p>
    <w:p w14:paraId="2B64B87A" w14:textId="6F3A70FF" w:rsidR="007C6615" w:rsidRDefault="007C6615" w:rsidP="007C6615">
      <w:pPr>
        <w:pStyle w:val="Heading1"/>
        <w:rPr>
          <w:lang w:val="en-AU"/>
        </w:rPr>
      </w:pPr>
      <w:r>
        <w:rPr>
          <w:lang w:val="en-AU"/>
        </w:rPr>
        <w:t>Analysis</w:t>
      </w:r>
    </w:p>
    <w:p w14:paraId="300DD382" w14:textId="1D77F939" w:rsidR="007C6615" w:rsidRDefault="007C6615" w:rsidP="007C6615">
      <w:pPr>
        <w:rPr>
          <w:lang w:val="en-AU"/>
        </w:rPr>
      </w:pPr>
    </w:p>
    <w:p w14:paraId="1EA0AEC4" w14:textId="16F843B2" w:rsidR="007C6615" w:rsidRPr="007C6615" w:rsidRDefault="007C6615" w:rsidP="007C6615">
      <w:pPr>
        <w:pStyle w:val="ListParagraph"/>
        <w:numPr>
          <w:ilvl w:val="0"/>
          <w:numId w:val="5"/>
        </w:numPr>
        <w:rPr>
          <w:lang w:val="en-AU"/>
        </w:rPr>
      </w:pPr>
      <w:r>
        <w:rPr>
          <w:lang w:val="en-AU"/>
        </w:rPr>
        <w:t xml:space="preserve">Removing batches from </w:t>
      </w:r>
    </w:p>
    <w:p w14:paraId="7C89B4C5" w14:textId="344B6FB0" w:rsidR="00CB1994" w:rsidRDefault="00CB1994">
      <w:pPr>
        <w:rPr>
          <w:lang w:val="en-AU"/>
        </w:rPr>
      </w:pPr>
      <w:r>
        <w:rPr>
          <w:lang w:val="en-AU"/>
        </w:rPr>
        <w:br w:type="page"/>
      </w:r>
    </w:p>
    <w:p w14:paraId="4D0877CC" w14:textId="5C084784" w:rsidR="001D0B83" w:rsidRDefault="00CB1994" w:rsidP="00CB1994">
      <w:pPr>
        <w:pStyle w:val="Heading1"/>
        <w:rPr>
          <w:lang w:val="en-AU"/>
        </w:rPr>
      </w:pPr>
      <w:r>
        <w:rPr>
          <w:lang w:val="en-AU"/>
        </w:rPr>
        <w:lastRenderedPageBreak/>
        <w:t>References</w:t>
      </w:r>
    </w:p>
    <w:p w14:paraId="44AC7988" w14:textId="77777777" w:rsidR="00CB1994" w:rsidRPr="00CB1994" w:rsidRDefault="00CB1994" w:rsidP="00CB1994">
      <w:pPr>
        <w:rPr>
          <w:lang w:val="en-AU"/>
        </w:rPr>
      </w:pPr>
    </w:p>
    <w:p w14:paraId="7E3B60F3" w14:textId="7BA2EC2D" w:rsidR="00CB1994" w:rsidRPr="00CB1994" w:rsidRDefault="00CB1994" w:rsidP="00CB1994">
      <w:pPr>
        <w:widowControl w:val="0"/>
        <w:autoSpaceDE w:val="0"/>
        <w:autoSpaceDN w:val="0"/>
        <w:adjustRightInd w:val="0"/>
        <w:rPr>
          <w:rFonts w:ascii="Calibri" w:hAnsi="Calibri" w:cs="Calibri"/>
          <w:noProof/>
        </w:rPr>
      </w:pPr>
      <w:r>
        <w:rPr>
          <w:lang w:val="en-AU"/>
        </w:rPr>
        <w:fldChar w:fldCharType="begin" w:fldLock="1"/>
      </w:r>
      <w:r>
        <w:rPr>
          <w:lang w:val="en-AU"/>
        </w:rPr>
        <w:instrText xml:space="preserve">ADDIN Mendeley Bibliography CSL_BIBLIOGRAPHY </w:instrText>
      </w:r>
      <w:r>
        <w:rPr>
          <w:lang w:val="en-AU"/>
        </w:rPr>
        <w:fldChar w:fldCharType="separate"/>
      </w:r>
      <w:r w:rsidRPr="00CB1994">
        <w:rPr>
          <w:rFonts w:ascii="Calibri" w:hAnsi="Calibri" w:cs="Calibri"/>
          <w:noProof/>
        </w:rPr>
        <w:t>1. Newman M, Hin N, Pederson S, Lardelli M. Brain transcriptome analysis of a familial Alzheimer’s disease-like mutation in the zebrafish presenilin 1 gene implies effects on energy production. Mol Brain [Internet]. BioMed Central Ltd.; 2019 [cited 2020 Apr 30];12:43. Available from: https://molecularbrain.biomedcentral.com/articles/10.1186/s13041-019-0467-y</w:t>
      </w:r>
    </w:p>
    <w:p w14:paraId="47033C8B" w14:textId="77777777" w:rsidR="00CB1994" w:rsidRPr="00CB1994" w:rsidRDefault="00CB1994" w:rsidP="00CB1994">
      <w:pPr>
        <w:widowControl w:val="0"/>
        <w:autoSpaceDE w:val="0"/>
        <w:autoSpaceDN w:val="0"/>
        <w:adjustRightInd w:val="0"/>
        <w:rPr>
          <w:rFonts w:ascii="Calibri" w:hAnsi="Calibri" w:cs="Calibri"/>
          <w:noProof/>
        </w:rPr>
      </w:pPr>
      <w:r w:rsidRPr="00CB1994">
        <w:rPr>
          <w:rFonts w:ascii="Calibri" w:hAnsi="Calibri" w:cs="Calibri"/>
          <w:noProof/>
        </w:rPr>
        <w:t xml:space="preserve">2. Hin N, Newman M, Pederson SM, Lardelli MM. Iron Responsive Element (IRE)-mediated responses to iron dyshomeostasis in Alzheimer’s disease. bioRxiv. Cold Spring Harbor Laboratory; 2020;2020.05.01.071498. </w:t>
      </w:r>
    </w:p>
    <w:p w14:paraId="4AEC89A6" w14:textId="62367A7C" w:rsidR="00CB1994" w:rsidRPr="001D0B83" w:rsidRDefault="00CB1994" w:rsidP="001D0B83">
      <w:pPr>
        <w:rPr>
          <w:lang w:val="en-AU"/>
        </w:rPr>
      </w:pPr>
      <w:r>
        <w:rPr>
          <w:lang w:val="en-AU"/>
        </w:rPr>
        <w:fldChar w:fldCharType="end"/>
      </w:r>
    </w:p>
    <w:sectPr w:rsidR="00CB1994" w:rsidRPr="001D0B83" w:rsidSect="00144E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721"/>
    <w:multiLevelType w:val="hybridMultilevel"/>
    <w:tmpl w:val="38E64FD8"/>
    <w:lvl w:ilvl="0" w:tplc="C40C82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1868BC"/>
    <w:multiLevelType w:val="hybridMultilevel"/>
    <w:tmpl w:val="8C98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D3B35"/>
    <w:multiLevelType w:val="hybridMultilevel"/>
    <w:tmpl w:val="D0EEBCA4"/>
    <w:lvl w:ilvl="0" w:tplc="C40C82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895A8A"/>
    <w:multiLevelType w:val="hybridMultilevel"/>
    <w:tmpl w:val="71C6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537650"/>
    <w:multiLevelType w:val="hybridMultilevel"/>
    <w:tmpl w:val="DE30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83"/>
    <w:rsid w:val="00012154"/>
    <w:rsid w:val="00031B4B"/>
    <w:rsid w:val="00044CF3"/>
    <w:rsid w:val="00076C84"/>
    <w:rsid w:val="000825A0"/>
    <w:rsid w:val="000A63C2"/>
    <w:rsid w:val="000B0D37"/>
    <w:rsid w:val="000B15F6"/>
    <w:rsid w:val="00100847"/>
    <w:rsid w:val="0012452E"/>
    <w:rsid w:val="00144EA2"/>
    <w:rsid w:val="001549A3"/>
    <w:rsid w:val="00196A97"/>
    <w:rsid w:val="001D0B83"/>
    <w:rsid w:val="001E5130"/>
    <w:rsid w:val="002178A5"/>
    <w:rsid w:val="0027166B"/>
    <w:rsid w:val="0028126E"/>
    <w:rsid w:val="002909A3"/>
    <w:rsid w:val="00297813"/>
    <w:rsid w:val="002A30FF"/>
    <w:rsid w:val="002B0F58"/>
    <w:rsid w:val="002B4D70"/>
    <w:rsid w:val="002C4354"/>
    <w:rsid w:val="002F51B7"/>
    <w:rsid w:val="00300668"/>
    <w:rsid w:val="003358FE"/>
    <w:rsid w:val="00337EEC"/>
    <w:rsid w:val="0038446A"/>
    <w:rsid w:val="003932B6"/>
    <w:rsid w:val="00426251"/>
    <w:rsid w:val="00426A22"/>
    <w:rsid w:val="00431497"/>
    <w:rsid w:val="004559C4"/>
    <w:rsid w:val="0049479C"/>
    <w:rsid w:val="004A501D"/>
    <w:rsid w:val="004B0C77"/>
    <w:rsid w:val="004B2894"/>
    <w:rsid w:val="005040FE"/>
    <w:rsid w:val="005675AA"/>
    <w:rsid w:val="00596817"/>
    <w:rsid w:val="005A1C9F"/>
    <w:rsid w:val="005A36C2"/>
    <w:rsid w:val="005A694F"/>
    <w:rsid w:val="005B4FDD"/>
    <w:rsid w:val="005D0024"/>
    <w:rsid w:val="005D4E70"/>
    <w:rsid w:val="005D534B"/>
    <w:rsid w:val="00610DEB"/>
    <w:rsid w:val="00613BB6"/>
    <w:rsid w:val="00644990"/>
    <w:rsid w:val="006975C6"/>
    <w:rsid w:val="006C5B76"/>
    <w:rsid w:val="006E07E3"/>
    <w:rsid w:val="006E4CA4"/>
    <w:rsid w:val="006F7C5E"/>
    <w:rsid w:val="0070239A"/>
    <w:rsid w:val="0070319B"/>
    <w:rsid w:val="0071008F"/>
    <w:rsid w:val="0073264C"/>
    <w:rsid w:val="00735152"/>
    <w:rsid w:val="007453DE"/>
    <w:rsid w:val="00757A64"/>
    <w:rsid w:val="00760A4A"/>
    <w:rsid w:val="007A6701"/>
    <w:rsid w:val="007C6615"/>
    <w:rsid w:val="00805E0F"/>
    <w:rsid w:val="00833247"/>
    <w:rsid w:val="0083761E"/>
    <w:rsid w:val="00865E6E"/>
    <w:rsid w:val="008741BA"/>
    <w:rsid w:val="00877E8C"/>
    <w:rsid w:val="00887C22"/>
    <w:rsid w:val="008912B4"/>
    <w:rsid w:val="008A67DF"/>
    <w:rsid w:val="008B7A1E"/>
    <w:rsid w:val="008D340A"/>
    <w:rsid w:val="008E5863"/>
    <w:rsid w:val="008F6120"/>
    <w:rsid w:val="00921164"/>
    <w:rsid w:val="00972F69"/>
    <w:rsid w:val="00973893"/>
    <w:rsid w:val="00977AF2"/>
    <w:rsid w:val="009948F8"/>
    <w:rsid w:val="00994E7A"/>
    <w:rsid w:val="009C4043"/>
    <w:rsid w:val="009C76F1"/>
    <w:rsid w:val="009E602F"/>
    <w:rsid w:val="009F7F1E"/>
    <w:rsid w:val="00A12A52"/>
    <w:rsid w:val="00A27457"/>
    <w:rsid w:val="00A429A7"/>
    <w:rsid w:val="00A65B6F"/>
    <w:rsid w:val="00A662FC"/>
    <w:rsid w:val="00AD057B"/>
    <w:rsid w:val="00AD4DB4"/>
    <w:rsid w:val="00AE60F3"/>
    <w:rsid w:val="00B13D35"/>
    <w:rsid w:val="00B64A6A"/>
    <w:rsid w:val="00B708A5"/>
    <w:rsid w:val="00B7633A"/>
    <w:rsid w:val="00B97E6C"/>
    <w:rsid w:val="00BB5C36"/>
    <w:rsid w:val="00BC245B"/>
    <w:rsid w:val="00BC3759"/>
    <w:rsid w:val="00BD3863"/>
    <w:rsid w:val="00BD512C"/>
    <w:rsid w:val="00BD7380"/>
    <w:rsid w:val="00BE0CC7"/>
    <w:rsid w:val="00BE72D8"/>
    <w:rsid w:val="00C01EFB"/>
    <w:rsid w:val="00C23429"/>
    <w:rsid w:val="00C47D12"/>
    <w:rsid w:val="00C657B5"/>
    <w:rsid w:val="00C777E6"/>
    <w:rsid w:val="00C823BB"/>
    <w:rsid w:val="00C83485"/>
    <w:rsid w:val="00C87E71"/>
    <w:rsid w:val="00CA0DA0"/>
    <w:rsid w:val="00CB1994"/>
    <w:rsid w:val="00CB6590"/>
    <w:rsid w:val="00CC2DE8"/>
    <w:rsid w:val="00CC5F68"/>
    <w:rsid w:val="00CD5E11"/>
    <w:rsid w:val="00CF4B0D"/>
    <w:rsid w:val="00D16FCE"/>
    <w:rsid w:val="00D25EB6"/>
    <w:rsid w:val="00D76A6D"/>
    <w:rsid w:val="00DA015A"/>
    <w:rsid w:val="00DA15C6"/>
    <w:rsid w:val="00DA4E52"/>
    <w:rsid w:val="00DB1446"/>
    <w:rsid w:val="00DD1D98"/>
    <w:rsid w:val="00DE0E73"/>
    <w:rsid w:val="00DF3874"/>
    <w:rsid w:val="00DF544F"/>
    <w:rsid w:val="00E157A5"/>
    <w:rsid w:val="00E3593C"/>
    <w:rsid w:val="00E50EED"/>
    <w:rsid w:val="00E546C9"/>
    <w:rsid w:val="00E56777"/>
    <w:rsid w:val="00E65E0B"/>
    <w:rsid w:val="00E83D94"/>
    <w:rsid w:val="00E84BE4"/>
    <w:rsid w:val="00EB0665"/>
    <w:rsid w:val="00EC24BD"/>
    <w:rsid w:val="00EC3D39"/>
    <w:rsid w:val="00EF2464"/>
    <w:rsid w:val="00F01146"/>
    <w:rsid w:val="00F112F8"/>
    <w:rsid w:val="00F13BB2"/>
    <w:rsid w:val="00F14780"/>
    <w:rsid w:val="00F405BC"/>
    <w:rsid w:val="00F53C93"/>
    <w:rsid w:val="00F6260B"/>
    <w:rsid w:val="00F77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B59B"/>
  <w14:defaultImageDpi w14:val="32767"/>
  <w15:chartTrackingRefBased/>
  <w15:docId w15:val="{C4F1E036-391A-CA46-B7E1-25DCB3DB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B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B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0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0B83"/>
    <w:pPr>
      <w:ind w:left="720"/>
      <w:contextualSpacing/>
    </w:pPr>
  </w:style>
  <w:style w:type="character" w:styleId="Hyperlink">
    <w:name w:val="Hyperlink"/>
    <w:basedOn w:val="DefaultParagraphFont"/>
    <w:uiPriority w:val="99"/>
    <w:unhideWhenUsed/>
    <w:rsid w:val="001D0B83"/>
    <w:rPr>
      <w:color w:val="0563C1" w:themeColor="hyperlink"/>
      <w:u w:val="single"/>
    </w:rPr>
  </w:style>
  <w:style w:type="character" w:styleId="UnresolvedMention">
    <w:name w:val="Unresolved Mention"/>
    <w:basedOn w:val="DefaultParagraphFont"/>
    <w:uiPriority w:val="99"/>
    <w:rsid w:val="001D0B83"/>
    <w:rPr>
      <w:color w:val="605E5C"/>
      <w:shd w:val="clear" w:color="auto" w:fill="E1DFDD"/>
    </w:rPr>
  </w:style>
  <w:style w:type="paragraph" w:styleId="BalloonText">
    <w:name w:val="Balloon Text"/>
    <w:basedOn w:val="Normal"/>
    <w:link w:val="BalloonTextChar"/>
    <w:uiPriority w:val="99"/>
    <w:semiHidden/>
    <w:unhideWhenUsed/>
    <w:rsid w:val="008D34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340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D34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00646">
      <w:bodyDiv w:val="1"/>
      <w:marLeft w:val="0"/>
      <w:marRight w:val="0"/>
      <w:marTop w:val="0"/>
      <w:marBottom w:val="0"/>
      <w:divBdr>
        <w:top w:val="none" w:sz="0" w:space="0" w:color="auto"/>
        <w:left w:val="none" w:sz="0" w:space="0" w:color="auto"/>
        <w:bottom w:val="none" w:sz="0" w:space="0" w:color="auto"/>
        <w:right w:val="none" w:sz="0" w:space="0" w:color="auto"/>
      </w:divBdr>
    </w:div>
    <w:div w:id="168316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115437" TargetMode="External"/><Relationship Id="rId3" Type="http://schemas.openxmlformats.org/officeDocument/2006/relationships/styles" Target="styles.xml"/><Relationship Id="rId7" Type="http://schemas.openxmlformats.org/officeDocument/2006/relationships/hyperlink" Target="https://www.ncbi.nlm.nih.gov/geo/query/acc.cgi?acc=GSE1402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geo/query/acc.cgi?acc=GSE9711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geo/query/acc.cgi?acc=GSE141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E6A6-FAC9-3848-AF24-C670A9AC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Hin</dc:creator>
  <cp:keywords/>
  <dc:description/>
  <cp:lastModifiedBy>Nhi Hin</cp:lastModifiedBy>
  <cp:revision>3</cp:revision>
  <dcterms:created xsi:type="dcterms:W3CDTF">2020-05-04T06:22:00Z</dcterms:created>
  <dcterms:modified xsi:type="dcterms:W3CDTF">2020-05-06T05:24:00Z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http://www.zotero.org/styles/genome-biology</vt:lpwstr>
  </property>
  <property fmtid="{D5CDD505-2E9C-101B-9397-08002B2CF9AE}" pid="13" name="Mendeley Recent Style Name 5_1">
    <vt:lpwstr>Genome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7f5b863a-4253-391c-aaa1-bcb19db9632a</vt:lpwstr>
  </property>
  <property fmtid="{D5CDD505-2E9C-101B-9397-08002B2CF9AE}" pid="24" name="Mendeley Citation Style_1">
    <vt:lpwstr>http://www.zotero.org/styles/genome-biology</vt:lpwstr>
  </property>
</Properties>
</file>