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6ED14" w14:textId="77777777" w:rsidR="00BF141D" w:rsidRPr="00BF141D" w:rsidRDefault="00BF141D" w:rsidP="00BF141D">
      <w:pPr>
        <w:spacing w:line="360" w:lineRule="auto"/>
        <w:rPr>
          <w:b/>
          <w:bCs/>
          <w:sz w:val="32"/>
          <w:szCs w:val="32"/>
        </w:rPr>
      </w:pPr>
      <w:r w:rsidRPr="00BF141D">
        <w:rPr>
          <w:b/>
          <w:bCs/>
          <w:sz w:val="32"/>
          <w:szCs w:val="32"/>
        </w:rPr>
        <w:t>Table of Contents</w:t>
      </w:r>
    </w:p>
    <w:p w14:paraId="02F1C7D9" w14:textId="35CA90F7" w:rsidR="00BF141D" w:rsidRPr="00BF141D" w:rsidRDefault="00BF141D" w:rsidP="00BF141D">
      <w:pPr>
        <w:spacing w:line="360" w:lineRule="auto"/>
        <w:rPr>
          <w:b/>
          <w:bCs/>
          <w:sz w:val="32"/>
          <w:szCs w:val="32"/>
        </w:rPr>
      </w:pPr>
      <w:r w:rsidRPr="00BF141D">
        <w:rPr>
          <w:b/>
          <w:bCs/>
          <w:sz w:val="32"/>
          <w:szCs w:val="32"/>
        </w:rPr>
        <w:t xml:space="preserve">1. </w:t>
      </w:r>
      <w:r w:rsidRPr="00BF141D">
        <w:rPr>
          <w:b/>
          <w:bCs/>
          <w:sz w:val="32"/>
          <w:szCs w:val="32"/>
        </w:rPr>
        <w:t>Introduction</w:t>
      </w:r>
    </w:p>
    <w:p w14:paraId="7B8D48BD" w14:textId="413BFFA1" w:rsidR="00BF141D" w:rsidRPr="00BF141D" w:rsidRDefault="00BF141D" w:rsidP="00BF141D">
      <w:pPr>
        <w:spacing w:line="360" w:lineRule="auto"/>
        <w:rPr>
          <w:b/>
          <w:bCs/>
          <w:sz w:val="32"/>
          <w:szCs w:val="32"/>
        </w:rPr>
      </w:pPr>
      <w:r w:rsidRPr="00BF141D">
        <w:rPr>
          <w:b/>
          <w:bCs/>
          <w:sz w:val="32"/>
          <w:szCs w:val="32"/>
        </w:rPr>
        <w:t xml:space="preserve">2. </w:t>
      </w:r>
      <w:r w:rsidRPr="00BF141D">
        <w:rPr>
          <w:b/>
          <w:bCs/>
          <w:sz w:val="32"/>
          <w:szCs w:val="32"/>
        </w:rPr>
        <w:t>Literature Review</w:t>
      </w:r>
    </w:p>
    <w:p w14:paraId="762C72C4" w14:textId="77777777" w:rsidR="00BF141D" w:rsidRPr="00BF141D" w:rsidRDefault="00BF141D" w:rsidP="00BF141D">
      <w:pPr>
        <w:spacing w:line="360" w:lineRule="auto"/>
        <w:rPr>
          <w:b/>
          <w:bCs/>
          <w:sz w:val="32"/>
          <w:szCs w:val="32"/>
        </w:rPr>
      </w:pPr>
      <w:r w:rsidRPr="00BF141D">
        <w:rPr>
          <w:b/>
          <w:bCs/>
          <w:sz w:val="32"/>
          <w:szCs w:val="32"/>
        </w:rPr>
        <w:t> </w:t>
      </w:r>
      <w:r w:rsidRPr="00BF141D">
        <w:rPr>
          <w:sz w:val="32"/>
          <w:szCs w:val="32"/>
        </w:rPr>
        <w:t>2.1. Dependent Variable: Gross Domestic Savings (% of GDP)</w:t>
      </w:r>
    </w:p>
    <w:p w14:paraId="223BD000" w14:textId="77777777" w:rsidR="00BF141D" w:rsidRPr="00BF141D" w:rsidRDefault="00BF141D" w:rsidP="00BF141D">
      <w:pPr>
        <w:spacing w:line="360" w:lineRule="auto"/>
        <w:rPr>
          <w:sz w:val="32"/>
          <w:szCs w:val="32"/>
        </w:rPr>
      </w:pPr>
      <w:r w:rsidRPr="00BF141D">
        <w:rPr>
          <w:b/>
          <w:bCs/>
          <w:sz w:val="32"/>
          <w:szCs w:val="32"/>
        </w:rPr>
        <w:t> </w:t>
      </w:r>
      <w:r w:rsidRPr="00BF141D">
        <w:rPr>
          <w:sz w:val="32"/>
          <w:szCs w:val="32"/>
        </w:rPr>
        <w:t>2.2. Independent Variables</w:t>
      </w:r>
    </w:p>
    <w:p w14:paraId="6BA76125" w14:textId="77777777" w:rsidR="00BF141D" w:rsidRPr="00BF141D" w:rsidRDefault="00BF141D" w:rsidP="00BF141D">
      <w:pPr>
        <w:spacing w:line="360" w:lineRule="auto"/>
        <w:rPr>
          <w:sz w:val="32"/>
          <w:szCs w:val="32"/>
        </w:rPr>
      </w:pPr>
      <w:r w:rsidRPr="00BF141D">
        <w:rPr>
          <w:sz w:val="32"/>
          <w:szCs w:val="32"/>
        </w:rPr>
        <w:t>  a. Impact of GNI per Capita on Saving Rate</w:t>
      </w:r>
    </w:p>
    <w:p w14:paraId="0F46BDC8" w14:textId="77777777" w:rsidR="00BF141D" w:rsidRPr="00BF141D" w:rsidRDefault="00BF141D" w:rsidP="00BF141D">
      <w:pPr>
        <w:spacing w:line="360" w:lineRule="auto"/>
        <w:rPr>
          <w:sz w:val="32"/>
          <w:szCs w:val="32"/>
        </w:rPr>
      </w:pPr>
      <w:r w:rsidRPr="00BF141D">
        <w:rPr>
          <w:sz w:val="32"/>
          <w:szCs w:val="32"/>
        </w:rPr>
        <w:t>  b. Impact of Age Dependency Ratio on Saving Rate</w:t>
      </w:r>
    </w:p>
    <w:p w14:paraId="27EB6684" w14:textId="77777777" w:rsidR="00BF141D" w:rsidRPr="00BF141D" w:rsidRDefault="00BF141D" w:rsidP="00BF141D">
      <w:pPr>
        <w:spacing w:line="360" w:lineRule="auto"/>
        <w:rPr>
          <w:sz w:val="32"/>
          <w:szCs w:val="32"/>
        </w:rPr>
      </w:pPr>
      <w:r w:rsidRPr="00BF141D">
        <w:rPr>
          <w:sz w:val="32"/>
          <w:szCs w:val="32"/>
        </w:rPr>
        <w:t>  c. Impact of Inflation on Saving Rate</w:t>
      </w:r>
    </w:p>
    <w:p w14:paraId="0CC8AD06" w14:textId="77777777" w:rsidR="00BF141D" w:rsidRPr="00BF141D" w:rsidRDefault="00BF141D" w:rsidP="00BF141D">
      <w:pPr>
        <w:spacing w:line="360" w:lineRule="auto"/>
        <w:rPr>
          <w:sz w:val="32"/>
          <w:szCs w:val="32"/>
        </w:rPr>
      </w:pPr>
      <w:r w:rsidRPr="00BF141D">
        <w:rPr>
          <w:sz w:val="32"/>
          <w:szCs w:val="32"/>
        </w:rPr>
        <w:t>  d. Impact of Real Interest Rate on Saving Rate</w:t>
      </w:r>
    </w:p>
    <w:p w14:paraId="3877244F" w14:textId="1592ECAA" w:rsidR="00BF141D" w:rsidRPr="00BF141D" w:rsidRDefault="00BF141D" w:rsidP="00BF141D">
      <w:pPr>
        <w:spacing w:line="360" w:lineRule="auto"/>
        <w:rPr>
          <w:b/>
          <w:bCs/>
          <w:sz w:val="32"/>
          <w:szCs w:val="32"/>
        </w:rPr>
      </w:pPr>
      <w:r w:rsidRPr="00BF141D">
        <w:rPr>
          <w:b/>
          <w:bCs/>
          <w:sz w:val="32"/>
          <w:szCs w:val="32"/>
        </w:rPr>
        <w:t xml:space="preserve">3. </w:t>
      </w:r>
      <w:r w:rsidRPr="00BF141D">
        <w:rPr>
          <w:b/>
          <w:bCs/>
          <w:sz w:val="32"/>
          <w:szCs w:val="32"/>
        </w:rPr>
        <w:t>Methodology</w:t>
      </w:r>
    </w:p>
    <w:p w14:paraId="4DB8AB10" w14:textId="77777777" w:rsidR="00BF141D" w:rsidRPr="00BF141D" w:rsidRDefault="00BF141D" w:rsidP="00BF141D">
      <w:pPr>
        <w:spacing w:line="360" w:lineRule="auto"/>
        <w:rPr>
          <w:sz w:val="32"/>
          <w:szCs w:val="32"/>
        </w:rPr>
      </w:pPr>
      <w:r w:rsidRPr="00BF141D">
        <w:rPr>
          <w:b/>
          <w:bCs/>
          <w:sz w:val="32"/>
          <w:szCs w:val="32"/>
        </w:rPr>
        <w:t> </w:t>
      </w:r>
      <w:r w:rsidRPr="00BF141D">
        <w:rPr>
          <w:sz w:val="32"/>
          <w:szCs w:val="32"/>
        </w:rPr>
        <w:t>3.1. Model Specification</w:t>
      </w:r>
    </w:p>
    <w:p w14:paraId="40875FC7" w14:textId="77777777" w:rsidR="00BF141D" w:rsidRPr="00BF141D" w:rsidRDefault="00BF141D" w:rsidP="00BF141D">
      <w:pPr>
        <w:spacing w:line="360" w:lineRule="auto"/>
        <w:rPr>
          <w:sz w:val="32"/>
          <w:szCs w:val="32"/>
        </w:rPr>
      </w:pPr>
      <w:r w:rsidRPr="00BF141D">
        <w:rPr>
          <w:sz w:val="32"/>
          <w:szCs w:val="32"/>
        </w:rPr>
        <w:t> 3.2. Data Description</w:t>
      </w:r>
    </w:p>
    <w:p w14:paraId="48B85D5B" w14:textId="4FAF68B0" w:rsidR="00BF141D" w:rsidRPr="00BF141D" w:rsidRDefault="00BF141D" w:rsidP="00BF141D">
      <w:pPr>
        <w:spacing w:line="360" w:lineRule="auto"/>
        <w:rPr>
          <w:b/>
          <w:bCs/>
          <w:sz w:val="32"/>
          <w:szCs w:val="32"/>
        </w:rPr>
      </w:pPr>
      <w:r w:rsidRPr="00BF141D">
        <w:rPr>
          <w:b/>
          <w:bCs/>
          <w:sz w:val="32"/>
          <w:szCs w:val="32"/>
        </w:rPr>
        <w:t xml:space="preserve">4. </w:t>
      </w:r>
      <w:r w:rsidRPr="00BF141D">
        <w:rPr>
          <w:b/>
          <w:bCs/>
          <w:sz w:val="32"/>
          <w:szCs w:val="32"/>
        </w:rPr>
        <w:t>Ordinary Least Squares (OLS) Regression Analysis</w:t>
      </w:r>
    </w:p>
    <w:p w14:paraId="63E23FE7" w14:textId="77777777" w:rsidR="00BF141D" w:rsidRPr="00BF141D" w:rsidRDefault="00BF141D" w:rsidP="00BF141D">
      <w:pPr>
        <w:spacing w:line="360" w:lineRule="auto"/>
        <w:rPr>
          <w:sz w:val="32"/>
          <w:szCs w:val="32"/>
        </w:rPr>
      </w:pPr>
      <w:r w:rsidRPr="00BF141D">
        <w:rPr>
          <w:sz w:val="32"/>
          <w:szCs w:val="32"/>
        </w:rPr>
        <w:t> 4.1. Assumption 1: Linearity</w:t>
      </w:r>
    </w:p>
    <w:p w14:paraId="79BA6492" w14:textId="77777777" w:rsidR="00BF141D" w:rsidRPr="00BF141D" w:rsidRDefault="00BF141D" w:rsidP="00BF141D">
      <w:pPr>
        <w:spacing w:line="360" w:lineRule="auto"/>
        <w:rPr>
          <w:sz w:val="32"/>
          <w:szCs w:val="32"/>
        </w:rPr>
      </w:pPr>
      <w:r w:rsidRPr="00BF141D">
        <w:rPr>
          <w:sz w:val="32"/>
          <w:szCs w:val="32"/>
        </w:rPr>
        <w:t> 4.2. Assumption 2: No Perfect Multicollinearity</w:t>
      </w:r>
    </w:p>
    <w:p w14:paraId="7EB12534" w14:textId="77777777" w:rsidR="00BF141D" w:rsidRPr="00BF141D" w:rsidRDefault="00BF141D" w:rsidP="00BF141D">
      <w:pPr>
        <w:spacing w:line="360" w:lineRule="auto"/>
        <w:rPr>
          <w:sz w:val="32"/>
          <w:szCs w:val="32"/>
        </w:rPr>
      </w:pPr>
      <w:r w:rsidRPr="00BF141D">
        <w:rPr>
          <w:sz w:val="32"/>
          <w:szCs w:val="32"/>
        </w:rPr>
        <w:t> 4.3. Assumption 3: Zero Conditional Mean</w:t>
      </w:r>
    </w:p>
    <w:p w14:paraId="6CED38F2" w14:textId="77777777" w:rsidR="00BF141D" w:rsidRPr="00BF141D" w:rsidRDefault="00BF141D" w:rsidP="00BF141D">
      <w:pPr>
        <w:spacing w:line="360" w:lineRule="auto"/>
        <w:rPr>
          <w:sz w:val="32"/>
          <w:szCs w:val="32"/>
        </w:rPr>
      </w:pPr>
      <w:r w:rsidRPr="00BF141D">
        <w:rPr>
          <w:sz w:val="32"/>
          <w:szCs w:val="32"/>
        </w:rPr>
        <w:t> 4.4. Assumption 4: Homoscedasticity</w:t>
      </w:r>
    </w:p>
    <w:p w14:paraId="63AE7BE5" w14:textId="77777777" w:rsidR="00BF141D" w:rsidRPr="00BF141D" w:rsidRDefault="00BF141D" w:rsidP="00BF141D">
      <w:pPr>
        <w:spacing w:line="360" w:lineRule="auto"/>
        <w:rPr>
          <w:sz w:val="32"/>
          <w:szCs w:val="32"/>
        </w:rPr>
      </w:pPr>
      <w:r w:rsidRPr="00BF141D">
        <w:rPr>
          <w:sz w:val="32"/>
          <w:szCs w:val="32"/>
        </w:rPr>
        <w:t>  4.4.1. Scatter Plot of Residuals</w:t>
      </w:r>
    </w:p>
    <w:p w14:paraId="37D3F442" w14:textId="77777777" w:rsidR="00BF141D" w:rsidRPr="00BF141D" w:rsidRDefault="00BF141D" w:rsidP="00BF141D">
      <w:pPr>
        <w:spacing w:line="360" w:lineRule="auto"/>
        <w:rPr>
          <w:sz w:val="32"/>
          <w:szCs w:val="32"/>
        </w:rPr>
      </w:pPr>
      <w:r w:rsidRPr="00BF141D">
        <w:rPr>
          <w:sz w:val="32"/>
          <w:szCs w:val="32"/>
        </w:rPr>
        <w:t>  4.4.2. Breusch–Pagan Test</w:t>
      </w:r>
    </w:p>
    <w:p w14:paraId="594E4950" w14:textId="77777777" w:rsidR="00BF141D" w:rsidRPr="00BF141D" w:rsidRDefault="00BF141D" w:rsidP="00BF141D">
      <w:pPr>
        <w:spacing w:line="360" w:lineRule="auto"/>
        <w:rPr>
          <w:sz w:val="32"/>
          <w:szCs w:val="32"/>
        </w:rPr>
      </w:pPr>
      <w:r w:rsidRPr="00BF141D">
        <w:rPr>
          <w:sz w:val="32"/>
          <w:szCs w:val="32"/>
        </w:rPr>
        <w:t>  4.4.3. White’s Test</w:t>
      </w:r>
    </w:p>
    <w:p w14:paraId="2B5F6AE4" w14:textId="77777777" w:rsidR="00BF141D" w:rsidRPr="00BF141D" w:rsidRDefault="00BF141D" w:rsidP="00BF141D">
      <w:pPr>
        <w:spacing w:line="360" w:lineRule="auto"/>
        <w:rPr>
          <w:sz w:val="32"/>
          <w:szCs w:val="32"/>
        </w:rPr>
      </w:pPr>
      <w:r w:rsidRPr="00BF141D">
        <w:rPr>
          <w:sz w:val="32"/>
          <w:szCs w:val="32"/>
        </w:rPr>
        <w:t>  4.4.4. Robust Test</w:t>
      </w:r>
    </w:p>
    <w:p w14:paraId="069464BA" w14:textId="77777777" w:rsidR="00BF141D" w:rsidRPr="00BF141D" w:rsidRDefault="00BF141D" w:rsidP="00BF141D">
      <w:pPr>
        <w:spacing w:line="360" w:lineRule="auto"/>
        <w:rPr>
          <w:sz w:val="32"/>
          <w:szCs w:val="32"/>
        </w:rPr>
      </w:pPr>
      <w:r w:rsidRPr="00BF141D">
        <w:rPr>
          <w:sz w:val="32"/>
          <w:szCs w:val="32"/>
        </w:rPr>
        <w:t> 4.5. Assumption 5: No Autocorrelation</w:t>
      </w:r>
    </w:p>
    <w:p w14:paraId="05E8FA62" w14:textId="77777777" w:rsidR="00BF141D" w:rsidRPr="00BF141D" w:rsidRDefault="00BF141D" w:rsidP="00BF141D">
      <w:pPr>
        <w:spacing w:line="360" w:lineRule="auto"/>
        <w:rPr>
          <w:sz w:val="32"/>
          <w:szCs w:val="32"/>
        </w:rPr>
      </w:pPr>
      <w:r w:rsidRPr="00BF141D">
        <w:rPr>
          <w:sz w:val="32"/>
          <w:szCs w:val="32"/>
        </w:rPr>
        <w:t> 4.6. Assumption 6: Normality of Error Terms</w:t>
      </w:r>
    </w:p>
    <w:p w14:paraId="2D308917" w14:textId="6AD34B95" w:rsidR="00BF141D" w:rsidRPr="00BF141D" w:rsidRDefault="00BF141D" w:rsidP="00BF141D">
      <w:pPr>
        <w:spacing w:line="360" w:lineRule="auto"/>
        <w:rPr>
          <w:b/>
          <w:bCs/>
          <w:sz w:val="32"/>
          <w:szCs w:val="32"/>
        </w:rPr>
      </w:pPr>
      <w:r w:rsidRPr="00BF141D">
        <w:rPr>
          <w:b/>
          <w:bCs/>
          <w:sz w:val="32"/>
          <w:szCs w:val="32"/>
        </w:rPr>
        <w:lastRenderedPageBreak/>
        <w:t xml:space="preserve">5. </w:t>
      </w:r>
      <w:r w:rsidRPr="00BF141D">
        <w:rPr>
          <w:b/>
          <w:bCs/>
          <w:sz w:val="32"/>
          <w:szCs w:val="32"/>
        </w:rPr>
        <w:t>Stationarity and Cointegration Analysis</w:t>
      </w:r>
    </w:p>
    <w:p w14:paraId="3A07F326" w14:textId="77777777" w:rsidR="00BF141D" w:rsidRPr="00BF141D" w:rsidRDefault="00BF141D" w:rsidP="00BF141D">
      <w:pPr>
        <w:spacing w:line="360" w:lineRule="auto"/>
        <w:rPr>
          <w:sz w:val="32"/>
          <w:szCs w:val="32"/>
        </w:rPr>
      </w:pPr>
      <w:r w:rsidRPr="00BF141D">
        <w:rPr>
          <w:b/>
          <w:bCs/>
          <w:sz w:val="32"/>
          <w:szCs w:val="32"/>
        </w:rPr>
        <w:t> </w:t>
      </w:r>
      <w:r w:rsidRPr="00BF141D">
        <w:rPr>
          <w:sz w:val="32"/>
          <w:szCs w:val="32"/>
        </w:rPr>
        <w:t>5.1. Augmented Dickey-Fuller (ADF) Unit Root Test</w:t>
      </w:r>
    </w:p>
    <w:p w14:paraId="5E07D0B2" w14:textId="77777777" w:rsidR="00BF141D" w:rsidRPr="00BF141D" w:rsidRDefault="00BF141D" w:rsidP="00BF141D">
      <w:pPr>
        <w:spacing w:line="360" w:lineRule="auto"/>
        <w:rPr>
          <w:sz w:val="32"/>
          <w:szCs w:val="32"/>
        </w:rPr>
      </w:pPr>
      <w:r w:rsidRPr="00BF141D">
        <w:rPr>
          <w:sz w:val="32"/>
          <w:szCs w:val="32"/>
        </w:rPr>
        <w:t> 5.2. Johansen Cointegration Test</w:t>
      </w:r>
    </w:p>
    <w:p w14:paraId="6CDE18F9" w14:textId="77777777" w:rsidR="00BF141D" w:rsidRPr="00BF141D" w:rsidRDefault="00BF141D" w:rsidP="00BF141D">
      <w:pPr>
        <w:spacing w:line="360" w:lineRule="auto"/>
        <w:rPr>
          <w:sz w:val="32"/>
          <w:szCs w:val="32"/>
        </w:rPr>
      </w:pPr>
      <w:r w:rsidRPr="00BF141D">
        <w:rPr>
          <w:sz w:val="32"/>
          <w:szCs w:val="32"/>
        </w:rPr>
        <w:t> 5.3. Vector Error Correction Model (VECM)</w:t>
      </w:r>
    </w:p>
    <w:p w14:paraId="1F710045" w14:textId="77777777" w:rsidR="00BF141D" w:rsidRPr="00BF141D" w:rsidRDefault="00BF141D" w:rsidP="00BF141D">
      <w:pPr>
        <w:spacing w:line="360" w:lineRule="auto"/>
        <w:rPr>
          <w:sz w:val="32"/>
          <w:szCs w:val="32"/>
        </w:rPr>
      </w:pPr>
      <w:r w:rsidRPr="00BF141D">
        <w:rPr>
          <w:sz w:val="32"/>
          <w:szCs w:val="32"/>
        </w:rPr>
        <w:t>  5.3.1. Long-Run Effects</w:t>
      </w:r>
    </w:p>
    <w:p w14:paraId="4D241BA0" w14:textId="77777777" w:rsidR="00BF141D" w:rsidRPr="00BF141D" w:rsidRDefault="00BF141D" w:rsidP="00BF141D">
      <w:pPr>
        <w:spacing w:line="360" w:lineRule="auto"/>
        <w:rPr>
          <w:sz w:val="32"/>
          <w:szCs w:val="32"/>
        </w:rPr>
      </w:pPr>
      <w:r w:rsidRPr="00BF141D">
        <w:rPr>
          <w:sz w:val="32"/>
          <w:szCs w:val="32"/>
        </w:rPr>
        <w:t>  5.3.2. Short-Run Effects</w:t>
      </w:r>
    </w:p>
    <w:p w14:paraId="4E54C215" w14:textId="5567E40D" w:rsidR="00BF141D" w:rsidRPr="00BF141D" w:rsidRDefault="00BF141D" w:rsidP="00BF141D">
      <w:pPr>
        <w:spacing w:line="360" w:lineRule="auto"/>
        <w:rPr>
          <w:b/>
          <w:bCs/>
          <w:sz w:val="32"/>
          <w:szCs w:val="32"/>
        </w:rPr>
      </w:pPr>
      <w:r w:rsidRPr="00BF141D">
        <w:rPr>
          <w:b/>
          <w:bCs/>
          <w:sz w:val="32"/>
          <w:szCs w:val="32"/>
        </w:rPr>
        <w:t xml:space="preserve">6. </w:t>
      </w:r>
      <w:r w:rsidRPr="00BF141D">
        <w:rPr>
          <w:b/>
          <w:bCs/>
          <w:sz w:val="32"/>
          <w:szCs w:val="32"/>
        </w:rPr>
        <w:t>Conclusion and Policy Implications</w:t>
      </w:r>
    </w:p>
    <w:p w14:paraId="24A6769F" w14:textId="77777777" w:rsidR="00BF141D" w:rsidRPr="00BF141D" w:rsidRDefault="00BF141D" w:rsidP="00BF141D">
      <w:pPr>
        <w:spacing w:line="360" w:lineRule="auto"/>
        <w:rPr>
          <w:sz w:val="32"/>
          <w:szCs w:val="32"/>
        </w:rPr>
      </w:pPr>
      <w:r w:rsidRPr="00BF141D">
        <w:rPr>
          <w:b/>
          <w:bCs/>
          <w:sz w:val="32"/>
          <w:szCs w:val="32"/>
        </w:rPr>
        <w:t> </w:t>
      </w:r>
      <w:r w:rsidRPr="00BF141D">
        <w:rPr>
          <w:sz w:val="32"/>
          <w:szCs w:val="32"/>
        </w:rPr>
        <w:t>6.1. Conclusion</w:t>
      </w:r>
    </w:p>
    <w:p w14:paraId="2121872F" w14:textId="77777777" w:rsidR="00BF141D" w:rsidRPr="00BF141D" w:rsidRDefault="00BF141D" w:rsidP="00BF141D">
      <w:pPr>
        <w:spacing w:line="360" w:lineRule="auto"/>
        <w:rPr>
          <w:sz w:val="32"/>
          <w:szCs w:val="32"/>
        </w:rPr>
      </w:pPr>
      <w:r w:rsidRPr="00BF141D">
        <w:rPr>
          <w:sz w:val="32"/>
          <w:szCs w:val="32"/>
        </w:rPr>
        <w:t> 6.2. Policy Implications</w:t>
      </w:r>
    </w:p>
    <w:p w14:paraId="5CE7733D" w14:textId="120142AF" w:rsidR="00BF141D" w:rsidRPr="00BF141D" w:rsidRDefault="00BF141D" w:rsidP="00BF141D">
      <w:pPr>
        <w:spacing w:line="360" w:lineRule="auto"/>
        <w:rPr>
          <w:b/>
          <w:bCs/>
          <w:sz w:val="32"/>
          <w:szCs w:val="32"/>
        </w:rPr>
      </w:pPr>
      <w:r w:rsidRPr="00BF141D">
        <w:rPr>
          <w:b/>
          <w:bCs/>
          <w:sz w:val="32"/>
          <w:szCs w:val="32"/>
        </w:rPr>
        <w:t xml:space="preserve">7. </w:t>
      </w:r>
      <w:r w:rsidRPr="00BF141D">
        <w:rPr>
          <w:b/>
          <w:bCs/>
          <w:sz w:val="32"/>
          <w:szCs w:val="32"/>
        </w:rPr>
        <w:t>Limitations and Future Research Recommendations</w:t>
      </w:r>
    </w:p>
    <w:p w14:paraId="55109AA7" w14:textId="77777777" w:rsidR="00BF141D" w:rsidRPr="00BF141D" w:rsidRDefault="00BF141D" w:rsidP="00BF141D">
      <w:pPr>
        <w:spacing w:line="360" w:lineRule="auto"/>
        <w:rPr>
          <w:b/>
          <w:bCs/>
          <w:sz w:val="32"/>
          <w:szCs w:val="32"/>
        </w:rPr>
      </w:pPr>
      <w:r w:rsidRPr="00BF141D">
        <w:rPr>
          <w:b/>
          <w:bCs/>
          <w:sz w:val="32"/>
          <w:szCs w:val="32"/>
        </w:rPr>
        <w:t>References</w:t>
      </w:r>
    </w:p>
    <w:p w14:paraId="2444785C" w14:textId="0AC0812D" w:rsidR="00BF141D" w:rsidRPr="00BF141D" w:rsidRDefault="00BF141D" w:rsidP="00BF141D">
      <w:pPr>
        <w:spacing w:line="360" w:lineRule="auto"/>
        <w:rPr>
          <w:b/>
          <w:bCs/>
          <w:sz w:val="32"/>
          <w:szCs w:val="32"/>
        </w:rPr>
      </w:pPr>
      <w:r w:rsidRPr="00BF141D">
        <w:rPr>
          <w:b/>
          <w:bCs/>
          <w:sz w:val="32"/>
          <w:szCs w:val="32"/>
        </w:rPr>
        <w:t>Appendices</w:t>
      </w:r>
    </w:p>
    <w:p w14:paraId="7111E767" w14:textId="77777777" w:rsidR="00BF141D" w:rsidRPr="00BF141D" w:rsidRDefault="00BF141D" w:rsidP="00BF141D">
      <w:pPr>
        <w:rPr>
          <w:b/>
          <w:bCs/>
          <w:sz w:val="28"/>
          <w:szCs w:val="28"/>
        </w:rPr>
      </w:pPr>
      <w:r w:rsidRPr="00BF141D">
        <w:rPr>
          <w:b/>
          <w:bCs/>
          <w:sz w:val="28"/>
          <w:szCs w:val="28"/>
        </w:rPr>
        <w:br w:type="page"/>
      </w:r>
    </w:p>
    <w:p w14:paraId="0024553D" w14:textId="71CA1844" w:rsidR="00830401" w:rsidRPr="00BF141D" w:rsidRDefault="00000000" w:rsidP="00BF141D">
      <w:pPr>
        <w:pStyle w:val="Heading1"/>
        <w:spacing w:line="360" w:lineRule="auto"/>
        <w:jc w:val="both"/>
        <w:rPr>
          <w:rFonts w:eastAsia="Times New Roman"/>
          <w:b/>
          <w:sz w:val="24"/>
          <w:szCs w:val="24"/>
        </w:rPr>
      </w:pPr>
      <w:r w:rsidRPr="00BF141D">
        <w:rPr>
          <w:rFonts w:eastAsia="Times New Roman"/>
          <w:b/>
          <w:sz w:val="24"/>
          <w:szCs w:val="24"/>
        </w:rPr>
        <w:lastRenderedPageBreak/>
        <w:t xml:space="preserve">ABSTRACT </w:t>
      </w:r>
    </w:p>
    <w:p w14:paraId="0C9EDBDD" w14:textId="5FE5131A" w:rsidR="00830401" w:rsidRPr="00BF141D" w:rsidRDefault="00BF141D" w:rsidP="00BF141D">
      <w:pPr>
        <w:spacing w:line="360" w:lineRule="auto"/>
        <w:rPr>
          <w:rFonts w:eastAsia="Times New Roman"/>
          <w:sz w:val="24"/>
          <w:szCs w:val="24"/>
        </w:rPr>
      </w:pPr>
      <w:r w:rsidRPr="00BF141D">
        <w:rPr>
          <w:rFonts w:eastAsia="Times New Roman"/>
          <w:sz w:val="24"/>
          <w:szCs w:val="24"/>
        </w:rPr>
        <w:t>The paper examines the factors affecting the gross domestic saving rate in the United States between 1975 and 2021 such as the influence of real interest rates, inflation, the ratio of age dependency and the level of income per capita. Based on time-series data, the paper will verify that there exist long-run relationships between the significant variables with the assistance of Ordinary Least Squares (OLS) and Vector Error Correction Model (VECM). The findings indicate that the age dependency ratio and real interest rates have negative and significant consequences on saving rate in the long run and the per capita income and inflation have no significant effects. They have limited impacts in the short-run, but because the error correction term is substantial, this implies adjustment to the equilibrium gradually. These results underline the influence of the structural demographic and financial factors in constructing the national saving behavior. The policy implications are that demographic pressure needs to be taken care of and there should be macro-financial stability in order to promote long-term domestic saving.</w:t>
      </w:r>
    </w:p>
    <w:p w14:paraId="3B3112AC" w14:textId="4DE78745" w:rsidR="00830401" w:rsidRPr="00BF141D" w:rsidRDefault="004557E2" w:rsidP="00BF141D">
      <w:pPr>
        <w:pStyle w:val="Heading1"/>
        <w:spacing w:line="360" w:lineRule="auto"/>
        <w:jc w:val="both"/>
        <w:rPr>
          <w:sz w:val="24"/>
          <w:szCs w:val="24"/>
        </w:rPr>
      </w:pPr>
      <w:bookmarkStart w:id="0" w:name="_9eueo0uvb42q" w:colFirst="0" w:colLast="0"/>
      <w:bookmarkEnd w:id="0"/>
      <w:r w:rsidRPr="00BF141D">
        <w:rPr>
          <w:rFonts w:eastAsia="Times New Roman"/>
          <w:b/>
          <w:sz w:val="24"/>
          <w:szCs w:val="24"/>
        </w:rPr>
        <w:t xml:space="preserve">1. </w:t>
      </w:r>
      <w:r w:rsidR="00000000" w:rsidRPr="00BF141D">
        <w:rPr>
          <w:rFonts w:eastAsia="Times New Roman"/>
          <w:b/>
          <w:sz w:val="24"/>
          <w:szCs w:val="24"/>
        </w:rPr>
        <w:t>INTRODUCTION</w:t>
      </w:r>
    </w:p>
    <w:p w14:paraId="64A6303E" w14:textId="77777777" w:rsidR="00830401" w:rsidRPr="00BF141D" w:rsidRDefault="00000000" w:rsidP="00BF141D">
      <w:pPr>
        <w:spacing w:line="360" w:lineRule="auto"/>
        <w:jc w:val="both"/>
        <w:rPr>
          <w:rFonts w:eastAsia="Times New Roman"/>
          <w:b/>
          <w:sz w:val="24"/>
          <w:szCs w:val="24"/>
        </w:rPr>
      </w:pPr>
      <w:r w:rsidRPr="00BF141D">
        <w:rPr>
          <w:rFonts w:eastAsia="Times New Roman"/>
          <w:sz w:val="24"/>
          <w:szCs w:val="24"/>
        </w:rPr>
        <w:t>There are a number of studies that examined the US domestic saving rate (% of GDP). Bovenberg &amp; Evans (1990) realized that the real interest rates and demographics determined saving in the 1980s. According to the IMF (Ouliaris &amp; Rochon, 2018) there were no significant structural developments after the 2008 crisis and the rise in saving activity during the period of 2008-2012 was primarily based on the income shocks and wealth. Since the process of saving allocation to investment, financial stability, and long-term development is widely discussed, it is essential to conduct further studies during other time frames like 1975-2021 in this study.</w:t>
      </w:r>
    </w:p>
    <w:p w14:paraId="5695999B" w14:textId="344654BF" w:rsidR="00830401" w:rsidRPr="00BF141D" w:rsidRDefault="004557E2" w:rsidP="00BF141D">
      <w:pPr>
        <w:pStyle w:val="Heading1"/>
        <w:spacing w:line="360" w:lineRule="auto"/>
        <w:jc w:val="both"/>
        <w:rPr>
          <w:sz w:val="24"/>
          <w:szCs w:val="24"/>
        </w:rPr>
      </w:pPr>
      <w:bookmarkStart w:id="1" w:name="_ybnr6yh65bu" w:colFirst="0" w:colLast="0"/>
      <w:bookmarkEnd w:id="1"/>
      <w:r w:rsidRPr="00BF141D">
        <w:rPr>
          <w:rFonts w:eastAsia="Times New Roman"/>
          <w:b/>
          <w:sz w:val="24"/>
          <w:szCs w:val="24"/>
        </w:rPr>
        <w:t xml:space="preserve">2. </w:t>
      </w:r>
      <w:r w:rsidR="00000000" w:rsidRPr="00BF141D">
        <w:rPr>
          <w:rFonts w:eastAsia="Times New Roman"/>
          <w:b/>
          <w:sz w:val="24"/>
          <w:szCs w:val="24"/>
        </w:rPr>
        <w:t xml:space="preserve">LITERATURE REVIEW </w:t>
      </w:r>
      <w:r w:rsidR="00000000" w:rsidRPr="00BF141D">
        <w:rPr>
          <w:rFonts w:eastAsia="Times New Roman"/>
          <w:sz w:val="24"/>
          <w:szCs w:val="24"/>
        </w:rPr>
        <w:t xml:space="preserve">                                                         </w:t>
      </w:r>
    </w:p>
    <w:p w14:paraId="4432BC67"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 xml:space="preserve">2.1. Dependent Variable: </w:t>
      </w:r>
    </w:p>
    <w:p w14:paraId="6972A73D" w14:textId="77777777" w:rsidR="00830401" w:rsidRPr="00BF141D" w:rsidRDefault="00000000" w:rsidP="00BF141D">
      <w:pPr>
        <w:spacing w:line="360" w:lineRule="auto"/>
        <w:jc w:val="both"/>
        <w:rPr>
          <w:rFonts w:eastAsia="Times New Roman"/>
          <w:sz w:val="24"/>
          <w:szCs w:val="24"/>
        </w:rPr>
      </w:pPr>
      <w:r w:rsidRPr="00BF141D">
        <w:rPr>
          <w:rFonts w:eastAsia="Times New Roman"/>
          <w:b/>
          <w:sz w:val="24"/>
          <w:szCs w:val="24"/>
        </w:rPr>
        <w:t>Gross domestic savings (% of GDP):</w:t>
      </w:r>
      <w:r w:rsidRPr="00BF141D">
        <w:rPr>
          <w:rFonts w:eastAsia="Times New Roman"/>
          <w:sz w:val="24"/>
          <w:szCs w:val="24"/>
        </w:rPr>
        <w:t xml:space="preserve"> </w:t>
      </w:r>
    </w:p>
    <w:p w14:paraId="6E86B79C"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lastRenderedPageBreak/>
        <w:t>Gross domestic savings reflects the portion of GDP remaining after spending and the ability to invest in the long term (Glossary | DataBank, 2015). In the US, the period 1970–2022 ranged from 13.9% to 23.8%, averaging 19–20% (TheGlobalEconomy.com). The period 1975–2021 was volatile, suitable for analyzing the relationship with macroeconomic factors.</w:t>
      </w:r>
    </w:p>
    <w:p w14:paraId="413EBD74" w14:textId="77777777" w:rsidR="00830401" w:rsidRPr="00BF141D" w:rsidRDefault="00830401" w:rsidP="00BF141D">
      <w:pPr>
        <w:spacing w:line="360" w:lineRule="auto"/>
        <w:jc w:val="both"/>
        <w:rPr>
          <w:rFonts w:eastAsia="Times New Roman"/>
          <w:sz w:val="24"/>
          <w:szCs w:val="24"/>
        </w:rPr>
      </w:pPr>
    </w:p>
    <w:p w14:paraId="1EF6E6A1"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 xml:space="preserve">2.2. Independent Variables: </w:t>
      </w:r>
    </w:p>
    <w:p w14:paraId="00FA8004" w14:textId="47CEC985" w:rsidR="00830401" w:rsidRPr="00BF141D" w:rsidRDefault="004557E2" w:rsidP="00BF141D">
      <w:pPr>
        <w:spacing w:line="360" w:lineRule="auto"/>
        <w:jc w:val="both"/>
        <w:rPr>
          <w:rFonts w:eastAsia="Times New Roman"/>
          <w:b/>
          <w:sz w:val="24"/>
          <w:szCs w:val="24"/>
        </w:rPr>
      </w:pPr>
      <w:r w:rsidRPr="00BF141D">
        <w:rPr>
          <w:rFonts w:eastAsia="Times New Roman"/>
          <w:b/>
          <w:sz w:val="24"/>
          <w:szCs w:val="24"/>
        </w:rPr>
        <w:t xml:space="preserve">a, </w:t>
      </w:r>
      <w:r w:rsidR="00000000" w:rsidRPr="00BF141D">
        <w:rPr>
          <w:rFonts w:eastAsia="Times New Roman"/>
          <w:b/>
          <w:sz w:val="24"/>
          <w:szCs w:val="24"/>
        </w:rPr>
        <w:t>Impact of GNI on Savings rate</w:t>
      </w:r>
    </w:p>
    <w:p w14:paraId="250DBE8B"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 xml:space="preserve">GNI per capita is national income (including GDP and net income from abroad) divided by the population, reflecting the average standard of living. Loayza et al. (2000) supports that GNI is expected to exert a positive influence on saving, as higher income levels enhance individuals’ capacity to generate surplus. However, Brueckner et al. (2021)’s research on 130 countries over the period 1960–2017 shows that in rich countries, increasing GNI can slow down saving. Therefore, in the US, a high-income country, this relationship can be negative or nonlinear. </w:t>
      </w:r>
    </w:p>
    <w:p w14:paraId="1B53B0F8" w14:textId="77777777" w:rsidR="00830401" w:rsidRPr="00BF141D" w:rsidRDefault="00830401" w:rsidP="00BF141D">
      <w:pPr>
        <w:spacing w:line="360" w:lineRule="auto"/>
        <w:jc w:val="both"/>
        <w:rPr>
          <w:rFonts w:eastAsia="Times New Roman"/>
          <w:sz w:val="24"/>
          <w:szCs w:val="24"/>
        </w:rPr>
      </w:pPr>
    </w:p>
    <w:p w14:paraId="74B8CA3B" w14:textId="5A2781B7" w:rsidR="00830401" w:rsidRPr="00BF141D" w:rsidRDefault="004557E2" w:rsidP="00BF141D">
      <w:pPr>
        <w:spacing w:line="360" w:lineRule="auto"/>
        <w:jc w:val="both"/>
        <w:rPr>
          <w:rFonts w:eastAsia="Times New Roman"/>
          <w:b/>
          <w:sz w:val="24"/>
          <w:szCs w:val="24"/>
        </w:rPr>
      </w:pPr>
      <w:r w:rsidRPr="00BF141D">
        <w:rPr>
          <w:rFonts w:eastAsia="Times New Roman"/>
          <w:b/>
          <w:sz w:val="24"/>
          <w:szCs w:val="24"/>
        </w:rPr>
        <w:t xml:space="preserve">b, </w:t>
      </w:r>
      <w:r w:rsidR="00000000" w:rsidRPr="00BF141D">
        <w:rPr>
          <w:rFonts w:eastAsia="Times New Roman"/>
          <w:b/>
          <w:sz w:val="24"/>
          <w:szCs w:val="24"/>
        </w:rPr>
        <w:t>Impact of Age dependency ratio on Savings rate</w:t>
      </w:r>
    </w:p>
    <w:p w14:paraId="79635668"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The age dependency ratio is the number of people under 15 and over 65 years old compared to the working age group (15–64). The age dependency ratio is anticipated to have a negative effect on savings, since a larger dependent population reduces the share of income that can be allocated to saving, leading to increasing financial burden (Hyung, 2013). Moreover, another study also asserts that a high dependency ratio negatively affects savings, especially when the dependent group exceeds the working age group (Li et al., 2006).</w:t>
      </w:r>
    </w:p>
    <w:p w14:paraId="72F6CE70" w14:textId="77777777" w:rsidR="00830401" w:rsidRPr="00BF141D" w:rsidRDefault="00830401" w:rsidP="00BF141D">
      <w:pPr>
        <w:spacing w:line="360" w:lineRule="auto"/>
        <w:jc w:val="both"/>
        <w:rPr>
          <w:rFonts w:eastAsia="Times New Roman"/>
          <w:sz w:val="24"/>
          <w:szCs w:val="24"/>
        </w:rPr>
      </w:pPr>
    </w:p>
    <w:p w14:paraId="344751DA" w14:textId="12CB376A" w:rsidR="004557E2" w:rsidRPr="00BF141D" w:rsidRDefault="004557E2" w:rsidP="00BF141D">
      <w:pPr>
        <w:spacing w:line="360" w:lineRule="auto"/>
        <w:jc w:val="both"/>
        <w:rPr>
          <w:rFonts w:eastAsia="Times New Roman"/>
          <w:b/>
          <w:sz w:val="24"/>
          <w:szCs w:val="24"/>
        </w:rPr>
      </w:pPr>
      <w:r w:rsidRPr="00BF141D">
        <w:rPr>
          <w:rFonts w:eastAsia="Times New Roman"/>
          <w:b/>
          <w:sz w:val="24"/>
          <w:szCs w:val="24"/>
        </w:rPr>
        <w:t xml:space="preserve">c, </w:t>
      </w:r>
      <w:r w:rsidR="00000000" w:rsidRPr="00BF141D">
        <w:rPr>
          <w:rFonts w:eastAsia="Times New Roman"/>
          <w:b/>
          <w:sz w:val="24"/>
          <w:szCs w:val="24"/>
        </w:rPr>
        <w:t>Impact of Inflation, consumer prices on Savings rate</w:t>
      </w:r>
    </w:p>
    <w:p w14:paraId="08CE4DC6" w14:textId="2F1BEA3E"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Inflation (CPI) is the annual percentage change in the cost of a standard basket of consumer goods and services. Davidson &amp; MacKinnon (1983) argue when inflation is high, nominal interest rates include an inflation premium, causing the saving index to increase, even though the actual accumulated assets do not increase.</w:t>
      </w:r>
    </w:p>
    <w:p w14:paraId="2ED933E9" w14:textId="77777777" w:rsidR="004557E2" w:rsidRPr="00BF141D" w:rsidRDefault="004557E2" w:rsidP="00BF141D">
      <w:pPr>
        <w:spacing w:line="360" w:lineRule="auto"/>
        <w:jc w:val="both"/>
        <w:rPr>
          <w:rFonts w:eastAsia="Times New Roman"/>
          <w:b/>
          <w:sz w:val="24"/>
          <w:szCs w:val="24"/>
        </w:rPr>
      </w:pPr>
    </w:p>
    <w:p w14:paraId="6D8A5A47" w14:textId="6D4EF363" w:rsidR="00830401" w:rsidRPr="00BF141D" w:rsidRDefault="004557E2" w:rsidP="00BF141D">
      <w:pPr>
        <w:spacing w:line="360" w:lineRule="auto"/>
        <w:jc w:val="both"/>
        <w:rPr>
          <w:rFonts w:eastAsia="Times New Roman"/>
          <w:b/>
          <w:sz w:val="24"/>
          <w:szCs w:val="24"/>
        </w:rPr>
      </w:pPr>
      <w:r w:rsidRPr="00BF141D">
        <w:rPr>
          <w:rFonts w:eastAsia="Times New Roman"/>
          <w:b/>
          <w:sz w:val="24"/>
          <w:szCs w:val="24"/>
        </w:rPr>
        <w:lastRenderedPageBreak/>
        <w:t xml:space="preserve">d, </w:t>
      </w:r>
      <w:r w:rsidR="00000000" w:rsidRPr="00BF141D">
        <w:rPr>
          <w:rFonts w:eastAsia="Times New Roman"/>
          <w:b/>
          <w:sz w:val="24"/>
          <w:szCs w:val="24"/>
        </w:rPr>
        <w:t xml:space="preserve">Impact of Real interest rate on Savings rate </w:t>
      </w:r>
    </w:p>
    <w:p w14:paraId="6FB647B8"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Real interest rates reflect the actual returns that savers receive after deducting inflation, and play a role in regulating saving and consumption behavior. Therefore, real interest rates are expected to encourage saving by increasing the return to deferred consumption, in line with intertemporal substitution theory.  Research by Khan, Khilji &amp; Abbas (2014) shows that real interest rates have a positive impact on the savings rate: when real interest rates increase, the opportunity cost of current consumption increases, promoting savings and contributing to national financial stability.</w:t>
      </w:r>
    </w:p>
    <w:p w14:paraId="3EEA520F" w14:textId="77777777" w:rsidR="00830401" w:rsidRPr="00BF141D" w:rsidRDefault="00830401" w:rsidP="00BF141D">
      <w:pPr>
        <w:spacing w:line="360" w:lineRule="auto"/>
        <w:jc w:val="both"/>
        <w:rPr>
          <w:rFonts w:eastAsia="Times New Roman"/>
          <w:sz w:val="24"/>
          <w:szCs w:val="24"/>
        </w:rPr>
      </w:pPr>
    </w:p>
    <w:p w14:paraId="3E5AD8CC" w14:textId="44952DF4" w:rsidR="00830401" w:rsidRPr="00BF141D" w:rsidRDefault="004557E2" w:rsidP="00BF141D">
      <w:pPr>
        <w:pStyle w:val="Heading1"/>
        <w:spacing w:line="360" w:lineRule="auto"/>
        <w:jc w:val="both"/>
        <w:rPr>
          <w:sz w:val="24"/>
          <w:szCs w:val="24"/>
        </w:rPr>
      </w:pPr>
      <w:bookmarkStart w:id="2" w:name="_vwjhmdj7j7lu" w:colFirst="0" w:colLast="0"/>
      <w:bookmarkEnd w:id="2"/>
      <w:r w:rsidRPr="00BF141D">
        <w:rPr>
          <w:rFonts w:eastAsia="Times New Roman"/>
          <w:b/>
          <w:sz w:val="24"/>
          <w:szCs w:val="24"/>
        </w:rPr>
        <w:t xml:space="preserve">3. </w:t>
      </w:r>
      <w:r w:rsidR="00000000" w:rsidRPr="00BF141D">
        <w:rPr>
          <w:rFonts w:eastAsia="Times New Roman"/>
          <w:b/>
          <w:sz w:val="24"/>
          <w:szCs w:val="24"/>
        </w:rPr>
        <w:t>METHODOLOGY</w:t>
      </w:r>
    </w:p>
    <w:p w14:paraId="3E3BF1A9" w14:textId="08DC0F4F"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3.1</w:t>
      </w:r>
      <w:r w:rsidR="004557E2" w:rsidRPr="00BF141D">
        <w:rPr>
          <w:rFonts w:eastAsia="Times New Roman"/>
          <w:b/>
          <w:sz w:val="24"/>
          <w:szCs w:val="24"/>
        </w:rPr>
        <w:t>.</w:t>
      </w:r>
      <w:r w:rsidRPr="00BF141D">
        <w:rPr>
          <w:rFonts w:eastAsia="Times New Roman"/>
          <w:b/>
          <w:sz w:val="24"/>
          <w:szCs w:val="24"/>
        </w:rPr>
        <w:t xml:space="preserve"> Model specification (Appendix 1)</w:t>
      </w:r>
    </w:p>
    <w:p w14:paraId="1CB2BB49" w14:textId="77777777" w:rsidR="00830401" w:rsidRPr="00BF141D" w:rsidRDefault="00000000" w:rsidP="00BF141D">
      <w:pPr>
        <w:spacing w:line="360" w:lineRule="auto"/>
        <w:rPr>
          <w:rFonts w:eastAsia="Times New Roman"/>
          <w:sz w:val="24"/>
          <w:szCs w:val="24"/>
        </w:rPr>
      </w:pPr>
      <w:r w:rsidRPr="00BF141D">
        <w:rPr>
          <w:rFonts w:eastAsia="Times New Roman"/>
          <w:sz w:val="24"/>
          <w:szCs w:val="24"/>
        </w:rPr>
        <w:t>This study employs a multiple linear regression model to examine the determinants of gross domestic savings, using the Ordinary Least Squares (OLS) estimation method. The dependent variable is the gross domestic savings rate (% of GDP), while the explanatory variables include gross national income (GNI) per capita, the age dependency ratio, consumer price inflation, and the real interest rate. The model is specified as follows:</w:t>
      </w:r>
      <w:r w:rsidRPr="00BF141D">
        <w:rPr>
          <w:rFonts w:eastAsia="Times New Roman"/>
          <w:noProof/>
          <w:sz w:val="24"/>
          <w:szCs w:val="24"/>
        </w:rPr>
        <w:drawing>
          <wp:inline distT="114300" distB="114300" distL="114300" distR="114300" wp14:anchorId="14B5C3F7" wp14:editId="1C2B8A3D">
            <wp:extent cx="6300185" cy="327282"/>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6300185" cy="327282"/>
                    </a:xfrm>
                    <a:prstGeom prst="rect">
                      <a:avLst/>
                    </a:prstGeom>
                    <a:ln/>
                  </pic:spPr>
                </pic:pic>
              </a:graphicData>
            </a:graphic>
          </wp:inline>
        </w:drawing>
      </w:r>
    </w:p>
    <w:p w14:paraId="0FC79FA9" w14:textId="77777777" w:rsidR="00830401" w:rsidRPr="00BF141D" w:rsidRDefault="00000000" w:rsidP="00BF141D">
      <w:pPr>
        <w:spacing w:line="360" w:lineRule="auto"/>
        <w:jc w:val="both"/>
        <w:rPr>
          <w:rFonts w:eastAsia="Times New Roman"/>
          <w:sz w:val="24"/>
          <w:szCs w:val="24"/>
        </w:rPr>
      </w:pPr>
      <w:r w:rsidRPr="00BF141D">
        <w:rPr>
          <w:rFonts w:eastAsia="Times New Roman"/>
          <w:noProof/>
          <w:sz w:val="24"/>
          <w:szCs w:val="24"/>
        </w:rPr>
        <w:drawing>
          <wp:inline distT="114300" distB="114300" distL="114300" distR="114300" wp14:anchorId="4D62FFC8" wp14:editId="69FB6948">
            <wp:extent cx="5440621" cy="210318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440621" cy="2103180"/>
                    </a:xfrm>
                    <a:prstGeom prst="rect">
                      <a:avLst/>
                    </a:prstGeom>
                    <a:ln/>
                  </pic:spPr>
                </pic:pic>
              </a:graphicData>
            </a:graphic>
          </wp:inline>
        </w:drawing>
      </w:r>
    </w:p>
    <w:p w14:paraId="7844DC73" w14:textId="77777777" w:rsidR="00830401" w:rsidRPr="00BF141D" w:rsidRDefault="00000000" w:rsidP="00BF141D">
      <w:pPr>
        <w:spacing w:before="240" w:after="240" w:line="360" w:lineRule="auto"/>
        <w:rPr>
          <w:rFonts w:eastAsia="Times New Roman"/>
          <w:sz w:val="24"/>
          <w:szCs w:val="24"/>
        </w:rPr>
      </w:pPr>
      <w:r w:rsidRPr="00BF141D">
        <w:rPr>
          <w:rFonts w:eastAsia="Times New Roman"/>
          <w:sz w:val="24"/>
          <w:szCs w:val="24"/>
        </w:rPr>
        <w:t xml:space="preserve">This model is theoretically grounded in the life-cycle hypothesis (Modigliani and Brumberg, 1954) and the permanent income hypothesis (Friedman, 1957), which </w:t>
      </w:r>
      <w:r w:rsidRPr="00BF141D">
        <w:rPr>
          <w:rFonts w:eastAsia="Times New Roman"/>
          <w:sz w:val="24"/>
          <w:szCs w:val="24"/>
        </w:rPr>
        <w:lastRenderedPageBreak/>
        <w:t xml:space="preserve">suggest that saving behavior reflects efforts to smooth consumption across the life course based on anticipated long-term income. </w:t>
      </w:r>
      <w:r w:rsidRPr="00BF141D">
        <w:rPr>
          <w:rFonts w:eastAsia="Times New Roman"/>
          <w:noProof/>
          <w:sz w:val="24"/>
          <w:szCs w:val="24"/>
        </w:rPr>
        <w:drawing>
          <wp:inline distT="114300" distB="114300" distL="114300" distR="114300" wp14:anchorId="6D02CFE3" wp14:editId="1FEE246A">
            <wp:extent cx="5886450" cy="376237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l="961"/>
                    <a:stretch>
                      <a:fillRect/>
                    </a:stretch>
                  </pic:blipFill>
                  <pic:spPr>
                    <a:xfrm>
                      <a:off x="0" y="0"/>
                      <a:ext cx="5886450" cy="3762375"/>
                    </a:xfrm>
                    <a:prstGeom prst="rect">
                      <a:avLst/>
                    </a:prstGeom>
                    <a:ln/>
                  </pic:spPr>
                </pic:pic>
              </a:graphicData>
            </a:graphic>
          </wp:inline>
        </w:drawing>
      </w:r>
    </w:p>
    <w:p w14:paraId="04CA219D" w14:textId="7D44045D"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3.2</w:t>
      </w:r>
      <w:r w:rsidR="004557E2" w:rsidRPr="00BF141D">
        <w:rPr>
          <w:rFonts w:eastAsia="Times New Roman"/>
          <w:b/>
          <w:sz w:val="24"/>
          <w:szCs w:val="24"/>
        </w:rPr>
        <w:t>.</w:t>
      </w:r>
      <w:r w:rsidRPr="00BF141D">
        <w:rPr>
          <w:rFonts w:eastAsia="Times New Roman"/>
          <w:b/>
          <w:sz w:val="24"/>
          <w:szCs w:val="24"/>
        </w:rPr>
        <w:t xml:space="preserve"> Data description: </w:t>
      </w:r>
    </w:p>
    <w:p w14:paraId="597844FF"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This study employs annual time-series data for the United States spanning from 1975 to 2021, resulting in a total of 47 observations. All data are obtained from the World Development Indicators, ensuring consistency and cross-country comparability.</w:t>
      </w:r>
    </w:p>
    <w:p w14:paraId="75FBD6FB" w14:textId="77777777" w:rsidR="00830401" w:rsidRPr="00BF141D" w:rsidRDefault="00000000" w:rsidP="00BF141D">
      <w:pPr>
        <w:spacing w:before="240" w:after="240" w:line="360" w:lineRule="auto"/>
        <w:jc w:val="both"/>
        <w:rPr>
          <w:rFonts w:eastAsia="Times New Roman"/>
          <w:sz w:val="24"/>
          <w:szCs w:val="24"/>
        </w:rPr>
      </w:pPr>
      <w:r w:rsidRPr="00BF141D">
        <w:rPr>
          <w:rFonts w:eastAsia="Times New Roman"/>
          <w:sz w:val="24"/>
          <w:szCs w:val="24"/>
        </w:rPr>
        <w:t>Descriptive statistics for the main variables are presented in Table 4.2 (Appendix 2.1). Over the sample period, the gross domestic savings rate in the U.S. averaged 19.55% of GDP. This reflects meaningful fluctuations in saving behavior that likely respond to macroeconomic, policy, and demographic dynamics.</w:t>
      </w:r>
    </w:p>
    <w:p w14:paraId="59734E0C" w14:textId="77777777" w:rsidR="00830401" w:rsidRPr="00BF141D" w:rsidRDefault="00000000" w:rsidP="00BF141D">
      <w:pPr>
        <w:spacing w:before="240" w:after="240" w:line="360" w:lineRule="auto"/>
        <w:jc w:val="both"/>
        <w:rPr>
          <w:rFonts w:eastAsia="Times New Roman"/>
          <w:sz w:val="24"/>
          <w:szCs w:val="24"/>
        </w:rPr>
      </w:pPr>
      <w:r w:rsidRPr="00BF141D">
        <w:rPr>
          <w:rFonts w:eastAsia="Times New Roman"/>
          <w:sz w:val="24"/>
          <w:szCs w:val="24"/>
        </w:rPr>
        <w:t>GNI per capita, measured using the Atlas method in U.S. dollars, had an average of 35,067 USD. The standard deviation is notably high (17,793 USD), reflecting the long-term income growth in the U.S. economy. The minimum and maximum values—8,580 USD and 71,490 USD—highlight the significant expansion of income over nearly three decades.</w:t>
      </w:r>
    </w:p>
    <w:p w14:paraId="37860DBC" w14:textId="77777777" w:rsidR="00830401" w:rsidRPr="00BF141D" w:rsidRDefault="00000000" w:rsidP="00BF141D">
      <w:pPr>
        <w:spacing w:before="240" w:after="240" w:line="360" w:lineRule="auto"/>
        <w:jc w:val="both"/>
        <w:rPr>
          <w:rFonts w:eastAsia="Times New Roman"/>
          <w:sz w:val="24"/>
          <w:szCs w:val="24"/>
        </w:rPr>
      </w:pPr>
      <w:r w:rsidRPr="00BF141D">
        <w:rPr>
          <w:rFonts w:eastAsia="Times New Roman"/>
          <w:sz w:val="24"/>
          <w:szCs w:val="24"/>
        </w:rPr>
        <w:lastRenderedPageBreak/>
        <w:t>The age dependency ratio remained stable, averaging 50.47% with a narrow range, indicating a steady demographic structure throughout the sample. In contrast, inflation shows notable volatility, ranging from -0.36% (deflation) to 13.55%. This variability underscores the presence of both inflationary pressures and macroeconomic stabilization over time.</w:t>
      </w:r>
    </w:p>
    <w:p w14:paraId="2CC9A3F0" w14:textId="77777777" w:rsidR="00830401" w:rsidRPr="00BF141D" w:rsidRDefault="00000000" w:rsidP="00BF141D">
      <w:pPr>
        <w:spacing w:before="240" w:after="240" w:line="360" w:lineRule="auto"/>
        <w:jc w:val="both"/>
        <w:rPr>
          <w:rFonts w:eastAsia="Times New Roman"/>
          <w:sz w:val="24"/>
          <w:szCs w:val="24"/>
        </w:rPr>
      </w:pPr>
      <w:r w:rsidRPr="00BF141D">
        <w:rPr>
          <w:rFonts w:eastAsia="Times New Roman"/>
          <w:sz w:val="24"/>
          <w:szCs w:val="24"/>
        </w:rPr>
        <w:t>The real interest rate, a key determinant of saving incentives, ranged from -1.28% to 8.59%. The broad dispersion reflects shifts in monetary policy regimes, inflation expectations, and global financial conditions that affected the real return on savings.</w:t>
      </w:r>
    </w:p>
    <w:p w14:paraId="4EA30255" w14:textId="77777777" w:rsidR="00830401" w:rsidRPr="00BF141D" w:rsidRDefault="00000000" w:rsidP="00BF141D">
      <w:pPr>
        <w:spacing w:before="240" w:after="240" w:line="360" w:lineRule="auto"/>
        <w:jc w:val="both"/>
        <w:rPr>
          <w:rFonts w:eastAsia="Times New Roman"/>
          <w:sz w:val="24"/>
          <w:szCs w:val="24"/>
        </w:rPr>
      </w:pPr>
      <w:r w:rsidRPr="00BF141D">
        <w:rPr>
          <w:rFonts w:eastAsia="Times New Roman"/>
          <w:sz w:val="24"/>
          <w:szCs w:val="24"/>
        </w:rPr>
        <w:t>Overall, the dataset offers sufficient variability across key macroeconomic indicators to support robust econometric analysis of their impact on saving behavior in the U.S. context.</w:t>
      </w:r>
    </w:p>
    <w:p w14:paraId="5E9D500B" w14:textId="77777777" w:rsidR="00830401" w:rsidRPr="00BF141D" w:rsidRDefault="00000000" w:rsidP="00BF141D">
      <w:pPr>
        <w:spacing w:line="360" w:lineRule="auto"/>
        <w:jc w:val="center"/>
        <w:rPr>
          <w:rFonts w:eastAsia="Times New Roman"/>
          <w:b/>
          <w:sz w:val="24"/>
          <w:szCs w:val="24"/>
        </w:rPr>
      </w:pPr>
      <w:r w:rsidRPr="00BF141D">
        <w:rPr>
          <w:rFonts w:eastAsia="Times New Roman"/>
          <w:b/>
          <w:sz w:val="24"/>
          <w:szCs w:val="24"/>
        </w:rPr>
        <w:t>Table 4.2</w:t>
      </w:r>
    </w:p>
    <w:p w14:paraId="541495AE" w14:textId="77777777" w:rsidR="00830401" w:rsidRPr="00BF141D" w:rsidRDefault="00000000" w:rsidP="00BF141D">
      <w:pPr>
        <w:spacing w:line="360" w:lineRule="auto"/>
        <w:jc w:val="center"/>
        <w:rPr>
          <w:rFonts w:eastAsia="Times New Roman"/>
          <w:b/>
          <w:sz w:val="24"/>
          <w:szCs w:val="24"/>
        </w:rPr>
      </w:pPr>
      <w:r w:rsidRPr="00BF141D">
        <w:rPr>
          <w:rFonts w:eastAsia="Times New Roman"/>
          <w:noProof/>
          <w:sz w:val="24"/>
          <w:szCs w:val="24"/>
        </w:rPr>
        <w:drawing>
          <wp:inline distT="114300" distB="114300" distL="114300" distR="114300" wp14:anchorId="0DF7AE2F" wp14:editId="71E1F2F9">
            <wp:extent cx="4138613" cy="2168572"/>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138613" cy="2168572"/>
                    </a:xfrm>
                    <a:prstGeom prst="rect">
                      <a:avLst/>
                    </a:prstGeom>
                    <a:ln/>
                  </pic:spPr>
                </pic:pic>
              </a:graphicData>
            </a:graphic>
          </wp:inline>
        </w:drawing>
      </w:r>
      <w:r w:rsidRPr="00BF141D">
        <w:br w:type="page"/>
      </w:r>
    </w:p>
    <w:p w14:paraId="34BF0C54" w14:textId="77777777" w:rsidR="00830401" w:rsidRPr="00BF141D" w:rsidRDefault="00830401" w:rsidP="00BF141D">
      <w:pPr>
        <w:spacing w:line="360" w:lineRule="auto"/>
        <w:jc w:val="center"/>
        <w:rPr>
          <w:rFonts w:eastAsia="Times New Roman"/>
          <w:b/>
          <w:sz w:val="24"/>
          <w:szCs w:val="24"/>
        </w:rPr>
      </w:pPr>
    </w:p>
    <w:p w14:paraId="2048BD5F" w14:textId="6B0728AF" w:rsidR="00830401" w:rsidRPr="00BF141D" w:rsidRDefault="004557E2" w:rsidP="00BF141D">
      <w:pPr>
        <w:pStyle w:val="Heading1"/>
        <w:spacing w:line="360" w:lineRule="auto"/>
        <w:jc w:val="both"/>
        <w:rPr>
          <w:sz w:val="24"/>
          <w:szCs w:val="24"/>
        </w:rPr>
      </w:pPr>
      <w:bookmarkStart w:id="3" w:name="_h8y84xc0miyx" w:colFirst="0" w:colLast="0"/>
      <w:bookmarkEnd w:id="3"/>
      <w:r w:rsidRPr="00BF141D">
        <w:rPr>
          <w:rFonts w:eastAsia="Times New Roman"/>
          <w:b/>
          <w:sz w:val="24"/>
          <w:szCs w:val="24"/>
        </w:rPr>
        <w:t xml:space="preserve">4. </w:t>
      </w:r>
      <w:r w:rsidR="00000000" w:rsidRPr="00BF141D">
        <w:rPr>
          <w:rFonts w:eastAsia="Times New Roman"/>
          <w:b/>
          <w:sz w:val="24"/>
          <w:szCs w:val="24"/>
        </w:rPr>
        <w:t>ORDINARY LEAST SQUARES (OLS) REGRESSION</w:t>
      </w:r>
    </w:p>
    <w:p w14:paraId="2195AA99" w14:textId="77777777" w:rsidR="00830401" w:rsidRPr="00BF141D" w:rsidRDefault="00000000" w:rsidP="00BF141D">
      <w:pPr>
        <w:spacing w:line="360" w:lineRule="auto"/>
        <w:rPr>
          <w:rFonts w:eastAsia="Times New Roman"/>
          <w:b/>
          <w:sz w:val="24"/>
          <w:szCs w:val="24"/>
        </w:rPr>
      </w:pPr>
      <w:r w:rsidRPr="00BF141D">
        <w:rPr>
          <w:rFonts w:eastAsia="Times New Roman"/>
          <w:b/>
          <w:sz w:val="24"/>
          <w:szCs w:val="24"/>
        </w:rPr>
        <w:t>4.1. Assumption 1: Linearity</w:t>
      </w:r>
    </w:p>
    <w:p w14:paraId="05BE7532" w14:textId="77777777" w:rsidR="00830401" w:rsidRPr="00BF141D" w:rsidRDefault="00830401" w:rsidP="00BF141D">
      <w:pPr>
        <w:spacing w:line="360" w:lineRule="auto"/>
        <w:ind w:left="720"/>
        <w:rPr>
          <w:rFonts w:eastAsia="Times New Roman"/>
          <w:b/>
          <w:sz w:val="24"/>
          <w:szCs w:val="24"/>
        </w:rPr>
      </w:pPr>
    </w:p>
    <w:p w14:paraId="76A2A8D2" w14:textId="77777777" w:rsidR="00830401" w:rsidRPr="00BF141D" w:rsidRDefault="00000000" w:rsidP="00BF141D">
      <w:pPr>
        <w:spacing w:line="360" w:lineRule="auto"/>
        <w:rPr>
          <w:rFonts w:eastAsia="Times New Roman"/>
          <w:sz w:val="24"/>
          <w:szCs w:val="24"/>
        </w:rPr>
      </w:pPr>
      <w:r w:rsidRPr="00BF141D">
        <w:rPr>
          <w:rFonts w:eastAsia="Times New Roman"/>
          <w:noProof/>
          <w:sz w:val="24"/>
          <w:szCs w:val="24"/>
        </w:rPr>
        <w:drawing>
          <wp:inline distT="114300" distB="114300" distL="114300" distR="114300" wp14:anchorId="0433399D" wp14:editId="3C35F8F4">
            <wp:extent cx="5943600" cy="3048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304800"/>
                    </a:xfrm>
                    <a:prstGeom prst="rect">
                      <a:avLst/>
                    </a:prstGeom>
                    <a:ln/>
                  </pic:spPr>
                </pic:pic>
              </a:graphicData>
            </a:graphic>
          </wp:inline>
        </w:drawing>
      </w:r>
    </w:p>
    <w:p w14:paraId="59338031"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 xml:space="preserve">The first assumption is linearity in parameters, which means that the dependent variable and the explanatory variables should be linearly related in the coefficients (Wooldridge, 2017). We use Scatter Plots with Linear Regression Line as a tool to visualise the relationship between the dependent variable and the explanatory variables. </w:t>
      </w:r>
    </w:p>
    <w:p w14:paraId="27C9B40A"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 xml:space="preserve">The STATA output (Appendix 3) </w:t>
      </w:r>
      <w:r w:rsidRPr="00BF141D">
        <w:rPr>
          <w:rFonts w:eastAsia="Times New Roman"/>
          <w:color w:val="0A0A0A"/>
          <w:sz w:val="24"/>
          <w:szCs w:val="24"/>
        </w:rPr>
        <w:t xml:space="preserve">demonstrates that the correlation between </w:t>
      </w:r>
      <w:r w:rsidRPr="00BF141D">
        <w:rPr>
          <w:rFonts w:eastAsia="Times New Roman"/>
          <w:sz w:val="24"/>
          <w:szCs w:val="24"/>
        </w:rPr>
        <w:t>Savings_rate</w:t>
      </w:r>
      <w:r w:rsidRPr="00BF141D">
        <w:rPr>
          <w:rFonts w:eastAsia="Times New Roman"/>
          <w:color w:val="0A0A0A"/>
          <w:sz w:val="24"/>
          <w:szCs w:val="24"/>
        </w:rPr>
        <w:t xml:space="preserve"> and </w:t>
      </w:r>
      <w:r w:rsidRPr="00BF141D">
        <w:rPr>
          <w:rFonts w:eastAsia="Times New Roman"/>
          <w:sz w:val="24"/>
          <w:szCs w:val="24"/>
        </w:rPr>
        <w:t>Gni_per_capita</w:t>
      </w:r>
      <w:r w:rsidRPr="00BF141D">
        <w:rPr>
          <w:rFonts w:eastAsia="Times New Roman"/>
          <w:color w:val="0A0A0A"/>
          <w:sz w:val="24"/>
          <w:szCs w:val="24"/>
        </w:rPr>
        <w:t xml:space="preserve"> is negative, showing that two variables are indirectly related</w:t>
      </w:r>
      <w:r w:rsidRPr="00BF141D">
        <w:rPr>
          <w:rFonts w:eastAsia="Times New Roman"/>
          <w:sz w:val="24"/>
          <w:szCs w:val="24"/>
        </w:rPr>
        <w:t>, whereas Dependency_ratio</w:t>
      </w:r>
      <w:r w:rsidRPr="00BF141D">
        <w:rPr>
          <w:rFonts w:eastAsia="Times New Roman"/>
          <w:color w:val="0A0A0A"/>
          <w:sz w:val="24"/>
          <w:szCs w:val="24"/>
        </w:rPr>
        <w:t xml:space="preserve">, </w:t>
      </w:r>
      <w:r w:rsidRPr="00BF141D">
        <w:rPr>
          <w:rFonts w:eastAsia="Times New Roman"/>
          <w:sz w:val="24"/>
          <w:szCs w:val="24"/>
        </w:rPr>
        <w:t>Inflation, and Real_interest_rate</w:t>
      </w:r>
      <w:r w:rsidRPr="00BF141D">
        <w:rPr>
          <w:rFonts w:eastAsia="Times New Roman"/>
          <w:color w:val="0A0A0A"/>
          <w:sz w:val="24"/>
          <w:szCs w:val="24"/>
        </w:rPr>
        <w:t xml:space="preserve"> have rather stable positive slopes, indicating a weaker positive</w:t>
      </w:r>
      <w:r w:rsidRPr="00BF141D">
        <w:rPr>
          <w:rFonts w:eastAsia="Times New Roman"/>
          <w:sz w:val="24"/>
          <w:szCs w:val="24"/>
        </w:rPr>
        <w:t xml:space="preserve"> association. These scatter with fitted values validate the linearity assumption in the model, indicating that relationships between the explained variable and predictor variables are correct.</w:t>
      </w:r>
    </w:p>
    <w:p w14:paraId="000CAE1E" w14:textId="77777777" w:rsidR="00830401" w:rsidRPr="00BF141D" w:rsidRDefault="00830401" w:rsidP="00BF141D">
      <w:pPr>
        <w:spacing w:line="360" w:lineRule="auto"/>
        <w:jc w:val="both"/>
        <w:rPr>
          <w:rFonts w:eastAsia="Times New Roman"/>
          <w:sz w:val="24"/>
          <w:szCs w:val="24"/>
        </w:rPr>
      </w:pPr>
    </w:p>
    <w:p w14:paraId="01805725" w14:textId="77777777" w:rsidR="00830401" w:rsidRPr="00BF141D" w:rsidRDefault="00000000" w:rsidP="00BF141D">
      <w:pPr>
        <w:spacing w:line="360" w:lineRule="auto"/>
        <w:rPr>
          <w:rFonts w:eastAsia="Times New Roman"/>
          <w:b/>
          <w:sz w:val="24"/>
          <w:szCs w:val="24"/>
        </w:rPr>
      </w:pPr>
      <w:r w:rsidRPr="00BF141D">
        <w:rPr>
          <w:rFonts w:eastAsia="Times New Roman"/>
          <w:b/>
          <w:sz w:val="24"/>
          <w:szCs w:val="24"/>
        </w:rPr>
        <w:t>4.2. Assumption 2: No Perfect Collinearity</w:t>
      </w:r>
    </w:p>
    <w:p w14:paraId="339BDA4B" w14:textId="77777777" w:rsidR="00830401" w:rsidRPr="00BF141D" w:rsidRDefault="00830401" w:rsidP="00BF141D">
      <w:pPr>
        <w:spacing w:line="360" w:lineRule="auto"/>
        <w:ind w:left="720"/>
        <w:rPr>
          <w:rFonts w:eastAsia="Times New Roman"/>
          <w:b/>
          <w:sz w:val="24"/>
          <w:szCs w:val="24"/>
        </w:rPr>
      </w:pPr>
    </w:p>
    <w:p w14:paraId="7D124B0C"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Multicollinearity is a condition where independent variables are closely connected and may skew the reliability of the estimations of coefficients. The Variance Inflation Factor (VIF) is a statistical measure applied to identify such correlation. According to Wooldridge (2017):</w:t>
      </w:r>
    </w:p>
    <w:p w14:paraId="41D60BC9" w14:textId="77777777" w:rsidR="00830401" w:rsidRPr="00BF141D" w:rsidRDefault="00000000" w:rsidP="00BF141D">
      <w:pPr>
        <w:spacing w:line="360" w:lineRule="auto"/>
        <w:ind w:firstLine="540"/>
        <w:jc w:val="both"/>
        <w:rPr>
          <w:rFonts w:eastAsia="Times New Roman"/>
          <w:b/>
          <w:sz w:val="24"/>
          <w:szCs w:val="24"/>
        </w:rPr>
      </w:pPr>
      <w:r w:rsidRPr="00BF141D">
        <w:rPr>
          <w:rFonts w:eastAsia="Times New Roman"/>
          <w:b/>
          <w:noProof/>
          <w:sz w:val="24"/>
          <w:szCs w:val="24"/>
        </w:rPr>
        <w:drawing>
          <wp:inline distT="114300" distB="114300" distL="114300" distR="114300" wp14:anchorId="7D9C75F7" wp14:editId="76666FF3">
            <wp:extent cx="2705100" cy="95086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t="941" b="4880"/>
                    <a:stretch>
                      <a:fillRect/>
                    </a:stretch>
                  </pic:blipFill>
                  <pic:spPr>
                    <a:xfrm>
                      <a:off x="0" y="0"/>
                      <a:ext cx="2705100" cy="950863"/>
                    </a:xfrm>
                    <a:prstGeom prst="rect">
                      <a:avLst/>
                    </a:prstGeom>
                    <a:ln/>
                  </pic:spPr>
                </pic:pic>
              </a:graphicData>
            </a:graphic>
          </wp:inline>
        </w:drawing>
      </w:r>
    </w:p>
    <w:p w14:paraId="4B8F04BF"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Null hypothesis (H0):</w:t>
      </w:r>
      <w:r w:rsidRPr="00BF141D">
        <w:rPr>
          <w:rFonts w:eastAsia="Times New Roman"/>
          <w:sz w:val="24"/>
          <w:szCs w:val="24"/>
        </w:rPr>
        <w:t xml:space="preserve">  There is no perfect multicollinearity</w:t>
      </w:r>
    </w:p>
    <w:p w14:paraId="48B5EE59"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Alternative hypothesis (H1): </w:t>
      </w:r>
      <w:r w:rsidRPr="00BF141D">
        <w:rPr>
          <w:rFonts w:eastAsia="Times New Roman"/>
          <w:sz w:val="24"/>
          <w:szCs w:val="24"/>
        </w:rPr>
        <w:t>There is perfect multicollinearity</w:t>
      </w:r>
    </w:p>
    <w:p w14:paraId="0685B9CE" w14:textId="77777777" w:rsidR="00830401" w:rsidRPr="00BF141D" w:rsidRDefault="00830401" w:rsidP="00BF141D">
      <w:pPr>
        <w:spacing w:line="360" w:lineRule="auto"/>
        <w:ind w:left="1440"/>
        <w:jc w:val="both"/>
        <w:rPr>
          <w:rFonts w:eastAsia="Times New Roman"/>
          <w:sz w:val="24"/>
          <w:szCs w:val="24"/>
        </w:rPr>
      </w:pPr>
    </w:p>
    <w:p w14:paraId="5335D5C6"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lastRenderedPageBreak/>
        <w:t>Since all variables have VIF values less than 5 and the mean VIF is only 1.69, this demonstrates a low multicollinearity in the model (Appendix 4). According to Gujarati and Porter (2009), if perfect collinearity were present, at least one VIF value would become undefined (as R² equal to 1). Therefore, the model does not have perfect multicollinearity, which supports the reliability of the estimated coefficients.</w:t>
      </w:r>
    </w:p>
    <w:p w14:paraId="5356E0C6" w14:textId="77777777" w:rsidR="00830401" w:rsidRPr="00BF141D" w:rsidRDefault="00830401" w:rsidP="00BF141D">
      <w:pPr>
        <w:spacing w:line="360" w:lineRule="auto"/>
        <w:jc w:val="both"/>
        <w:rPr>
          <w:rFonts w:eastAsia="Times New Roman"/>
          <w:sz w:val="24"/>
          <w:szCs w:val="24"/>
        </w:rPr>
      </w:pPr>
    </w:p>
    <w:p w14:paraId="46F9EF96" w14:textId="77777777" w:rsidR="00830401" w:rsidRPr="00BF141D" w:rsidRDefault="00000000" w:rsidP="00BF141D">
      <w:pPr>
        <w:spacing w:line="360" w:lineRule="auto"/>
        <w:rPr>
          <w:rFonts w:eastAsia="Times New Roman"/>
          <w:b/>
          <w:sz w:val="24"/>
          <w:szCs w:val="24"/>
        </w:rPr>
      </w:pPr>
      <w:r w:rsidRPr="00BF141D">
        <w:rPr>
          <w:rFonts w:eastAsia="Times New Roman"/>
          <w:b/>
          <w:sz w:val="24"/>
          <w:szCs w:val="24"/>
        </w:rPr>
        <w:t>4.3. Assumption 3: Zero Conditional Mean</w:t>
      </w:r>
    </w:p>
    <w:p w14:paraId="7D69174B" w14:textId="77777777" w:rsidR="00830401" w:rsidRPr="00BF141D" w:rsidRDefault="00830401" w:rsidP="00BF141D">
      <w:pPr>
        <w:spacing w:line="360" w:lineRule="auto"/>
        <w:jc w:val="both"/>
        <w:rPr>
          <w:rFonts w:eastAsia="Times New Roman"/>
          <w:b/>
          <w:sz w:val="24"/>
          <w:szCs w:val="24"/>
        </w:rPr>
      </w:pPr>
    </w:p>
    <w:p w14:paraId="4234C142" w14:textId="7CE6E65A" w:rsidR="004557E2" w:rsidRPr="00BF141D" w:rsidRDefault="00000000" w:rsidP="00BF141D">
      <w:pPr>
        <w:spacing w:line="360" w:lineRule="auto"/>
        <w:rPr>
          <w:rFonts w:eastAsia="Times New Roman"/>
          <w:sz w:val="24"/>
          <w:szCs w:val="24"/>
        </w:rPr>
      </w:pPr>
      <w:r w:rsidRPr="00BF141D">
        <w:rPr>
          <w:rFonts w:eastAsia="Times New Roman"/>
          <w:sz w:val="24"/>
          <w:szCs w:val="24"/>
        </w:rPr>
        <w:t xml:space="preserve">The Ramsey RESET is used to determine whether there are any omitted variables or misspecifications, especially the non-linearities that are not captured by the fitted values of the dependent variable. </w:t>
      </w:r>
    </w:p>
    <w:p w14:paraId="41FCAB03"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Null hypothesis (H0):  </w:t>
      </w:r>
      <w:r w:rsidRPr="00BF141D">
        <w:rPr>
          <w:rFonts w:eastAsia="Times New Roman"/>
          <w:sz w:val="24"/>
          <w:szCs w:val="24"/>
        </w:rPr>
        <w:t>E(</w:t>
      </w:r>
      <m:oMath>
        <m:sSub>
          <m:sSubPr>
            <m:ctrlPr>
              <w:rPr>
                <w:rFonts w:ascii="Cambria Math" w:eastAsia="Times New Roman" w:hAnsi="Cambria Math"/>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t</m:t>
            </m:r>
          </m:sub>
        </m:sSub>
      </m:oMath>
      <w:r w:rsidRPr="00BF141D">
        <w:rPr>
          <w:rFonts w:ascii="Cambria Math" w:eastAsia="Gungsuh" w:hAnsi="Cambria Math" w:cs="Cambria Math"/>
          <w:sz w:val="24"/>
          <w:szCs w:val="24"/>
        </w:rPr>
        <w:t>∣</w:t>
      </w:r>
      <m:oMath>
        <m:sSub>
          <m:sSubPr>
            <m:ctrlPr>
              <w:rPr>
                <w:rFonts w:ascii="Cambria Math" w:eastAsia="Times New Roman" w:hAnsi="Cambria Math"/>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t</m:t>
            </m:r>
          </m:sub>
        </m:sSub>
      </m:oMath>
      <w:r w:rsidRPr="00BF141D">
        <w:rPr>
          <w:rFonts w:eastAsia="Times New Roman"/>
          <w:sz w:val="24"/>
          <w:szCs w:val="24"/>
        </w:rPr>
        <w:t>​) = 0 (Regressors are exogenous)</w:t>
      </w:r>
    </w:p>
    <w:p w14:paraId="15395CDF"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Alternative hypothesis (H1): </w:t>
      </w:r>
      <w:r w:rsidRPr="00BF141D">
        <w:rPr>
          <w:rFonts w:eastAsia="Times New Roman"/>
          <w:sz w:val="24"/>
          <w:szCs w:val="24"/>
        </w:rPr>
        <w:t>E(</w:t>
      </w:r>
      <m:oMath>
        <m:sSub>
          <m:sSubPr>
            <m:ctrlPr>
              <w:rPr>
                <w:rFonts w:ascii="Cambria Math" w:eastAsia="Times New Roman" w:hAnsi="Cambria Math"/>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t</m:t>
            </m:r>
          </m:sub>
        </m:sSub>
      </m:oMath>
      <w:r w:rsidRPr="00BF141D">
        <w:rPr>
          <w:rFonts w:ascii="Cambria Math" w:eastAsia="Gungsuh" w:hAnsi="Cambria Math" w:cs="Cambria Math"/>
          <w:sz w:val="24"/>
          <w:szCs w:val="24"/>
        </w:rPr>
        <w:t>∣</w:t>
      </w:r>
      <m:oMath>
        <m:sSub>
          <m:sSubPr>
            <m:ctrlPr>
              <w:rPr>
                <w:rFonts w:ascii="Cambria Math" w:eastAsia="Times New Roman" w:hAnsi="Cambria Math"/>
                <w:sz w:val="24"/>
                <w:szCs w:val="24"/>
              </w:rPr>
            </m:ctrlPr>
          </m:sSubPr>
          <m:e>
            <m:r>
              <w:rPr>
                <w:rFonts w:ascii="Cambria Math" w:eastAsia="Times New Roman" w:hAnsi="Cambria Math"/>
                <w:sz w:val="24"/>
                <w:szCs w:val="24"/>
              </w:rPr>
              <m:t>X</m:t>
            </m:r>
          </m:e>
          <m:sub>
            <m:r>
              <w:rPr>
                <w:rFonts w:ascii="Cambria Math" w:eastAsia="Times New Roman" w:hAnsi="Cambria Math"/>
                <w:sz w:val="24"/>
                <w:szCs w:val="24"/>
              </w:rPr>
              <m:t>t</m:t>
            </m:r>
          </m:sub>
        </m:sSub>
      </m:oMath>
      <w:r w:rsidRPr="00BF141D">
        <w:rPr>
          <w:rFonts w:eastAsia="Times New Roman"/>
          <w:sz w:val="24"/>
          <w:szCs w:val="24"/>
        </w:rPr>
        <w:t xml:space="preserve">​) </w:t>
      </w:r>
      <m:oMath>
        <m:r>
          <w:rPr>
            <w:rFonts w:ascii="Cambria Math" w:hAnsi="Cambria Math"/>
          </w:rPr>
          <m:t>≠</m:t>
        </m:r>
      </m:oMath>
      <w:r w:rsidRPr="00BF141D">
        <w:rPr>
          <w:rFonts w:eastAsia="Times New Roman"/>
          <w:sz w:val="24"/>
          <w:szCs w:val="24"/>
        </w:rPr>
        <w:t xml:space="preserve"> 0 (Regressors are endogenous)</w:t>
      </w:r>
    </w:p>
    <w:p w14:paraId="59E0DA08" w14:textId="77777777" w:rsidR="004557E2" w:rsidRPr="00BF141D" w:rsidRDefault="004557E2" w:rsidP="00BF141D">
      <w:pPr>
        <w:spacing w:line="360" w:lineRule="auto"/>
        <w:ind w:left="1440"/>
        <w:jc w:val="both"/>
        <w:rPr>
          <w:rFonts w:eastAsia="Times New Roman"/>
          <w:sz w:val="24"/>
          <w:szCs w:val="24"/>
        </w:rPr>
      </w:pPr>
    </w:p>
    <w:p w14:paraId="54AC9520" w14:textId="77777777" w:rsidR="00830401" w:rsidRPr="00BF141D" w:rsidRDefault="00000000" w:rsidP="00BF141D">
      <w:pPr>
        <w:spacing w:line="360" w:lineRule="auto"/>
        <w:rPr>
          <w:rFonts w:eastAsia="Times New Roman"/>
          <w:sz w:val="24"/>
          <w:szCs w:val="24"/>
        </w:rPr>
      </w:pPr>
      <w:r w:rsidRPr="00BF141D">
        <w:rPr>
          <w:rFonts w:eastAsia="Times New Roman"/>
          <w:sz w:val="24"/>
          <w:szCs w:val="24"/>
        </w:rPr>
        <w:t>The STATA result (Appendix 5) indicated an F-statistic of 1.43 and a p-value of 0.2479. Since the p-value is greater than the significance level of 5%, we can not reject the null hypothesis so there are no omitted variables in the model. Therefore, the OLS regression model is well specified and does not need the consideration of the non-linear terms or the higher powers of the fitted values.</w:t>
      </w:r>
    </w:p>
    <w:p w14:paraId="7BE1DCB7" w14:textId="77777777" w:rsidR="00830401" w:rsidRPr="00BF141D" w:rsidRDefault="00830401" w:rsidP="00BF141D">
      <w:pPr>
        <w:spacing w:line="360" w:lineRule="auto"/>
        <w:rPr>
          <w:rFonts w:eastAsia="Times New Roman"/>
          <w:sz w:val="24"/>
          <w:szCs w:val="24"/>
        </w:rPr>
      </w:pPr>
    </w:p>
    <w:p w14:paraId="22DD4E7F" w14:textId="77777777" w:rsidR="00830401" w:rsidRPr="00BF141D" w:rsidRDefault="00000000" w:rsidP="00BF141D">
      <w:pPr>
        <w:spacing w:line="360" w:lineRule="auto"/>
        <w:rPr>
          <w:rFonts w:eastAsia="Times New Roman"/>
          <w:b/>
          <w:sz w:val="24"/>
          <w:szCs w:val="24"/>
        </w:rPr>
      </w:pPr>
      <w:r w:rsidRPr="00BF141D">
        <w:rPr>
          <w:rFonts w:eastAsia="Times New Roman"/>
          <w:b/>
          <w:sz w:val="24"/>
          <w:szCs w:val="24"/>
        </w:rPr>
        <w:t>4.4. Assumption 4: Homoscedasticity</w:t>
      </w:r>
    </w:p>
    <w:p w14:paraId="1F1914E9" w14:textId="77777777" w:rsidR="00830401" w:rsidRPr="00BF141D" w:rsidRDefault="00830401" w:rsidP="00BF141D">
      <w:pPr>
        <w:spacing w:line="360" w:lineRule="auto"/>
        <w:ind w:left="720"/>
        <w:rPr>
          <w:rFonts w:eastAsia="Times New Roman"/>
          <w:b/>
          <w:sz w:val="24"/>
          <w:szCs w:val="24"/>
        </w:rPr>
      </w:pPr>
    </w:p>
    <w:p w14:paraId="20440005"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Null hypothesis (H0): </w:t>
      </w:r>
      <w:r w:rsidRPr="00BF141D">
        <w:rPr>
          <w:rFonts w:eastAsia="Times New Roman"/>
          <w:sz w:val="24"/>
          <w:szCs w:val="24"/>
        </w:rPr>
        <w:t xml:space="preserve">There is homoskedasticity </w:t>
      </w:r>
    </w:p>
    <w:p w14:paraId="6BC17D55"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Alternative hypothesis (H1): </w:t>
      </w:r>
      <w:r w:rsidRPr="00BF141D">
        <w:rPr>
          <w:rFonts w:eastAsia="Times New Roman"/>
          <w:sz w:val="24"/>
          <w:szCs w:val="24"/>
        </w:rPr>
        <w:t xml:space="preserve">There is heteroskedasticity </w:t>
      </w:r>
    </w:p>
    <w:p w14:paraId="78F20496" w14:textId="77777777" w:rsidR="00830401" w:rsidRPr="00BF141D" w:rsidRDefault="00830401" w:rsidP="00BF141D">
      <w:pPr>
        <w:spacing w:line="360" w:lineRule="auto"/>
        <w:ind w:left="1440"/>
        <w:jc w:val="both"/>
        <w:rPr>
          <w:rFonts w:eastAsia="Times New Roman"/>
          <w:sz w:val="24"/>
          <w:szCs w:val="24"/>
        </w:rPr>
      </w:pPr>
    </w:p>
    <w:p w14:paraId="77A6DF1B"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 xml:space="preserve">4.4.1. Scatter Plots </w:t>
      </w:r>
    </w:p>
    <w:p w14:paraId="57CA0F4F"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 xml:space="preserve">The heteroscedasticity has an impact on the regression model, so both visual inspection checks and formal statistical testing were used to verify the correctness of the results. A scatter plot of residuals against the fitted values was created to conduct the visual inspection (Appendix 6.1). The plot has the residuals randomly spread with no noticeable </w:t>
      </w:r>
      <w:r w:rsidRPr="00BF141D">
        <w:rPr>
          <w:rFonts w:eastAsia="Times New Roman"/>
          <w:sz w:val="24"/>
          <w:szCs w:val="24"/>
        </w:rPr>
        <w:lastRenderedPageBreak/>
        <w:t xml:space="preserve">trends, indicating that the variance of the residuals is identical at different levels of the fitted values. This shows that there is no heteroscedasticity. </w:t>
      </w:r>
    </w:p>
    <w:p w14:paraId="71C23217" w14:textId="77777777" w:rsidR="004557E2" w:rsidRPr="00BF141D" w:rsidRDefault="004557E2" w:rsidP="00BF141D">
      <w:pPr>
        <w:spacing w:line="360" w:lineRule="auto"/>
        <w:jc w:val="both"/>
        <w:rPr>
          <w:rFonts w:eastAsia="Times New Roman"/>
          <w:b/>
          <w:sz w:val="24"/>
          <w:szCs w:val="24"/>
        </w:rPr>
      </w:pPr>
    </w:p>
    <w:p w14:paraId="7DBA3751"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4.4.2. Breusch-Pagan Test</w:t>
      </w:r>
    </w:p>
    <w:p w14:paraId="6BE914A9"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The Breusch-Pagan test is a method used to indicate whether the variance of the residuals is constant across observations. This test is applied to estimate a null hypothesis that the residuals are homoskedastic (Wooldridge, 2017). The STATA result indicates a chi-square statistic value of 1.24 and a p-value of 0.2663 (Appendix 6.2), thus, the null hypothesis is accepted stating that there is no heteroskedasticity in the model.</w:t>
      </w:r>
    </w:p>
    <w:p w14:paraId="5C43301C" w14:textId="77777777" w:rsidR="004557E2" w:rsidRPr="00BF141D" w:rsidRDefault="004557E2" w:rsidP="00BF141D">
      <w:pPr>
        <w:spacing w:line="360" w:lineRule="auto"/>
        <w:jc w:val="both"/>
        <w:rPr>
          <w:rFonts w:eastAsia="Times New Roman"/>
          <w:sz w:val="24"/>
          <w:szCs w:val="24"/>
        </w:rPr>
      </w:pPr>
    </w:p>
    <w:p w14:paraId="67CA8982"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 xml:space="preserve">4.4.3. White’s Test </w:t>
      </w:r>
    </w:p>
    <w:p w14:paraId="600A32A4"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 xml:space="preserve">In addition, we applied White’s test, which is stronger against functional form misspecification. The null hypothesis of homoskedasticity is also tested by White's test. The outcome of a p-value of 0.0360 and a chi-square value of 31.45 (Appendix 6.3). The null hypothesis is rejected at the 5% level of significance since the p-value is less than 0.05, suggesting that the model may contain heteroskedasticity.  </w:t>
      </w:r>
    </w:p>
    <w:p w14:paraId="564DCD32" w14:textId="77777777" w:rsidR="004557E2" w:rsidRPr="00BF141D" w:rsidRDefault="004557E2" w:rsidP="00BF141D">
      <w:pPr>
        <w:spacing w:line="360" w:lineRule="auto"/>
        <w:jc w:val="both"/>
        <w:rPr>
          <w:rFonts w:eastAsia="Times New Roman"/>
          <w:sz w:val="24"/>
          <w:szCs w:val="24"/>
        </w:rPr>
      </w:pPr>
    </w:p>
    <w:p w14:paraId="0245A56F"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 xml:space="preserve">4.4.4. Robust test </w:t>
      </w:r>
    </w:p>
    <w:p w14:paraId="44E83D5C" w14:textId="77777777" w:rsidR="00830401" w:rsidRPr="00BF141D" w:rsidRDefault="00000000" w:rsidP="00BF141D">
      <w:pPr>
        <w:spacing w:line="360" w:lineRule="auto"/>
        <w:jc w:val="both"/>
        <w:rPr>
          <w:rFonts w:eastAsia="Times New Roman"/>
          <w:sz w:val="24"/>
          <w:szCs w:val="24"/>
        </w:rPr>
      </w:pPr>
      <w:r w:rsidRPr="00BF141D">
        <w:rPr>
          <w:rFonts w:eastAsia="Times New Roman"/>
          <w:sz w:val="24"/>
          <w:szCs w:val="24"/>
        </w:rPr>
        <w:t xml:space="preserve">The heteroskedasticity can lead to inefficient OLS estimates and invalid measurement of the standard errors, in which the inference is inaccurate. The solution to this problem is working with the robust test, which can be used to provide valid inference in cases where the error variance is not constant (Wooldridge, 2016). From Appendix 6.4, the test obtains a p-value of 0.000 and an F-statistic of 56.36, which shows that the model is mutually significant at a 1% level. The robust estimation improves the strength of the outcome of the F-test, supporting the overall explanatory ability of the model. </w:t>
      </w:r>
    </w:p>
    <w:p w14:paraId="1F82276C" w14:textId="77777777" w:rsidR="004557E2" w:rsidRPr="00BF141D" w:rsidRDefault="004557E2" w:rsidP="00BF141D">
      <w:pPr>
        <w:spacing w:line="360" w:lineRule="auto"/>
        <w:rPr>
          <w:rFonts w:eastAsia="Times New Roman"/>
          <w:sz w:val="24"/>
          <w:szCs w:val="24"/>
        </w:rPr>
      </w:pPr>
    </w:p>
    <w:p w14:paraId="79C4759B" w14:textId="01C5E22A" w:rsidR="00830401" w:rsidRPr="00BF141D" w:rsidRDefault="00000000" w:rsidP="00BF141D">
      <w:pPr>
        <w:spacing w:line="360" w:lineRule="auto"/>
        <w:rPr>
          <w:rFonts w:eastAsia="Times New Roman"/>
          <w:b/>
          <w:sz w:val="24"/>
          <w:szCs w:val="24"/>
        </w:rPr>
      </w:pPr>
      <w:r w:rsidRPr="00BF141D">
        <w:rPr>
          <w:rFonts w:eastAsia="Times New Roman"/>
          <w:b/>
          <w:sz w:val="24"/>
          <w:szCs w:val="24"/>
        </w:rPr>
        <w:t xml:space="preserve">4.5. Assumption 5: No Autocorrelation </w:t>
      </w:r>
    </w:p>
    <w:p w14:paraId="00E0C45B" w14:textId="77777777" w:rsidR="00830401" w:rsidRPr="00BF141D" w:rsidRDefault="00830401" w:rsidP="00BF141D">
      <w:pPr>
        <w:spacing w:line="360" w:lineRule="auto"/>
        <w:jc w:val="both"/>
        <w:rPr>
          <w:rFonts w:eastAsia="Times New Roman"/>
          <w:b/>
          <w:sz w:val="24"/>
          <w:szCs w:val="24"/>
        </w:rPr>
      </w:pPr>
    </w:p>
    <w:p w14:paraId="49D99313" w14:textId="018E52F8" w:rsidR="00830401" w:rsidRPr="00BF141D" w:rsidRDefault="00000000" w:rsidP="00BF141D">
      <w:pPr>
        <w:spacing w:line="360" w:lineRule="auto"/>
        <w:jc w:val="both"/>
        <w:rPr>
          <w:rFonts w:eastAsia="Times New Roman"/>
          <w:sz w:val="24"/>
          <w:szCs w:val="24"/>
        </w:rPr>
      </w:pPr>
      <w:r w:rsidRPr="00BF141D">
        <w:rPr>
          <w:rFonts w:eastAsia="Times New Roman"/>
          <w:b/>
          <w:sz w:val="24"/>
          <w:szCs w:val="24"/>
        </w:rPr>
        <w:t xml:space="preserve">         </w:t>
      </w:r>
      <w:r w:rsidR="004557E2" w:rsidRPr="00BF141D">
        <w:rPr>
          <w:rFonts w:eastAsia="Times New Roman"/>
          <w:b/>
          <w:sz w:val="24"/>
          <w:szCs w:val="24"/>
        </w:rPr>
        <w:tab/>
      </w:r>
      <w:r w:rsidRPr="00BF141D">
        <w:rPr>
          <w:rFonts w:eastAsia="Times New Roman"/>
          <w:b/>
          <w:sz w:val="24"/>
          <w:szCs w:val="24"/>
        </w:rPr>
        <w:t>Null hypothesis (H0):</w:t>
      </w:r>
      <w:r w:rsidRPr="00BF141D">
        <w:rPr>
          <w:rFonts w:eastAsia="Times New Roman"/>
          <w:sz w:val="24"/>
          <w:szCs w:val="24"/>
        </w:rPr>
        <w:t xml:space="preserve">    Cov (</w:t>
      </w:r>
      <m:oMath>
        <m:sSub>
          <m:sSubPr>
            <m:ctrlPr>
              <w:rPr>
                <w:rFonts w:ascii="Cambria Math" w:eastAsia="Times New Roman" w:hAnsi="Cambria Math"/>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t</m:t>
            </m:r>
          </m:sub>
        </m:sSub>
      </m:oMath>
      <w:r w:rsidRPr="00BF141D">
        <w:rPr>
          <w:rFonts w:eastAsia="Times New Roman"/>
          <w:sz w:val="24"/>
          <w:szCs w:val="24"/>
        </w:rPr>
        <w:t>​,</w:t>
      </w:r>
      <m:oMath>
        <m:sSub>
          <m:sSubPr>
            <m:ctrlPr>
              <w:rPr>
                <w:rFonts w:ascii="Cambria Math" w:eastAsia="Times New Roman" w:hAnsi="Cambria Math"/>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t-1</m:t>
            </m:r>
          </m:sub>
        </m:sSub>
      </m:oMath>
      <w:r w:rsidRPr="00BF141D">
        <w:rPr>
          <w:rFonts w:eastAsia="Times New Roman"/>
          <w:sz w:val="24"/>
          <w:szCs w:val="24"/>
        </w:rPr>
        <w:t>​) = 0 (There is no first-order autocorrelation)</w:t>
      </w:r>
    </w:p>
    <w:p w14:paraId="3AEC2CB3" w14:textId="77777777" w:rsidR="00830401" w:rsidRPr="00BF141D" w:rsidRDefault="00000000" w:rsidP="00BF141D">
      <w:pPr>
        <w:spacing w:line="360" w:lineRule="auto"/>
        <w:jc w:val="both"/>
        <w:rPr>
          <w:rFonts w:eastAsia="Times New Roman"/>
          <w:b/>
          <w:sz w:val="24"/>
          <w:szCs w:val="24"/>
        </w:rPr>
      </w:pPr>
      <w:r w:rsidRPr="00BF141D">
        <w:rPr>
          <w:rFonts w:eastAsia="Times New Roman"/>
          <w:sz w:val="24"/>
          <w:szCs w:val="24"/>
        </w:rPr>
        <w:t xml:space="preserve">            </w:t>
      </w:r>
      <w:r w:rsidRPr="00BF141D">
        <w:rPr>
          <w:rFonts w:eastAsia="Times New Roman"/>
          <w:b/>
          <w:sz w:val="24"/>
          <w:szCs w:val="24"/>
        </w:rPr>
        <w:t xml:space="preserve">Alternative hypothesis (H1): </w:t>
      </w:r>
      <w:r w:rsidRPr="00BF141D">
        <w:rPr>
          <w:rFonts w:eastAsia="Times New Roman"/>
          <w:sz w:val="24"/>
          <w:szCs w:val="24"/>
        </w:rPr>
        <w:t>Cov (</w:t>
      </w:r>
      <m:oMath>
        <m:sSub>
          <m:sSubPr>
            <m:ctrlPr>
              <w:rPr>
                <w:rFonts w:ascii="Cambria Math" w:eastAsia="Times New Roman" w:hAnsi="Cambria Math"/>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t</m:t>
            </m:r>
          </m:sub>
        </m:sSub>
      </m:oMath>
      <w:r w:rsidRPr="00BF141D">
        <w:rPr>
          <w:rFonts w:eastAsia="Times New Roman"/>
          <w:sz w:val="24"/>
          <w:szCs w:val="24"/>
        </w:rPr>
        <w:t>​,</w:t>
      </w:r>
      <m:oMath>
        <m:sSub>
          <m:sSubPr>
            <m:ctrlPr>
              <w:rPr>
                <w:rFonts w:ascii="Cambria Math" w:eastAsia="Times New Roman" w:hAnsi="Cambria Math"/>
                <w:sz w:val="24"/>
                <w:szCs w:val="24"/>
              </w:rPr>
            </m:ctrlPr>
          </m:sSubPr>
          <m:e>
            <m:r>
              <w:rPr>
                <w:rFonts w:ascii="Cambria Math" w:eastAsia="Times New Roman" w:hAnsi="Cambria Math"/>
                <w:sz w:val="24"/>
                <w:szCs w:val="24"/>
              </w:rPr>
              <m:t>u</m:t>
            </m:r>
          </m:e>
          <m:sub>
            <m:r>
              <w:rPr>
                <w:rFonts w:ascii="Cambria Math" w:eastAsia="Times New Roman" w:hAnsi="Cambria Math"/>
                <w:sz w:val="24"/>
                <w:szCs w:val="24"/>
              </w:rPr>
              <m:t>t-1</m:t>
            </m:r>
          </m:sub>
        </m:sSub>
      </m:oMath>
      <w:r w:rsidRPr="00BF141D">
        <w:rPr>
          <w:rFonts w:eastAsia="Times New Roman"/>
          <w:sz w:val="24"/>
          <w:szCs w:val="24"/>
        </w:rPr>
        <w:t xml:space="preserve">​) </w:t>
      </w:r>
      <m:oMath>
        <m:r>
          <w:rPr>
            <w:rFonts w:ascii="Cambria Math" w:hAnsi="Cambria Math"/>
          </w:rPr>
          <m:t>≠</m:t>
        </m:r>
      </m:oMath>
      <w:r w:rsidRPr="00BF141D">
        <w:rPr>
          <w:rFonts w:eastAsia="Times New Roman"/>
          <w:sz w:val="24"/>
          <w:szCs w:val="24"/>
        </w:rPr>
        <w:t xml:space="preserve"> 0 (There is first-order autocorrelation)</w:t>
      </w:r>
    </w:p>
    <w:p w14:paraId="117BAA71" w14:textId="77777777" w:rsidR="00830401" w:rsidRPr="00BF141D" w:rsidRDefault="00830401" w:rsidP="00BF141D">
      <w:pPr>
        <w:spacing w:line="360" w:lineRule="auto"/>
        <w:rPr>
          <w:rFonts w:eastAsia="Times New Roman"/>
          <w:b/>
          <w:sz w:val="24"/>
          <w:szCs w:val="24"/>
        </w:rPr>
      </w:pPr>
    </w:p>
    <w:p w14:paraId="50467B9B" w14:textId="77777777" w:rsidR="00830401" w:rsidRPr="00BF141D" w:rsidRDefault="00000000" w:rsidP="00BF141D">
      <w:pPr>
        <w:spacing w:line="360" w:lineRule="auto"/>
        <w:rPr>
          <w:rFonts w:eastAsia="Times New Roman"/>
          <w:sz w:val="24"/>
          <w:szCs w:val="24"/>
        </w:rPr>
      </w:pPr>
      <w:r w:rsidRPr="00BF141D">
        <w:rPr>
          <w:rFonts w:eastAsia="Times New Roman"/>
          <w:sz w:val="24"/>
          <w:szCs w:val="24"/>
        </w:rPr>
        <w:t>To evaluate if this model violates assumption 5, we divide this into 2 steps. Firstly, we conducted a “Lag-order selection test” to choose the appropriate optimal lag length since autocorrelation is strongly sensitive to the model specification, especially for the time series data used in this case. From the STATA’s result, we selected lag 2 as an optimal lag length because this lag generates the lowest value of 3 criteria (AIC,BIC, and HQIC) (Appendix 7.1). After identifying the appropriate lag length, two lagged values of the dependent variable were included in the model and the Durbin-Watson test is run to detect autocorrelation. A d-statistic of 1.933314, which is extremely close to 2, was gathered from the test, indicating that the regression model's residuals do not show substantial autocorrelation, and we accept the null hypothesis.(Appendix 7.1)</w:t>
      </w:r>
    </w:p>
    <w:p w14:paraId="52389927" w14:textId="77777777" w:rsidR="004557E2" w:rsidRPr="00BF141D" w:rsidRDefault="004557E2" w:rsidP="00BF141D">
      <w:pPr>
        <w:spacing w:line="360" w:lineRule="auto"/>
        <w:rPr>
          <w:rFonts w:eastAsia="Times New Roman"/>
          <w:sz w:val="24"/>
          <w:szCs w:val="24"/>
        </w:rPr>
      </w:pPr>
    </w:p>
    <w:p w14:paraId="3B00B8E2" w14:textId="43CE08E9" w:rsidR="00830401" w:rsidRPr="00BF141D" w:rsidRDefault="00000000" w:rsidP="00BF141D">
      <w:pPr>
        <w:spacing w:line="360" w:lineRule="auto"/>
        <w:rPr>
          <w:rFonts w:eastAsia="Times New Roman"/>
          <w:b/>
          <w:sz w:val="24"/>
          <w:szCs w:val="24"/>
        </w:rPr>
      </w:pPr>
      <w:r w:rsidRPr="00BF141D">
        <w:rPr>
          <w:rFonts w:eastAsia="Times New Roman"/>
          <w:b/>
          <w:sz w:val="24"/>
          <w:szCs w:val="24"/>
        </w:rPr>
        <w:t>4.6. Assumption 6: Normality</w:t>
      </w:r>
    </w:p>
    <w:p w14:paraId="25C18C32"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Null hypothesis (H0): </w:t>
      </w:r>
      <w:r w:rsidRPr="00BF141D">
        <w:rPr>
          <w:rFonts w:eastAsia="Times New Roman"/>
          <w:sz w:val="24"/>
          <w:szCs w:val="24"/>
        </w:rPr>
        <w:t>The error terms are normally distributed</w:t>
      </w:r>
    </w:p>
    <w:p w14:paraId="0D2C28B1" w14:textId="77777777" w:rsidR="00830401" w:rsidRPr="00BF141D" w:rsidRDefault="00000000" w:rsidP="00BF141D">
      <w:pPr>
        <w:spacing w:line="360" w:lineRule="auto"/>
        <w:ind w:left="1440"/>
        <w:jc w:val="both"/>
        <w:rPr>
          <w:rFonts w:eastAsia="Times New Roman"/>
          <w:sz w:val="24"/>
          <w:szCs w:val="24"/>
        </w:rPr>
      </w:pPr>
      <w:r w:rsidRPr="00BF141D">
        <w:rPr>
          <w:rFonts w:eastAsia="Times New Roman"/>
          <w:b/>
          <w:sz w:val="24"/>
          <w:szCs w:val="24"/>
        </w:rPr>
        <w:t xml:space="preserve">Alternative hypothesis (H1): </w:t>
      </w:r>
      <w:r w:rsidRPr="00BF141D">
        <w:rPr>
          <w:rFonts w:eastAsia="Times New Roman"/>
          <w:sz w:val="24"/>
          <w:szCs w:val="24"/>
        </w:rPr>
        <w:t xml:space="preserve">The error terms are not normally distributed </w:t>
      </w:r>
    </w:p>
    <w:p w14:paraId="7221CF90" w14:textId="77777777" w:rsidR="00830401" w:rsidRPr="00BF141D" w:rsidRDefault="00000000" w:rsidP="00BF141D">
      <w:pPr>
        <w:spacing w:line="360" w:lineRule="auto"/>
        <w:jc w:val="both"/>
        <w:rPr>
          <w:rFonts w:eastAsia="Times New Roman"/>
          <w:b/>
          <w:sz w:val="24"/>
          <w:szCs w:val="24"/>
        </w:rPr>
      </w:pPr>
      <w:r w:rsidRPr="00BF141D">
        <w:rPr>
          <w:rFonts w:eastAsia="Times New Roman"/>
          <w:sz w:val="24"/>
          <w:szCs w:val="24"/>
        </w:rPr>
        <w:t>The Skewness-Kurtosis test will determine whether residuals are normally distributed, which measures two parameters: skewness - the presence of asymmetry, and kurtosis - measure of the thickness of the tails. The p-value of skewness = 0.7198 and kurtosis = 0.6453 based on the normality test (Appendix 8), which constitutes 47 observations. This is similarly the case with the joint test statistic of a p-value of 0.8434. The null hypothesis of normality cannot be rejected because all of the p-values are higher than the significance level of 5%. This result reflects on the model inference reliability since there are no significant deviations of residuals to be considered non-normal. It is also essential to check the size of the normality because most of the tests that use regression require normally distributed errors to make a valid statistical inference (Wooldridge, 2016; Gujarati &amp; Porter, 2009). Since the normality test results indicate that the residuals of the model do not show any significant deviations, it follows that the regression model assumption seems to be satisfactory.</w:t>
      </w:r>
    </w:p>
    <w:p w14:paraId="1624A92C" w14:textId="77777777" w:rsidR="00830401" w:rsidRPr="00BF141D" w:rsidRDefault="00830401" w:rsidP="00BF141D">
      <w:pPr>
        <w:spacing w:line="360" w:lineRule="auto"/>
        <w:jc w:val="both"/>
        <w:rPr>
          <w:rFonts w:eastAsia="Times New Roman"/>
          <w:b/>
          <w:sz w:val="24"/>
          <w:szCs w:val="24"/>
        </w:rPr>
      </w:pPr>
    </w:p>
    <w:p w14:paraId="177AB928" w14:textId="59F29678" w:rsidR="00830401" w:rsidRPr="00BF141D" w:rsidRDefault="004557E2" w:rsidP="00BF141D">
      <w:pPr>
        <w:spacing w:line="360" w:lineRule="auto"/>
        <w:jc w:val="both"/>
        <w:rPr>
          <w:sz w:val="24"/>
          <w:szCs w:val="24"/>
        </w:rPr>
      </w:pPr>
      <w:r w:rsidRPr="00BF141D">
        <w:rPr>
          <w:rFonts w:eastAsia="Times New Roman"/>
          <w:b/>
          <w:sz w:val="24"/>
          <w:szCs w:val="24"/>
        </w:rPr>
        <w:t xml:space="preserve">5. </w:t>
      </w:r>
      <w:r w:rsidR="00000000" w:rsidRPr="00BF141D">
        <w:rPr>
          <w:rFonts w:eastAsia="Times New Roman"/>
          <w:b/>
          <w:sz w:val="24"/>
          <w:szCs w:val="24"/>
        </w:rPr>
        <w:t>Stationary Test:</w:t>
      </w:r>
    </w:p>
    <w:p w14:paraId="25D7E54F" w14:textId="46CB8628" w:rsidR="004557E2" w:rsidRPr="00BF141D" w:rsidRDefault="004557E2" w:rsidP="00BF141D">
      <w:pPr>
        <w:spacing w:line="360" w:lineRule="auto"/>
        <w:rPr>
          <w:b/>
          <w:bCs/>
        </w:rPr>
      </w:pPr>
      <w:r w:rsidRPr="00BF141D">
        <w:rPr>
          <w:b/>
          <w:bCs/>
        </w:rPr>
        <w:t>5.1 Stationary Test</w:t>
      </w:r>
      <w:r w:rsidR="000658FF">
        <w:rPr>
          <w:b/>
          <w:bCs/>
        </w:rPr>
        <w:t xml:space="preserve"> (</w:t>
      </w:r>
      <w:r w:rsidR="00EF1B9E">
        <w:rPr>
          <w:b/>
          <w:bCs/>
        </w:rPr>
        <w:t>Appendix 9)</w:t>
      </w:r>
    </w:p>
    <w:p w14:paraId="6684D014" w14:textId="77777777" w:rsidR="004557E2" w:rsidRPr="00BF141D" w:rsidRDefault="004557E2" w:rsidP="00BF141D">
      <w:pPr>
        <w:spacing w:line="360" w:lineRule="auto"/>
      </w:pPr>
      <w:r w:rsidRPr="00BF141D">
        <w:lastRenderedPageBreak/>
        <w:t>To examine the time-series properties of its variables, ADF tests of all the variables at level were run, with two lag and a deterministic trend. The findings show that all variables, the Saving_rate, GNI_per_capita, Dependency_ratio, Inflation and Real_interest_rate are not stationary in levels 0. In particular, all the ADF tests statistics are greater than the 5% critical values and the MacKinnon approximate p-values are above 0.05. As an example, the test statistic in the case of Saving_rate is -2.505 against 5 percent critical value which is -3.524 (p = 0.3252). In the same way, Dependency ratio and GNI_per_capita are 0.4073 and 0.9837 respectively.</w:t>
      </w:r>
    </w:p>
    <w:p w14:paraId="102F7AF1" w14:textId="77777777" w:rsidR="004557E2" w:rsidRPr="00BF141D" w:rsidRDefault="004557E2" w:rsidP="00BF141D">
      <w:pPr>
        <w:spacing w:line="360" w:lineRule="auto"/>
      </w:pPr>
      <w:r w:rsidRPr="00BF141D">
        <w:t>The results validate the existence of a unit root in all the variables which means the variables are integrated of order 1 or I(1). This gives reason to follow it up with the Johansen cointegration test and estimation of a Vector Error Correction Model (VECM) which are suitable in operations when all of the series are non-stationary at the level, but might be cointegrated.</w:t>
      </w:r>
    </w:p>
    <w:p w14:paraId="39E041C5" w14:textId="77777777" w:rsidR="004557E2" w:rsidRPr="00BF141D" w:rsidRDefault="004557E2" w:rsidP="00BF141D">
      <w:pPr>
        <w:spacing w:line="360" w:lineRule="auto"/>
      </w:pPr>
    </w:p>
    <w:p w14:paraId="088C23B4" w14:textId="34C73B78" w:rsidR="004557E2" w:rsidRPr="00BF141D" w:rsidRDefault="004557E2" w:rsidP="00BF141D">
      <w:pPr>
        <w:spacing w:line="360" w:lineRule="auto"/>
        <w:rPr>
          <w:b/>
          <w:bCs/>
        </w:rPr>
      </w:pPr>
      <w:r w:rsidRPr="00BF141D">
        <w:rPr>
          <w:b/>
          <w:bCs/>
        </w:rPr>
        <w:t xml:space="preserve">5.2 </w:t>
      </w:r>
      <w:r w:rsidR="00EF1B9E" w:rsidRPr="00EF1B9E">
        <w:rPr>
          <w:b/>
          <w:bCs/>
        </w:rPr>
        <w:t>The Johansen test</w:t>
      </w:r>
      <w:r w:rsidR="00EF1B9E">
        <w:rPr>
          <w:b/>
          <w:bCs/>
        </w:rPr>
        <w:t xml:space="preserve"> (Appendix 10)</w:t>
      </w:r>
    </w:p>
    <w:p w14:paraId="0342740E" w14:textId="77777777" w:rsidR="004557E2" w:rsidRPr="00BF141D" w:rsidRDefault="004557E2" w:rsidP="00BF141D">
      <w:pPr>
        <w:spacing w:line="360" w:lineRule="auto"/>
      </w:pPr>
      <w:r w:rsidRPr="00BF141D">
        <w:t>The Johansen cointegration test was done to study the presence of long-run equilibrium conditions in the relationships between the variables. The null hypothesis was the absence of cointegring relationships (rank = 0) which was rejected in the light of the trace statistics and the critical values which were at 5%, in favor of rank &lt;= 2. Nevertheless, the null hypothesis at rank = 2 was not rejected (Trace = 23.8946 &lt; 29.68) and this shows two statistically significant cointegrating vectors. This observation supports the usage of a Vector Error Correction Model (VECM) consisting of rank = 2 to characterize both the dynamics in the short-run and equilibrium links in the long-run.</w:t>
      </w:r>
    </w:p>
    <w:p w14:paraId="35F12434" w14:textId="77777777" w:rsidR="004557E2" w:rsidRPr="00BF141D" w:rsidRDefault="004557E2" w:rsidP="00BF141D">
      <w:pPr>
        <w:spacing w:line="360" w:lineRule="auto"/>
      </w:pPr>
    </w:p>
    <w:p w14:paraId="276AF163" w14:textId="5B587A46" w:rsidR="004557E2" w:rsidRPr="00BF141D" w:rsidRDefault="004557E2" w:rsidP="00BF141D">
      <w:pPr>
        <w:spacing w:line="360" w:lineRule="auto"/>
        <w:rPr>
          <w:b/>
          <w:bCs/>
        </w:rPr>
      </w:pPr>
      <w:r w:rsidRPr="00BF141D">
        <w:rPr>
          <w:b/>
          <w:bCs/>
        </w:rPr>
        <w:t xml:space="preserve">5.3 </w:t>
      </w:r>
      <w:r w:rsidRPr="00BF141D">
        <w:rPr>
          <w:b/>
          <w:bCs/>
        </w:rPr>
        <w:t>VECM model</w:t>
      </w:r>
      <w:r w:rsidR="00EF1B9E">
        <w:rPr>
          <w:b/>
          <w:bCs/>
        </w:rPr>
        <w:t xml:space="preserve"> (Appendix 11)</w:t>
      </w:r>
    </w:p>
    <w:p w14:paraId="4CBB3490" w14:textId="5834BE9F" w:rsidR="004557E2" w:rsidRPr="00BF141D" w:rsidRDefault="004557E2" w:rsidP="00BF141D">
      <w:pPr>
        <w:spacing w:line="360" w:lineRule="auto"/>
        <w:rPr>
          <w:b/>
          <w:bCs/>
        </w:rPr>
      </w:pPr>
      <w:r w:rsidRPr="00BF141D">
        <w:rPr>
          <w:b/>
          <w:bCs/>
        </w:rPr>
        <w:t>5.3.</w:t>
      </w:r>
      <w:r w:rsidRPr="00BF141D">
        <w:rPr>
          <w:b/>
          <w:bCs/>
        </w:rPr>
        <w:t xml:space="preserve">1 </w:t>
      </w:r>
      <w:r w:rsidRPr="00BF141D">
        <w:rPr>
          <w:b/>
          <w:bCs/>
        </w:rPr>
        <w:t>Long-run</w:t>
      </w:r>
      <w:r w:rsidRPr="00BF141D">
        <w:rPr>
          <w:b/>
          <w:bCs/>
        </w:rPr>
        <w:t xml:space="preserve"> effect</w:t>
      </w:r>
    </w:p>
    <w:p w14:paraId="44DC61BD" w14:textId="77777777" w:rsidR="004557E2" w:rsidRPr="00BF141D" w:rsidRDefault="004557E2" w:rsidP="00BF141D">
      <w:pPr>
        <w:spacing w:line="360" w:lineRule="auto"/>
      </w:pPr>
      <w:r w:rsidRPr="00BF141D">
        <w:t xml:space="preserve">The cointegration findings reveal that the Dependency_ratio and Real_interest_rate have significant negative effects on the national saving rate in long run and they are all statistically significant. In particular, the Saving_rate decreases by about 1.1013 units as the Dependency_ratio increases by one unit, and Saving_rate decreases by about 0.6785 units when the Real_interest_rate is increased by one percentage point. These results are as expected theoretically: higher dependency burden has a tendency of lowering saving capacity because people need to consume more, and higher real interest rate may deter saving when there is the risk of being related to economic insecurity or stricter lending terms. Conversely, Inflation presents a negative coefficient, which was not statistically significant, and GNIpercapita </w:t>
      </w:r>
      <w:r w:rsidRPr="00BF141D">
        <w:lastRenderedPageBreak/>
        <w:t>does not even appear in the cointegrating equation of Savingrate, which lets one conclude about the absence of a long-run relationship.</w:t>
      </w:r>
    </w:p>
    <w:p w14:paraId="72401386" w14:textId="77777777" w:rsidR="004557E2" w:rsidRPr="00BF141D" w:rsidRDefault="004557E2" w:rsidP="00BF141D">
      <w:pPr>
        <w:spacing w:line="360" w:lineRule="auto"/>
      </w:pPr>
    </w:p>
    <w:p w14:paraId="559E58F0" w14:textId="4B466946" w:rsidR="004557E2" w:rsidRPr="00BF141D" w:rsidRDefault="004557E2" w:rsidP="00BF141D">
      <w:pPr>
        <w:spacing w:line="360" w:lineRule="auto"/>
        <w:rPr>
          <w:b/>
          <w:bCs/>
        </w:rPr>
      </w:pPr>
      <w:r w:rsidRPr="00BF141D">
        <w:rPr>
          <w:b/>
          <w:bCs/>
        </w:rPr>
        <w:t>5.3.</w:t>
      </w:r>
      <w:r w:rsidRPr="00BF141D">
        <w:rPr>
          <w:b/>
          <w:bCs/>
        </w:rPr>
        <w:t>2. Short run effect</w:t>
      </w:r>
    </w:p>
    <w:p w14:paraId="36C6E1C1" w14:textId="77777777" w:rsidR="004557E2" w:rsidRPr="00BF141D" w:rsidRDefault="004557E2" w:rsidP="00BF141D">
      <w:pPr>
        <w:spacing w:line="360" w:lineRule="auto"/>
      </w:pPr>
      <w:r w:rsidRPr="00BF141D">
        <w:t>In the short run, no effects of any of the lagged explanatory variables GNI per capita, Dependency ratio, Inflation, and Real interest rate have any scintilla of significance on the first difference of Saving rate. This implies that variation of these variables do not have any instant effect on the change in the saving rate. Nevertheless, the estimated error correction term of the second cointegrating equation (_ce2) is significant and negative and, thus, indicates that the removal of disequilibrium of all of the cointegrating -relations is partially reflected in Saving_rate. The adjustment mechanism here denotes that in spite of the fact that individual short run effects are small, there is a long run response that occurs in Saving_rate to again reach long run equilibrium. This supports the significance of the cointegrated system and underlines the role of Saving_rate as an adaptive variable in the macroeconomic system in general.</w:t>
      </w:r>
    </w:p>
    <w:p w14:paraId="5A1DE189" w14:textId="77777777" w:rsidR="00830401" w:rsidRPr="00BF141D" w:rsidRDefault="00830401" w:rsidP="00BF141D">
      <w:pPr>
        <w:spacing w:line="360" w:lineRule="auto"/>
        <w:ind w:left="720"/>
        <w:jc w:val="both"/>
        <w:rPr>
          <w:rFonts w:eastAsia="Times New Roman"/>
          <w:b/>
          <w:sz w:val="24"/>
          <w:szCs w:val="24"/>
        </w:rPr>
      </w:pPr>
    </w:p>
    <w:p w14:paraId="20E335B1" w14:textId="34CE10EE" w:rsidR="00830401" w:rsidRPr="00BF141D" w:rsidRDefault="002B0E9D" w:rsidP="00BF141D">
      <w:pPr>
        <w:spacing w:line="360" w:lineRule="auto"/>
        <w:jc w:val="both"/>
        <w:rPr>
          <w:rFonts w:eastAsia="Times New Roman"/>
          <w:b/>
          <w:sz w:val="24"/>
          <w:szCs w:val="24"/>
        </w:rPr>
      </w:pPr>
      <w:r w:rsidRPr="00BF141D">
        <w:rPr>
          <w:rFonts w:eastAsia="Times New Roman"/>
          <w:b/>
          <w:sz w:val="24"/>
          <w:szCs w:val="24"/>
        </w:rPr>
        <w:t>6. Conclusion and Policy implication</w:t>
      </w:r>
    </w:p>
    <w:p w14:paraId="330B2C43" w14:textId="41C31199" w:rsidR="002B0E9D" w:rsidRPr="00BF141D" w:rsidRDefault="002B0E9D" w:rsidP="00BF141D">
      <w:pPr>
        <w:spacing w:line="360" w:lineRule="auto"/>
        <w:jc w:val="both"/>
        <w:rPr>
          <w:rFonts w:eastAsia="Times New Roman"/>
          <w:b/>
          <w:sz w:val="24"/>
          <w:szCs w:val="24"/>
        </w:rPr>
      </w:pPr>
      <w:r w:rsidRPr="00BF141D">
        <w:rPr>
          <w:rFonts w:eastAsia="Times New Roman"/>
          <w:b/>
          <w:sz w:val="24"/>
          <w:szCs w:val="24"/>
        </w:rPr>
        <w:t>6.1. Conclusion</w:t>
      </w:r>
    </w:p>
    <w:p w14:paraId="5DBC9517" w14:textId="77777777" w:rsidR="002B0E9D" w:rsidRPr="00BF141D" w:rsidRDefault="002B0E9D" w:rsidP="00BF141D">
      <w:pPr>
        <w:spacing w:line="360" w:lineRule="auto"/>
        <w:jc w:val="both"/>
        <w:rPr>
          <w:rFonts w:eastAsia="Times New Roman"/>
          <w:bCs/>
          <w:sz w:val="24"/>
          <w:szCs w:val="24"/>
        </w:rPr>
      </w:pPr>
      <w:r w:rsidRPr="00BF141D">
        <w:rPr>
          <w:rFonts w:eastAsia="Times New Roman"/>
          <w:bCs/>
          <w:sz w:val="24"/>
          <w:szCs w:val="24"/>
        </w:rPr>
        <w:t>The report is an empirical study that investigated factors that explain gross domestic saving rate in the U.S. during the period of 1975 to 2021. The integration of macroeconomic and age dependency ratio, real interest rates, inflation, and per capita income as the determinants of saving behavior validate the implications that the saving behavior is affected by both structural and policy based factors.</w:t>
      </w:r>
    </w:p>
    <w:p w14:paraId="26B06E65" w14:textId="77777777" w:rsidR="002B0E9D" w:rsidRPr="00BF141D" w:rsidRDefault="002B0E9D" w:rsidP="00BF141D">
      <w:pPr>
        <w:spacing w:line="360" w:lineRule="auto"/>
        <w:jc w:val="both"/>
        <w:rPr>
          <w:rFonts w:eastAsia="Times New Roman"/>
          <w:bCs/>
          <w:sz w:val="24"/>
          <w:szCs w:val="24"/>
        </w:rPr>
      </w:pPr>
    </w:p>
    <w:p w14:paraId="48B70ED4" w14:textId="5987E6C4" w:rsidR="002B0E9D" w:rsidRPr="00BF141D" w:rsidRDefault="002B0E9D" w:rsidP="00BF141D">
      <w:pPr>
        <w:spacing w:line="360" w:lineRule="auto"/>
        <w:jc w:val="both"/>
        <w:rPr>
          <w:rFonts w:eastAsia="Times New Roman"/>
          <w:bCs/>
          <w:sz w:val="24"/>
          <w:szCs w:val="24"/>
        </w:rPr>
      </w:pPr>
      <w:r w:rsidRPr="00BF141D">
        <w:rPr>
          <w:rFonts w:eastAsia="Times New Roman"/>
          <w:bCs/>
          <w:sz w:val="24"/>
          <w:szCs w:val="24"/>
        </w:rPr>
        <w:t xml:space="preserve">The OLS regression and the stationarity tests as well as Johansen cointegration from the stationarity tests indicate a suitable use of a Vector Error Correction Model (VECM). The long run results show that the rate of dependency on aged population and real interest rates have significant negative impacts on the rate of national saving. The revenue per capita and inflation do not have long-term statistically significant impact to their surprise as well. There is no evidence of explosions in savings due to the short run effects of the explanatory variables; however, there is a significant error correction term suggesting that there is indeed some force of disequilibrium adjustments. This evidence demonstrates </w:t>
      </w:r>
      <w:r w:rsidRPr="00BF141D">
        <w:rPr>
          <w:rFonts w:eastAsia="Times New Roman"/>
          <w:bCs/>
          <w:sz w:val="24"/>
          <w:szCs w:val="24"/>
        </w:rPr>
        <w:lastRenderedPageBreak/>
        <w:t>the importance of long-term structural condition instead of short-term shocks in the national saving behavior.</w:t>
      </w:r>
    </w:p>
    <w:p w14:paraId="17FD8A14" w14:textId="77777777" w:rsidR="002B0E9D" w:rsidRPr="00BF141D" w:rsidRDefault="002B0E9D" w:rsidP="00BF141D">
      <w:pPr>
        <w:spacing w:line="360" w:lineRule="auto"/>
        <w:jc w:val="both"/>
        <w:rPr>
          <w:rFonts w:eastAsia="Times New Roman"/>
          <w:bCs/>
          <w:sz w:val="24"/>
          <w:szCs w:val="24"/>
        </w:rPr>
      </w:pPr>
    </w:p>
    <w:p w14:paraId="0453751F" w14:textId="7B94BBAD" w:rsidR="002B0E9D" w:rsidRPr="00BF141D" w:rsidRDefault="002B0E9D" w:rsidP="00BF141D">
      <w:pPr>
        <w:spacing w:line="360" w:lineRule="auto"/>
        <w:jc w:val="both"/>
        <w:rPr>
          <w:rFonts w:eastAsia="Times New Roman"/>
          <w:b/>
          <w:sz w:val="24"/>
          <w:szCs w:val="24"/>
        </w:rPr>
      </w:pPr>
      <w:r w:rsidRPr="00BF141D">
        <w:rPr>
          <w:rFonts w:eastAsia="Times New Roman"/>
          <w:b/>
          <w:sz w:val="24"/>
          <w:szCs w:val="24"/>
        </w:rPr>
        <w:t>6.2. Policy Implication</w:t>
      </w:r>
    </w:p>
    <w:p w14:paraId="1A5330CF" w14:textId="78814751" w:rsidR="002B0E9D" w:rsidRPr="00BF141D" w:rsidRDefault="002B0E9D" w:rsidP="00BF141D">
      <w:pPr>
        <w:spacing w:line="360" w:lineRule="auto"/>
        <w:jc w:val="both"/>
        <w:rPr>
          <w:rFonts w:eastAsia="Times New Roman"/>
          <w:sz w:val="24"/>
          <w:szCs w:val="24"/>
        </w:rPr>
      </w:pPr>
      <w:r w:rsidRPr="00BF141D">
        <w:rPr>
          <w:rFonts w:eastAsia="Times New Roman"/>
          <w:sz w:val="24"/>
          <w:szCs w:val="24"/>
        </w:rPr>
        <w:t>The results indicate that demographic set up is one of the main factors that affect country savings. The policies should be introduced to cope with the demands of aging by reforming pension system and providing incentives to take part in the workforce. Implication of the negative impact of real interest rates sheds more light on the need to maintain financial stability and people confidence in monetary policy. Although the growth in income might not necessarily increase savings, the goal of financial security and discouraging income fluctuations can be used to foster the long-term effects of saving behavior.</w:t>
      </w:r>
    </w:p>
    <w:p w14:paraId="367B6734" w14:textId="77777777" w:rsidR="002B0E9D" w:rsidRPr="00BF141D" w:rsidRDefault="002B0E9D" w:rsidP="00BF141D">
      <w:pPr>
        <w:spacing w:line="360" w:lineRule="auto"/>
        <w:jc w:val="both"/>
        <w:rPr>
          <w:rFonts w:eastAsia="Times New Roman"/>
          <w:b/>
          <w:bCs/>
          <w:sz w:val="24"/>
          <w:szCs w:val="24"/>
        </w:rPr>
      </w:pPr>
    </w:p>
    <w:p w14:paraId="38F89842" w14:textId="28C96A13" w:rsidR="002B0E9D" w:rsidRPr="00BF141D" w:rsidRDefault="002B0E9D" w:rsidP="00BF141D">
      <w:pPr>
        <w:spacing w:line="360" w:lineRule="auto"/>
        <w:jc w:val="both"/>
        <w:rPr>
          <w:rFonts w:eastAsia="Times New Roman"/>
          <w:b/>
          <w:bCs/>
          <w:sz w:val="24"/>
          <w:szCs w:val="24"/>
        </w:rPr>
      </w:pPr>
      <w:r w:rsidRPr="00BF141D">
        <w:rPr>
          <w:rFonts w:eastAsia="Times New Roman"/>
          <w:b/>
          <w:bCs/>
          <w:sz w:val="24"/>
          <w:szCs w:val="24"/>
        </w:rPr>
        <w:t>7. Limitation and Recommendations</w:t>
      </w:r>
    </w:p>
    <w:p w14:paraId="2A88DA08" w14:textId="77777777" w:rsidR="00BF141D" w:rsidRPr="00BF141D" w:rsidRDefault="00BF141D" w:rsidP="00BF141D">
      <w:pPr>
        <w:spacing w:line="360" w:lineRule="auto"/>
        <w:jc w:val="both"/>
        <w:rPr>
          <w:rFonts w:eastAsia="Times New Roman"/>
          <w:sz w:val="24"/>
          <w:szCs w:val="24"/>
        </w:rPr>
      </w:pPr>
      <w:r w:rsidRPr="00BF141D">
        <w:rPr>
          <w:rFonts w:eastAsia="Times New Roman"/>
          <w:sz w:val="24"/>
          <w:szCs w:val="24"/>
        </w:rPr>
        <w:t>Although the present study is of significance, a few limitations have to be noted. On the one hand, the dataset provides a long history between 1975 and 2021 including some significant macroeconomic shocks into the picture like the 2008 global financial crisis or the COVID-19 pandemic. Nevertheless, the structural breaks or the regime shifts induced by these shocks are not strictly considered within the current model that can influence the stability of the relationships estimated. Second, the research is limited to macro-level data in one nation and is thus restricted regarding the external validity of the results. Third, it is assumed that only linear relationships exist, which can be too simplistic in explaining complicated dynamics in the behavior of saving. In addition, money distribution, household debt, and financial market access which may be significant factors are unfortunately not available in the data.</w:t>
      </w:r>
    </w:p>
    <w:p w14:paraId="5F212AF6" w14:textId="77777777" w:rsidR="00BF141D" w:rsidRPr="00BF141D" w:rsidRDefault="00BF141D" w:rsidP="00BF141D">
      <w:pPr>
        <w:spacing w:line="360" w:lineRule="auto"/>
        <w:jc w:val="both"/>
        <w:rPr>
          <w:rFonts w:eastAsia="Times New Roman"/>
          <w:sz w:val="24"/>
          <w:szCs w:val="24"/>
        </w:rPr>
      </w:pPr>
    </w:p>
    <w:p w14:paraId="3002E3B0" w14:textId="167A1934" w:rsidR="00BF141D" w:rsidRPr="00BF141D" w:rsidRDefault="00BF141D" w:rsidP="00BF141D">
      <w:pPr>
        <w:spacing w:line="360" w:lineRule="auto"/>
        <w:jc w:val="both"/>
        <w:rPr>
          <w:rFonts w:eastAsia="Times New Roman"/>
          <w:sz w:val="24"/>
          <w:szCs w:val="24"/>
        </w:rPr>
      </w:pPr>
      <w:r w:rsidRPr="00BF141D">
        <w:rPr>
          <w:rFonts w:eastAsia="Times New Roman"/>
          <w:sz w:val="24"/>
          <w:szCs w:val="24"/>
        </w:rPr>
        <w:t xml:space="preserve">Potential directions of future research would be to apply structural break tests or dummy variables to control well-established economic crises. More refined dynamics potentially can be characterized by nonlinear models, including threshold regressions or time-varying parameter models. The comparative examination based on various economies or </w:t>
      </w:r>
      <w:r w:rsidRPr="00BF141D">
        <w:rPr>
          <w:rFonts w:eastAsia="Times New Roman"/>
          <w:sz w:val="24"/>
          <w:szCs w:val="24"/>
        </w:rPr>
        <w:lastRenderedPageBreak/>
        <w:t>the panel data method would also enhance the study and provide more practical conclusions.</w:t>
      </w:r>
    </w:p>
    <w:p w14:paraId="478F832B" w14:textId="77777777" w:rsidR="00830401" w:rsidRPr="00BF141D" w:rsidRDefault="00000000" w:rsidP="00BF141D">
      <w:pPr>
        <w:pStyle w:val="Heading1"/>
        <w:spacing w:line="360" w:lineRule="auto"/>
        <w:jc w:val="both"/>
        <w:rPr>
          <w:rFonts w:eastAsia="Times New Roman"/>
          <w:b/>
          <w:sz w:val="24"/>
          <w:szCs w:val="24"/>
        </w:rPr>
      </w:pPr>
      <w:bookmarkStart w:id="4" w:name="_izhiujfsryyg" w:colFirst="0" w:colLast="0"/>
      <w:bookmarkEnd w:id="4"/>
      <w:r w:rsidRPr="00BF141D">
        <w:rPr>
          <w:rFonts w:eastAsia="Times New Roman"/>
          <w:b/>
          <w:sz w:val="24"/>
          <w:szCs w:val="24"/>
        </w:rPr>
        <w:t>REFERENCES</w:t>
      </w:r>
      <w:r w:rsidRPr="00BF141D">
        <w:rPr>
          <w:rFonts w:eastAsia="Times New Roman"/>
          <w:sz w:val="24"/>
          <w:szCs w:val="24"/>
        </w:rPr>
        <w:t xml:space="preserve">: </w:t>
      </w:r>
    </w:p>
    <w:p w14:paraId="67A7E77A" w14:textId="4A780F00"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BOVENBERG, A. L., &amp; EVANS , O. (1990). </w:t>
      </w:r>
      <w:r w:rsidRPr="00BF141D">
        <w:rPr>
          <w:rFonts w:eastAsia="Times New Roman"/>
          <w:i/>
          <w:sz w:val="24"/>
          <w:szCs w:val="24"/>
        </w:rPr>
        <w:t xml:space="preserve">National and Personal Saving : Measurement and Analysis of Recent Trends </w:t>
      </w:r>
      <w:r w:rsidRPr="00BF141D">
        <w:rPr>
          <w:rFonts w:eastAsia="Times New Roman"/>
          <w:sz w:val="24"/>
          <w:szCs w:val="24"/>
        </w:rPr>
        <w:t xml:space="preserve">. International Monetary Fund. </w:t>
      </w:r>
      <w:hyperlink r:id="rId12" w:history="1">
        <w:r w:rsidR="002B0E9D" w:rsidRPr="00BF141D">
          <w:rPr>
            <w:rStyle w:val="Hyperlink"/>
            <w:rFonts w:eastAsia="Times New Roman"/>
            <w:sz w:val="24"/>
            <w:szCs w:val="24"/>
          </w:rPr>
          <w:t>https://www.elibrary.imf.org/display/book/9781557752314/ch002.xml</w:t>
        </w:r>
      </w:hyperlink>
    </w:p>
    <w:p w14:paraId="4ED1077D" w14:textId="77777777" w:rsidR="002B0E9D" w:rsidRPr="00BF141D" w:rsidRDefault="002B0E9D" w:rsidP="00BF141D">
      <w:pPr>
        <w:spacing w:line="360" w:lineRule="auto"/>
        <w:ind w:left="720"/>
        <w:rPr>
          <w:rFonts w:eastAsia="Times New Roman"/>
          <w:sz w:val="24"/>
          <w:szCs w:val="24"/>
        </w:rPr>
      </w:pPr>
    </w:p>
    <w:p w14:paraId="2F6831E0" w14:textId="5C25F4AE"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Brueckner, M., Kikuchi, T., &amp; Vachadze, G. (2021). Transitional dynamics of the saving rate and economic growth. </w:t>
      </w:r>
      <w:r w:rsidRPr="00BF141D">
        <w:rPr>
          <w:rFonts w:eastAsia="Times New Roman"/>
          <w:i/>
          <w:sz w:val="24"/>
          <w:szCs w:val="24"/>
        </w:rPr>
        <w:t>Macroeconomic Dynamics</w:t>
      </w:r>
      <w:r w:rsidRPr="00BF141D">
        <w:rPr>
          <w:rFonts w:eastAsia="Times New Roman"/>
          <w:sz w:val="24"/>
          <w:szCs w:val="24"/>
        </w:rPr>
        <w:t xml:space="preserve">, 1–24. </w:t>
      </w:r>
      <w:hyperlink r:id="rId13" w:history="1">
        <w:r w:rsidR="002B0E9D" w:rsidRPr="00BF141D">
          <w:rPr>
            <w:rStyle w:val="Hyperlink"/>
            <w:rFonts w:eastAsia="Times New Roman"/>
            <w:sz w:val="24"/>
            <w:szCs w:val="24"/>
          </w:rPr>
          <w:t>https://doi.org/10.1017/s1365100521000493</w:t>
        </w:r>
      </w:hyperlink>
    </w:p>
    <w:p w14:paraId="22E06BBA" w14:textId="77777777" w:rsidR="002B0E9D" w:rsidRPr="00BF141D" w:rsidRDefault="002B0E9D" w:rsidP="00BF141D">
      <w:pPr>
        <w:spacing w:line="360" w:lineRule="auto"/>
        <w:ind w:left="720"/>
        <w:rPr>
          <w:rFonts w:eastAsia="Times New Roman"/>
          <w:sz w:val="24"/>
          <w:szCs w:val="24"/>
        </w:rPr>
      </w:pPr>
    </w:p>
    <w:p w14:paraId="5FAA3101" w14:textId="77777777" w:rsidR="002B0E9D"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Davidson, R., &amp; MacKinnon, J. G. (1983). Inflation and the savings rate. </w:t>
      </w:r>
      <w:r w:rsidRPr="00BF141D">
        <w:rPr>
          <w:rFonts w:eastAsia="Times New Roman"/>
          <w:i/>
          <w:sz w:val="24"/>
          <w:szCs w:val="24"/>
        </w:rPr>
        <w:t>Applied Economics</w:t>
      </w:r>
      <w:r w:rsidRPr="00BF141D">
        <w:rPr>
          <w:rFonts w:eastAsia="Times New Roman"/>
          <w:sz w:val="24"/>
          <w:szCs w:val="24"/>
        </w:rPr>
        <w:t xml:space="preserve">, </w:t>
      </w:r>
      <w:r w:rsidRPr="00BF141D">
        <w:rPr>
          <w:rFonts w:eastAsia="Times New Roman"/>
          <w:i/>
          <w:sz w:val="24"/>
          <w:szCs w:val="24"/>
        </w:rPr>
        <w:t>15</w:t>
      </w:r>
      <w:r w:rsidRPr="00BF141D">
        <w:rPr>
          <w:rFonts w:eastAsia="Times New Roman"/>
          <w:sz w:val="24"/>
          <w:szCs w:val="24"/>
        </w:rPr>
        <w:t xml:space="preserve">(6), 731–743. </w:t>
      </w:r>
      <w:hyperlink r:id="rId14">
        <w:r w:rsidRPr="00BF141D">
          <w:rPr>
            <w:rFonts w:eastAsia="Times New Roman"/>
            <w:color w:val="1155CC"/>
            <w:sz w:val="24"/>
            <w:szCs w:val="24"/>
            <w:u w:val="single"/>
          </w:rPr>
          <w:t>https://doi.org/10.1080/00036848300000062</w:t>
        </w:r>
      </w:hyperlink>
    </w:p>
    <w:p w14:paraId="32B1667D" w14:textId="77777777" w:rsidR="002B0E9D" w:rsidRPr="00BF141D" w:rsidRDefault="002B0E9D" w:rsidP="00BF141D">
      <w:pPr>
        <w:spacing w:line="360" w:lineRule="auto"/>
        <w:ind w:left="720"/>
        <w:rPr>
          <w:rFonts w:eastAsia="Times New Roman"/>
          <w:sz w:val="24"/>
          <w:szCs w:val="24"/>
        </w:rPr>
      </w:pPr>
    </w:p>
    <w:p w14:paraId="119BD57E" w14:textId="1F26E87B"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Friedman, M. (1957). </w:t>
      </w:r>
      <w:r w:rsidRPr="00BF141D">
        <w:rPr>
          <w:rFonts w:eastAsia="Times New Roman"/>
          <w:i/>
          <w:sz w:val="24"/>
          <w:szCs w:val="24"/>
        </w:rPr>
        <w:t>A theory of the consumption function</w:t>
      </w:r>
      <w:r w:rsidRPr="00BF141D">
        <w:rPr>
          <w:rFonts w:eastAsia="Times New Roman"/>
          <w:sz w:val="24"/>
          <w:szCs w:val="24"/>
        </w:rPr>
        <w:t>. Princeton University Press. Retrieved from</w:t>
      </w:r>
      <w:hyperlink r:id="rId15">
        <w:r w:rsidRPr="00BF141D">
          <w:rPr>
            <w:rFonts w:eastAsia="Times New Roman"/>
            <w:sz w:val="24"/>
            <w:szCs w:val="24"/>
          </w:rPr>
          <w:t xml:space="preserve"> </w:t>
        </w:r>
      </w:hyperlink>
      <w:hyperlink r:id="rId16">
        <w:r w:rsidRPr="00BF141D">
          <w:rPr>
            <w:rFonts w:eastAsia="Times New Roman"/>
            <w:color w:val="1155CC"/>
            <w:sz w:val="24"/>
            <w:szCs w:val="24"/>
            <w:u w:val="single"/>
          </w:rPr>
          <w:t>https://econpapers.repec.org/RePEc:nbr:nberbk:frie57-1</w:t>
        </w:r>
      </w:hyperlink>
    </w:p>
    <w:p w14:paraId="2D792D0E" w14:textId="77777777" w:rsidR="002B0E9D" w:rsidRPr="00BF141D" w:rsidRDefault="002B0E9D" w:rsidP="00BF141D">
      <w:pPr>
        <w:spacing w:line="360" w:lineRule="auto"/>
        <w:jc w:val="both"/>
        <w:rPr>
          <w:rFonts w:eastAsia="Times New Roman"/>
          <w:sz w:val="24"/>
          <w:szCs w:val="24"/>
        </w:rPr>
      </w:pPr>
    </w:p>
    <w:p w14:paraId="225A08C2" w14:textId="77777777" w:rsidR="00830401" w:rsidRPr="00BF141D" w:rsidRDefault="00830401" w:rsidP="00BF141D">
      <w:pPr>
        <w:spacing w:line="360" w:lineRule="auto"/>
        <w:jc w:val="both"/>
        <w:rPr>
          <w:rFonts w:eastAsia="Times New Roman"/>
          <w:sz w:val="24"/>
          <w:szCs w:val="24"/>
        </w:rPr>
      </w:pPr>
    </w:p>
    <w:p w14:paraId="730EC6FA" w14:textId="4EF2EA97"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Globalen LLC. (2022). </w:t>
      </w:r>
      <w:r w:rsidRPr="00BF141D">
        <w:rPr>
          <w:rFonts w:eastAsia="Times New Roman"/>
          <w:i/>
          <w:sz w:val="24"/>
          <w:szCs w:val="24"/>
        </w:rPr>
        <w:t>USA Savings, percent of GDP - data, chart | TheGlobalEconomy.com</w:t>
      </w:r>
      <w:r w:rsidRPr="00BF141D">
        <w:rPr>
          <w:rFonts w:eastAsia="Times New Roman"/>
          <w:sz w:val="24"/>
          <w:szCs w:val="24"/>
        </w:rPr>
        <w:t xml:space="preserve">. TheGlobalEconomy.com. </w:t>
      </w:r>
      <w:hyperlink r:id="rId17" w:history="1">
        <w:r w:rsidR="002B0E9D" w:rsidRPr="00BF141D">
          <w:rPr>
            <w:rStyle w:val="Hyperlink"/>
            <w:rFonts w:eastAsia="Times New Roman"/>
            <w:sz w:val="24"/>
            <w:szCs w:val="24"/>
          </w:rPr>
          <w:t>https://www.theglobaleconomy.com/USA/savings/</w:t>
        </w:r>
      </w:hyperlink>
    </w:p>
    <w:p w14:paraId="63C541D4" w14:textId="77777777" w:rsidR="002B0E9D" w:rsidRPr="00BF141D" w:rsidRDefault="002B0E9D" w:rsidP="00BF141D">
      <w:pPr>
        <w:spacing w:line="360" w:lineRule="auto"/>
        <w:ind w:left="720"/>
        <w:rPr>
          <w:rFonts w:eastAsia="Times New Roman"/>
          <w:sz w:val="24"/>
          <w:szCs w:val="24"/>
        </w:rPr>
      </w:pPr>
    </w:p>
    <w:p w14:paraId="18F4501F" w14:textId="21D80D7D" w:rsidR="00830401" w:rsidRPr="00BF141D" w:rsidRDefault="00000000" w:rsidP="00BF141D">
      <w:pPr>
        <w:spacing w:line="360" w:lineRule="auto"/>
        <w:ind w:left="720"/>
        <w:rPr>
          <w:rFonts w:eastAsia="Times New Roman"/>
          <w:sz w:val="24"/>
          <w:szCs w:val="24"/>
        </w:rPr>
      </w:pPr>
      <w:r w:rsidRPr="00BF141D">
        <w:rPr>
          <w:rFonts w:eastAsia="Times New Roman"/>
          <w:i/>
          <w:sz w:val="24"/>
          <w:szCs w:val="24"/>
        </w:rPr>
        <w:t>Glossary | DataBank</w:t>
      </w:r>
      <w:r w:rsidRPr="00BF141D">
        <w:rPr>
          <w:rFonts w:eastAsia="Times New Roman"/>
          <w:sz w:val="24"/>
          <w:szCs w:val="24"/>
        </w:rPr>
        <w:t xml:space="preserve">. (2015). Worldbank.org. </w:t>
      </w:r>
      <w:hyperlink r:id="rId18" w:history="1">
        <w:r w:rsidR="002B0E9D" w:rsidRPr="00BF141D">
          <w:rPr>
            <w:rStyle w:val="Hyperlink"/>
            <w:rFonts w:eastAsia="Times New Roman"/>
            <w:sz w:val="24"/>
            <w:szCs w:val="24"/>
          </w:rPr>
          <w:t>https://databank.worldbank.org/metadataglossary/world-development-indicators/series/NY.GDS.TOTL.ZS?utm</w:t>
        </w:r>
      </w:hyperlink>
    </w:p>
    <w:p w14:paraId="2762CAA7" w14:textId="77777777" w:rsidR="002B0E9D" w:rsidRPr="00BF141D" w:rsidRDefault="002B0E9D" w:rsidP="00BF141D">
      <w:pPr>
        <w:spacing w:line="360" w:lineRule="auto"/>
        <w:ind w:left="720"/>
        <w:rPr>
          <w:rFonts w:eastAsia="Times New Roman"/>
          <w:sz w:val="24"/>
          <w:szCs w:val="24"/>
        </w:rPr>
      </w:pPr>
    </w:p>
    <w:p w14:paraId="6FB26CEE" w14:textId="77777777" w:rsidR="00830401" w:rsidRPr="00BF141D" w:rsidRDefault="00000000" w:rsidP="00BF141D">
      <w:pPr>
        <w:spacing w:line="360" w:lineRule="auto"/>
        <w:ind w:left="720"/>
        <w:rPr>
          <w:rFonts w:eastAsia="Times New Roman"/>
          <w:sz w:val="24"/>
          <w:szCs w:val="24"/>
        </w:rPr>
      </w:pPr>
      <w:r w:rsidRPr="00BF141D">
        <w:rPr>
          <w:rFonts w:eastAsia="Times New Roman"/>
          <w:i/>
          <w:sz w:val="24"/>
          <w:szCs w:val="24"/>
        </w:rPr>
        <w:t>Gross national income (GNI) per capita</w:t>
      </w:r>
      <w:r w:rsidRPr="00BF141D">
        <w:rPr>
          <w:rFonts w:eastAsia="Times New Roman"/>
          <w:sz w:val="24"/>
          <w:szCs w:val="24"/>
        </w:rPr>
        <w:t>. (2021). Our World in Data. https://ourworldindata.org/grapher/gross-national-income-per-capita-worldbank</w:t>
      </w:r>
    </w:p>
    <w:p w14:paraId="2B09E517" w14:textId="73A3C66A"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lastRenderedPageBreak/>
        <w:t xml:space="preserve">Hyung, J. (2013). </w:t>
      </w:r>
      <w:r w:rsidRPr="00BF141D">
        <w:rPr>
          <w:rFonts w:eastAsia="Times New Roman"/>
          <w:i/>
          <w:sz w:val="24"/>
          <w:szCs w:val="24"/>
        </w:rPr>
        <w:t>An Analysis on the Effect of Old Age Dependency Ratio on Domestic Saving Rate</w:t>
      </w:r>
      <w:r w:rsidRPr="00BF141D">
        <w:rPr>
          <w:rFonts w:eastAsia="Times New Roman"/>
          <w:sz w:val="24"/>
          <w:szCs w:val="24"/>
        </w:rPr>
        <w:t xml:space="preserve">. </w:t>
      </w:r>
      <w:hyperlink r:id="rId19" w:history="1">
        <w:r w:rsidR="002B0E9D" w:rsidRPr="00BF141D">
          <w:rPr>
            <w:rStyle w:val="Hyperlink"/>
            <w:rFonts w:eastAsia="Times New Roman"/>
            <w:sz w:val="24"/>
            <w:szCs w:val="24"/>
          </w:rPr>
          <w:t>https://econ.berkeley.edu/sites/default/files/Jinwoo%20Hyung.pdf</w:t>
        </w:r>
      </w:hyperlink>
    </w:p>
    <w:p w14:paraId="6C562584" w14:textId="77777777" w:rsidR="002B0E9D" w:rsidRPr="00BF141D" w:rsidRDefault="002B0E9D" w:rsidP="00BF141D">
      <w:pPr>
        <w:spacing w:line="360" w:lineRule="auto"/>
        <w:ind w:left="720"/>
        <w:rPr>
          <w:rFonts w:eastAsia="Times New Roman"/>
          <w:sz w:val="24"/>
          <w:szCs w:val="24"/>
        </w:rPr>
      </w:pPr>
    </w:p>
    <w:p w14:paraId="35A67C4C" w14:textId="54C7A8C5"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Khan, I. H., Ahmad, &amp; Abbas, G. (2014). RELATIONSHIP BETWEEN INTEREST RATE AND HOUSEHOLD’S SAVINGS IN PAKISTAN. </w:t>
      </w:r>
      <w:r w:rsidRPr="00BF141D">
        <w:rPr>
          <w:rFonts w:eastAsia="Times New Roman"/>
          <w:i/>
          <w:sz w:val="24"/>
          <w:szCs w:val="24"/>
        </w:rPr>
        <w:t>International Journal of Innovation and Scientific Research</w:t>
      </w:r>
      <w:r w:rsidRPr="00BF141D">
        <w:rPr>
          <w:rFonts w:eastAsia="Times New Roman"/>
          <w:sz w:val="24"/>
          <w:szCs w:val="24"/>
        </w:rPr>
        <w:t xml:space="preserve">, </w:t>
      </w:r>
      <w:r w:rsidRPr="00BF141D">
        <w:rPr>
          <w:rFonts w:eastAsia="Times New Roman"/>
          <w:i/>
          <w:sz w:val="24"/>
          <w:szCs w:val="24"/>
        </w:rPr>
        <w:t>12</w:t>
      </w:r>
      <w:r w:rsidRPr="00BF141D">
        <w:rPr>
          <w:rFonts w:eastAsia="Times New Roman"/>
          <w:sz w:val="24"/>
          <w:szCs w:val="24"/>
        </w:rPr>
        <w:t xml:space="preserve">(1), 295–308. </w:t>
      </w:r>
      <w:hyperlink r:id="rId20" w:history="1">
        <w:r w:rsidR="002B0E9D" w:rsidRPr="00BF141D">
          <w:rPr>
            <w:rStyle w:val="Hyperlink"/>
            <w:rFonts w:eastAsia="Times New Roman"/>
            <w:sz w:val="24"/>
            <w:szCs w:val="24"/>
          </w:rPr>
          <w:t>https://ijisr.issr-journals.org/abstract.php?article=IJISR-14-291-02</w:t>
        </w:r>
      </w:hyperlink>
    </w:p>
    <w:p w14:paraId="2B055E50" w14:textId="77777777" w:rsidR="002B0E9D" w:rsidRPr="00BF141D" w:rsidRDefault="002B0E9D" w:rsidP="00BF141D">
      <w:pPr>
        <w:spacing w:line="360" w:lineRule="auto"/>
        <w:ind w:left="720"/>
        <w:rPr>
          <w:rFonts w:eastAsia="Times New Roman"/>
          <w:sz w:val="24"/>
          <w:szCs w:val="24"/>
        </w:rPr>
      </w:pPr>
    </w:p>
    <w:p w14:paraId="4EFB3A63" w14:textId="65B95487"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Kremers, J. J. M., Ericsson, N. R., &amp; Dolado, J. J. (1992). THE POWER OF COINTEGRATION TESTS. </w:t>
      </w:r>
      <w:r w:rsidRPr="00BF141D">
        <w:rPr>
          <w:rFonts w:eastAsia="Times New Roman"/>
          <w:i/>
          <w:sz w:val="24"/>
          <w:szCs w:val="24"/>
        </w:rPr>
        <w:t>Oxford Bulletin of Economics and Statistics</w:t>
      </w:r>
      <w:r w:rsidRPr="00BF141D">
        <w:rPr>
          <w:rFonts w:eastAsia="Times New Roman"/>
          <w:sz w:val="24"/>
          <w:szCs w:val="24"/>
        </w:rPr>
        <w:t xml:space="preserve">, </w:t>
      </w:r>
      <w:r w:rsidRPr="00BF141D">
        <w:rPr>
          <w:rFonts w:eastAsia="Times New Roman"/>
          <w:i/>
          <w:sz w:val="24"/>
          <w:szCs w:val="24"/>
        </w:rPr>
        <w:t>54</w:t>
      </w:r>
      <w:r w:rsidRPr="00BF141D">
        <w:rPr>
          <w:rFonts w:eastAsia="Times New Roman"/>
          <w:sz w:val="24"/>
          <w:szCs w:val="24"/>
        </w:rPr>
        <w:t xml:space="preserve">(3), 325–348. </w:t>
      </w:r>
      <w:hyperlink r:id="rId21" w:history="1">
        <w:r w:rsidR="002B0E9D" w:rsidRPr="00BF141D">
          <w:rPr>
            <w:rStyle w:val="Hyperlink"/>
            <w:rFonts w:eastAsia="Times New Roman"/>
            <w:sz w:val="24"/>
            <w:szCs w:val="24"/>
          </w:rPr>
          <w:t>https://doi.org/10.1111/j.1468-0084.1992.tb00005.x</w:t>
        </w:r>
      </w:hyperlink>
    </w:p>
    <w:p w14:paraId="1443287F" w14:textId="77777777" w:rsidR="002B0E9D" w:rsidRPr="00BF141D" w:rsidRDefault="002B0E9D" w:rsidP="00BF141D">
      <w:pPr>
        <w:spacing w:line="360" w:lineRule="auto"/>
        <w:ind w:left="720"/>
        <w:rPr>
          <w:rFonts w:eastAsia="Times New Roman"/>
          <w:sz w:val="24"/>
          <w:szCs w:val="24"/>
        </w:rPr>
      </w:pPr>
    </w:p>
    <w:p w14:paraId="076AFD02" w14:textId="2E78DC04" w:rsidR="002B0E9D"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Leybourne, S. J. (1995). </w:t>
      </w:r>
      <w:r w:rsidRPr="00BF141D">
        <w:rPr>
          <w:rFonts w:eastAsia="Times New Roman"/>
          <w:i/>
          <w:sz w:val="24"/>
          <w:szCs w:val="24"/>
        </w:rPr>
        <w:t>TESTING FOR UNIT ROOTS USING FORWARD AND REVERSE DICKEY-FULLER REGRESSIONS.</w:t>
      </w:r>
      <w:r w:rsidRPr="00BF141D">
        <w:rPr>
          <w:rFonts w:eastAsia="Times New Roman"/>
          <w:sz w:val="24"/>
          <w:szCs w:val="24"/>
        </w:rPr>
        <w:t xml:space="preserve"> Ebsco.com; Oxford Bulletin of Economics &amp; Statistic. 10.1111/j.1468-0084.1995.tb00040.x</w:t>
      </w:r>
    </w:p>
    <w:p w14:paraId="48523DF2" w14:textId="77777777" w:rsidR="002B0E9D" w:rsidRPr="00BF141D" w:rsidRDefault="002B0E9D" w:rsidP="00BF141D">
      <w:pPr>
        <w:spacing w:line="360" w:lineRule="auto"/>
        <w:ind w:left="720"/>
        <w:rPr>
          <w:rFonts w:eastAsia="Times New Roman"/>
          <w:sz w:val="24"/>
          <w:szCs w:val="24"/>
        </w:rPr>
      </w:pPr>
    </w:p>
    <w:p w14:paraId="54DEFB24" w14:textId="77777777" w:rsidR="00830401" w:rsidRPr="00BF141D" w:rsidRDefault="00000000" w:rsidP="00BF141D">
      <w:pPr>
        <w:spacing w:line="360" w:lineRule="auto"/>
        <w:ind w:left="720"/>
      </w:pPr>
      <w:r w:rsidRPr="00BF141D">
        <w:rPr>
          <w:rFonts w:eastAsia="Times New Roman"/>
          <w:sz w:val="24"/>
          <w:szCs w:val="24"/>
        </w:rPr>
        <w:t xml:space="preserve">Li, H., Zhang, J., &amp; Zhang, J. (2006). Effects of longevity and dependency rates on saving and growth: Evidence from a panel of cross countries. </w:t>
      </w:r>
      <w:r w:rsidRPr="00BF141D">
        <w:rPr>
          <w:rFonts w:eastAsia="Times New Roman"/>
          <w:i/>
          <w:sz w:val="24"/>
          <w:szCs w:val="24"/>
        </w:rPr>
        <w:t>Journal of Development Economics</w:t>
      </w:r>
      <w:r w:rsidRPr="00BF141D">
        <w:rPr>
          <w:rFonts w:eastAsia="Times New Roman"/>
          <w:sz w:val="24"/>
          <w:szCs w:val="24"/>
        </w:rPr>
        <w:t xml:space="preserve">, </w:t>
      </w:r>
      <w:r w:rsidRPr="00BF141D">
        <w:rPr>
          <w:rFonts w:eastAsia="Times New Roman"/>
          <w:i/>
          <w:sz w:val="24"/>
          <w:szCs w:val="24"/>
        </w:rPr>
        <w:t>84</w:t>
      </w:r>
      <w:r w:rsidRPr="00BF141D">
        <w:rPr>
          <w:rFonts w:eastAsia="Times New Roman"/>
          <w:sz w:val="24"/>
          <w:szCs w:val="24"/>
        </w:rPr>
        <w:t xml:space="preserve">(1), 138–154. </w:t>
      </w:r>
      <w:hyperlink r:id="rId22">
        <w:r w:rsidRPr="00BF141D">
          <w:rPr>
            <w:rFonts w:eastAsia="Times New Roman"/>
            <w:color w:val="1155CC"/>
            <w:sz w:val="24"/>
            <w:szCs w:val="24"/>
            <w:u w:val="single"/>
          </w:rPr>
          <w:t>https://doi.org/10.1016/j.jdeveco.2006.10.002</w:t>
        </w:r>
      </w:hyperlink>
    </w:p>
    <w:p w14:paraId="48CD6D14" w14:textId="77777777" w:rsidR="002B0E9D" w:rsidRPr="00BF141D" w:rsidRDefault="002B0E9D" w:rsidP="00BF141D">
      <w:pPr>
        <w:spacing w:line="360" w:lineRule="auto"/>
        <w:ind w:left="720"/>
        <w:rPr>
          <w:rFonts w:eastAsia="Times New Roman"/>
          <w:sz w:val="24"/>
          <w:szCs w:val="24"/>
        </w:rPr>
      </w:pPr>
    </w:p>
    <w:p w14:paraId="09558A18" w14:textId="77777777"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Loayza, N., Schmidt</w:t>
      </w:r>
      <w:r w:rsidRPr="00BF141D">
        <w:rPr>
          <w:rFonts w:ascii="Cambria Math" w:eastAsia="Times New Roman" w:hAnsi="Cambria Math" w:cs="Cambria Math"/>
          <w:sz w:val="24"/>
          <w:szCs w:val="24"/>
        </w:rPr>
        <w:t>‑</w:t>
      </w:r>
      <w:r w:rsidRPr="00BF141D">
        <w:rPr>
          <w:rFonts w:eastAsia="Times New Roman"/>
          <w:sz w:val="24"/>
          <w:szCs w:val="24"/>
        </w:rPr>
        <w:t xml:space="preserve">Hebbel, K., &amp; Servén, L. (2000). </w:t>
      </w:r>
      <w:r w:rsidRPr="00BF141D">
        <w:rPr>
          <w:rFonts w:eastAsia="Times New Roman"/>
          <w:i/>
          <w:sz w:val="24"/>
          <w:szCs w:val="24"/>
        </w:rPr>
        <w:t>What drives private saving across the world?</w:t>
      </w:r>
      <w:r w:rsidRPr="00BF141D">
        <w:rPr>
          <w:rFonts w:eastAsia="Times New Roman"/>
          <w:sz w:val="24"/>
          <w:szCs w:val="24"/>
        </w:rPr>
        <w:t xml:space="preserve"> The Review of Economics and Statistics, 82(2), 165–181. Retrieved from </w:t>
      </w:r>
      <w:hyperlink r:id="rId23">
        <w:r w:rsidRPr="00BF141D">
          <w:rPr>
            <w:rFonts w:eastAsia="Times New Roman"/>
            <w:color w:val="1155CC"/>
            <w:sz w:val="24"/>
            <w:szCs w:val="24"/>
            <w:u w:val="single"/>
          </w:rPr>
          <w:t>https://papers.ssrn.com/abstract=629158</w:t>
        </w:r>
      </w:hyperlink>
    </w:p>
    <w:p w14:paraId="319F716B" w14:textId="28F211F5"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Ouliaris, M. S., &amp; Rochon, M. C. (2018). </w:t>
      </w:r>
      <w:r w:rsidRPr="00BF141D">
        <w:rPr>
          <w:rFonts w:eastAsia="Times New Roman"/>
          <w:i/>
          <w:sz w:val="24"/>
          <w:szCs w:val="24"/>
        </w:rPr>
        <w:t>The U.S. Personal Saving Rate</w:t>
      </w:r>
      <w:r w:rsidRPr="00BF141D">
        <w:rPr>
          <w:rFonts w:eastAsia="Times New Roman"/>
          <w:sz w:val="24"/>
          <w:szCs w:val="24"/>
        </w:rPr>
        <w:t xml:space="preserve">. Google Books. </w:t>
      </w:r>
      <w:hyperlink r:id="rId24" w:history="1">
        <w:r w:rsidR="002B0E9D" w:rsidRPr="00BF141D">
          <w:rPr>
            <w:rStyle w:val="Hyperlink"/>
            <w:rFonts w:eastAsia="Times New Roman"/>
            <w:sz w:val="24"/>
            <w:szCs w:val="24"/>
          </w:rPr>
          <w:t>https://books.google.com.vn/books?hl=vi&amp;lr=&amp;id=tbMZEAAAQBAJ&amp;oi=fnd&amp;pg=PA4&amp;dq=The+U.S.+Personal+Saving+Rate1&amp;ots=b_vbTs4L_h&amp;sig=ki12kP6xneWUMPLidjM0YDMN5RE&amp;redir_esc=y#v=onepage&amp;q=The%20U.S.%20Personal%20Saving%20Rate1&amp;f=false</w:t>
        </w:r>
      </w:hyperlink>
    </w:p>
    <w:p w14:paraId="70284357" w14:textId="77777777" w:rsidR="002B0E9D" w:rsidRPr="00BF141D" w:rsidRDefault="002B0E9D" w:rsidP="00BF141D">
      <w:pPr>
        <w:spacing w:line="360" w:lineRule="auto"/>
        <w:ind w:left="720"/>
        <w:rPr>
          <w:rFonts w:eastAsia="Times New Roman"/>
          <w:sz w:val="24"/>
          <w:szCs w:val="24"/>
        </w:rPr>
      </w:pPr>
    </w:p>
    <w:p w14:paraId="4CCEE046" w14:textId="77777777" w:rsidR="00830401" w:rsidRPr="00BF141D" w:rsidRDefault="00000000" w:rsidP="00BF141D">
      <w:pPr>
        <w:spacing w:line="360" w:lineRule="auto"/>
        <w:ind w:left="720"/>
      </w:pPr>
      <w:r w:rsidRPr="00BF141D">
        <w:rPr>
          <w:rFonts w:eastAsia="Times New Roman"/>
          <w:sz w:val="24"/>
          <w:szCs w:val="24"/>
        </w:rPr>
        <w:t xml:space="preserve">Prabhakaran, S. (2019, November 2). </w:t>
      </w:r>
      <w:r w:rsidRPr="00BF141D">
        <w:rPr>
          <w:rFonts w:eastAsia="Times New Roman"/>
          <w:i/>
          <w:sz w:val="24"/>
          <w:szCs w:val="24"/>
        </w:rPr>
        <w:t>Augmented Dickey Fuller Test (ADF Test)</w:t>
      </w:r>
      <w:r w:rsidRPr="00BF141D">
        <w:rPr>
          <w:rFonts w:eastAsia="Times New Roman"/>
          <w:sz w:val="24"/>
          <w:szCs w:val="24"/>
        </w:rPr>
        <w:t xml:space="preserve">. Machine Learning Plus. </w:t>
      </w:r>
      <w:hyperlink r:id="rId25">
        <w:r w:rsidRPr="00BF141D">
          <w:rPr>
            <w:rFonts w:eastAsia="Times New Roman"/>
            <w:color w:val="1155CC"/>
            <w:sz w:val="24"/>
            <w:szCs w:val="24"/>
            <w:u w:val="single"/>
          </w:rPr>
          <w:t>https://www.machinelearningplus.com/time-series/augmented-dickey-fuller-test/</w:t>
        </w:r>
      </w:hyperlink>
    </w:p>
    <w:p w14:paraId="61E04803" w14:textId="77777777" w:rsidR="002B0E9D" w:rsidRPr="00BF141D" w:rsidRDefault="002B0E9D" w:rsidP="00BF141D">
      <w:pPr>
        <w:spacing w:line="360" w:lineRule="auto"/>
        <w:ind w:left="720"/>
        <w:rPr>
          <w:rFonts w:eastAsia="Times New Roman"/>
          <w:sz w:val="24"/>
          <w:szCs w:val="24"/>
        </w:rPr>
      </w:pPr>
    </w:p>
    <w:p w14:paraId="377EC56E" w14:textId="77777777" w:rsidR="00830401" w:rsidRPr="00BF141D" w:rsidRDefault="00000000" w:rsidP="00BF141D">
      <w:pPr>
        <w:spacing w:line="360" w:lineRule="auto"/>
        <w:ind w:left="720"/>
      </w:pPr>
      <w:r w:rsidRPr="00BF141D">
        <w:rPr>
          <w:rFonts w:eastAsia="Times New Roman"/>
          <w:sz w:val="24"/>
          <w:szCs w:val="24"/>
        </w:rPr>
        <w:t>Modigliani, F., &amp; Brumberg, R. (1954). Utility analysis and the consumption function: An interpretation of cross</w:t>
      </w:r>
      <w:r w:rsidRPr="00BF141D">
        <w:rPr>
          <w:rFonts w:ascii="Cambria Math" w:eastAsia="Times New Roman" w:hAnsi="Cambria Math" w:cs="Cambria Math"/>
          <w:sz w:val="24"/>
          <w:szCs w:val="24"/>
        </w:rPr>
        <w:t>‑</w:t>
      </w:r>
      <w:r w:rsidRPr="00BF141D">
        <w:rPr>
          <w:rFonts w:eastAsia="Times New Roman"/>
          <w:sz w:val="24"/>
          <w:szCs w:val="24"/>
        </w:rPr>
        <w:t xml:space="preserve">section data. In K. K. Kurihara (Ed.), </w:t>
      </w:r>
      <w:r w:rsidRPr="00BF141D">
        <w:rPr>
          <w:rFonts w:eastAsia="Times New Roman"/>
          <w:i/>
          <w:sz w:val="24"/>
          <w:szCs w:val="24"/>
        </w:rPr>
        <w:t>Post</w:t>
      </w:r>
      <w:r w:rsidRPr="00BF141D">
        <w:rPr>
          <w:rFonts w:ascii="Cambria Math" w:eastAsia="Times New Roman" w:hAnsi="Cambria Math" w:cs="Cambria Math"/>
          <w:i/>
          <w:sz w:val="24"/>
          <w:szCs w:val="24"/>
        </w:rPr>
        <w:t>‑</w:t>
      </w:r>
      <w:r w:rsidRPr="00BF141D">
        <w:rPr>
          <w:rFonts w:eastAsia="Times New Roman"/>
          <w:i/>
          <w:sz w:val="24"/>
          <w:szCs w:val="24"/>
        </w:rPr>
        <w:t>Keynesian economics</w:t>
      </w:r>
      <w:r w:rsidRPr="00BF141D">
        <w:rPr>
          <w:rFonts w:eastAsia="Times New Roman"/>
          <w:sz w:val="24"/>
          <w:szCs w:val="24"/>
        </w:rPr>
        <w:t xml:space="preserve"> (pp. 388–436). Rutgers University Press. Retrieved from</w:t>
      </w:r>
      <w:hyperlink r:id="rId26">
        <w:r w:rsidRPr="00BF141D">
          <w:rPr>
            <w:rFonts w:eastAsia="Times New Roman"/>
            <w:sz w:val="24"/>
            <w:szCs w:val="24"/>
          </w:rPr>
          <w:t xml:space="preserve"> </w:t>
        </w:r>
      </w:hyperlink>
      <w:hyperlink r:id="rId27">
        <w:r w:rsidRPr="00BF141D">
          <w:rPr>
            <w:rFonts w:eastAsia="Times New Roman"/>
            <w:color w:val="1155CC"/>
            <w:sz w:val="24"/>
            <w:szCs w:val="24"/>
            <w:u w:val="single"/>
          </w:rPr>
          <w:t>https://www.jstor.org/stable/1817129</w:t>
        </w:r>
      </w:hyperlink>
    </w:p>
    <w:p w14:paraId="1084A981" w14:textId="77777777" w:rsidR="002B0E9D" w:rsidRPr="00BF141D" w:rsidRDefault="002B0E9D" w:rsidP="00BF141D">
      <w:pPr>
        <w:spacing w:line="360" w:lineRule="auto"/>
        <w:ind w:left="720"/>
        <w:rPr>
          <w:rFonts w:eastAsia="Times New Roman"/>
          <w:sz w:val="24"/>
          <w:szCs w:val="24"/>
        </w:rPr>
      </w:pPr>
    </w:p>
    <w:p w14:paraId="2CA02A78" w14:textId="77777777" w:rsidR="002B0E9D"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Salman, A., &amp; Zaib, R. (2012). Age dependency and its effect on national savings: Evidence from selected Asian countries. </w:t>
      </w:r>
      <w:r w:rsidRPr="00BF141D">
        <w:rPr>
          <w:rFonts w:eastAsia="Times New Roman"/>
          <w:i/>
          <w:sz w:val="24"/>
          <w:szCs w:val="24"/>
        </w:rPr>
        <w:t>International Journal of Business and Management, 7</w:t>
      </w:r>
      <w:r w:rsidRPr="00BF141D">
        <w:rPr>
          <w:rFonts w:eastAsia="Times New Roman"/>
          <w:sz w:val="24"/>
          <w:szCs w:val="24"/>
        </w:rPr>
        <w:t xml:space="preserve">(12), 152–162. </w:t>
      </w:r>
      <w:hyperlink r:id="rId28">
        <w:r w:rsidRPr="00BF141D">
          <w:rPr>
            <w:rFonts w:eastAsia="Times New Roman"/>
            <w:color w:val="1155CC"/>
            <w:sz w:val="24"/>
            <w:szCs w:val="24"/>
            <w:u w:val="single"/>
          </w:rPr>
          <w:t>https://ccsenet.org/journal/index.php/ijbm/article/view/12654</w:t>
        </w:r>
      </w:hyperlink>
    </w:p>
    <w:p w14:paraId="25B505E3" w14:textId="77777777" w:rsidR="002B0E9D" w:rsidRPr="00BF141D" w:rsidRDefault="002B0E9D" w:rsidP="00BF141D">
      <w:pPr>
        <w:spacing w:line="360" w:lineRule="auto"/>
        <w:ind w:left="720"/>
        <w:rPr>
          <w:rFonts w:eastAsia="Times New Roman"/>
          <w:sz w:val="24"/>
          <w:szCs w:val="24"/>
        </w:rPr>
      </w:pPr>
    </w:p>
    <w:p w14:paraId="75179062" w14:textId="178A0A2C" w:rsidR="00830401" w:rsidRPr="00BF141D" w:rsidRDefault="00000000" w:rsidP="00BF141D">
      <w:pPr>
        <w:spacing w:line="360" w:lineRule="auto"/>
        <w:ind w:left="720"/>
        <w:rPr>
          <w:rFonts w:eastAsia="Times New Roman"/>
          <w:sz w:val="24"/>
          <w:szCs w:val="24"/>
        </w:rPr>
      </w:pPr>
      <w:r w:rsidRPr="00BF141D">
        <w:rPr>
          <w:rFonts w:eastAsia="Times New Roman"/>
          <w:sz w:val="24"/>
          <w:szCs w:val="24"/>
        </w:rPr>
        <w:t xml:space="preserve">World Bank. (1995). </w:t>
      </w:r>
      <w:r w:rsidRPr="00BF141D">
        <w:rPr>
          <w:rFonts w:eastAsia="Times New Roman"/>
          <w:i/>
          <w:sz w:val="24"/>
          <w:szCs w:val="24"/>
        </w:rPr>
        <w:t>World development report 1995: Workers in an integrating world</w:t>
      </w:r>
      <w:r w:rsidRPr="00BF141D">
        <w:rPr>
          <w:rFonts w:eastAsia="Times New Roman"/>
          <w:sz w:val="24"/>
          <w:szCs w:val="24"/>
        </w:rPr>
        <w:t xml:space="preserve">. Oxford University Press. Retrieved from </w:t>
      </w:r>
      <w:hyperlink r:id="rId29">
        <w:r w:rsidRPr="00BF141D">
          <w:rPr>
            <w:rFonts w:eastAsia="Times New Roman"/>
            <w:color w:val="1155CC"/>
            <w:sz w:val="24"/>
            <w:szCs w:val="24"/>
            <w:u w:val="single"/>
          </w:rPr>
          <w:t>https://documents.worldbank.org/en/publication/documents-reports/documentdetail/739011468169743467</w:t>
        </w:r>
      </w:hyperlink>
    </w:p>
    <w:p w14:paraId="240AEE46" w14:textId="77777777" w:rsidR="00830401" w:rsidRPr="00BF141D" w:rsidRDefault="00830401" w:rsidP="00BF141D">
      <w:pPr>
        <w:spacing w:line="360" w:lineRule="auto"/>
        <w:rPr>
          <w:rFonts w:eastAsia="Times New Roman"/>
          <w:sz w:val="24"/>
          <w:szCs w:val="24"/>
        </w:rPr>
      </w:pPr>
    </w:p>
    <w:p w14:paraId="5263B1D8" w14:textId="77777777" w:rsidR="00830401" w:rsidRPr="00BF141D" w:rsidRDefault="00830401" w:rsidP="00BF141D">
      <w:pPr>
        <w:spacing w:line="360" w:lineRule="auto"/>
        <w:jc w:val="both"/>
        <w:rPr>
          <w:rFonts w:eastAsia="Times New Roman"/>
          <w:b/>
          <w:sz w:val="24"/>
          <w:szCs w:val="24"/>
        </w:rPr>
      </w:pPr>
    </w:p>
    <w:p w14:paraId="55AA9112" w14:textId="77777777" w:rsidR="00830401" w:rsidRPr="00BF141D" w:rsidRDefault="00000000" w:rsidP="00BF141D">
      <w:pPr>
        <w:pStyle w:val="Heading1"/>
        <w:spacing w:line="360" w:lineRule="auto"/>
        <w:jc w:val="both"/>
        <w:rPr>
          <w:rFonts w:eastAsia="Times New Roman"/>
          <w:sz w:val="24"/>
          <w:szCs w:val="24"/>
        </w:rPr>
      </w:pPr>
      <w:bookmarkStart w:id="5" w:name="_levpfkg8xb1z" w:colFirst="0" w:colLast="0"/>
      <w:bookmarkEnd w:id="5"/>
      <w:r w:rsidRPr="00BF141D">
        <w:rPr>
          <w:rFonts w:eastAsia="Times New Roman"/>
          <w:b/>
          <w:sz w:val="24"/>
          <w:szCs w:val="24"/>
        </w:rPr>
        <w:lastRenderedPageBreak/>
        <w:t>APPENDICES</w:t>
      </w:r>
      <w:r w:rsidRPr="00BF141D">
        <w:rPr>
          <w:rFonts w:eastAsia="Times New Roman"/>
          <w:sz w:val="24"/>
          <w:szCs w:val="24"/>
        </w:rPr>
        <w:t xml:space="preserve">: </w:t>
      </w:r>
    </w:p>
    <w:p w14:paraId="0B8C4512" w14:textId="77777777" w:rsidR="00830401" w:rsidRPr="00BF141D" w:rsidRDefault="00000000" w:rsidP="00BF141D">
      <w:pPr>
        <w:pStyle w:val="Heading2"/>
        <w:spacing w:line="360" w:lineRule="auto"/>
        <w:jc w:val="both"/>
        <w:rPr>
          <w:rFonts w:eastAsia="Times New Roman"/>
          <w:b/>
          <w:sz w:val="24"/>
          <w:szCs w:val="24"/>
        </w:rPr>
      </w:pPr>
      <w:bookmarkStart w:id="6" w:name="_aod6gmx0okjn" w:colFirst="0" w:colLast="0"/>
      <w:bookmarkEnd w:id="6"/>
      <w:r w:rsidRPr="00BF141D">
        <w:rPr>
          <w:rFonts w:eastAsia="Times New Roman"/>
          <w:b/>
          <w:sz w:val="24"/>
          <w:szCs w:val="24"/>
        </w:rPr>
        <w:t xml:space="preserve">Appendix 1: Econometric Model </w:t>
      </w:r>
    </w:p>
    <w:p w14:paraId="1F427BBD"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52E1BAC8" wp14:editId="38C76E16">
            <wp:extent cx="5943600" cy="1905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1905000"/>
                    </a:xfrm>
                    <a:prstGeom prst="rect">
                      <a:avLst/>
                    </a:prstGeom>
                    <a:ln/>
                  </pic:spPr>
                </pic:pic>
              </a:graphicData>
            </a:graphic>
          </wp:inline>
        </w:drawing>
      </w:r>
    </w:p>
    <w:p w14:paraId="5491BDFA" w14:textId="77777777" w:rsidR="00830401" w:rsidRPr="00BF141D" w:rsidRDefault="00000000" w:rsidP="00BF141D">
      <w:pPr>
        <w:pStyle w:val="Heading2"/>
        <w:spacing w:line="360" w:lineRule="auto"/>
        <w:jc w:val="both"/>
        <w:rPr>
          <w:rFonts w:eastAsia="Times New Roman"/>
          <w:b/>
          <w:sz w:val="24"/>
          <w:szCs w:val="24"/>
        </w:rPr>
      </w:pPr>
      <w:bookmarkStart w:id="7" w:name="_xmwt12yy25ai" w:colFirst="0" w:colLast="0"/>
      <w:bookmarkEnd w:id="7"/>
      <w:r w:rsidRPr="00BF141D">
        <w:rPr>
          <w:rFonts w:eastAsia="Times New Roman"/>
          <w:b/>
          <w:sz w:val="24"/>
          <w:szCs w:val="24"/>
        </w:rPr>
        <w:t xml:space="preserve">Appendix 2: </w:t>
      </w:r>
    </w:p>
    <w:p w14:paraId="76320220"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2.1:</w:t>
      </w:r>
    </w:p>
    <w:p w14:paraId="77886B73"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55D71D41" wp14:editId="388A2998">
            <wp:extent cx="2986088" cy="26543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986088" cy="2654300"/>
                    </a:xfrm>
                    <a:prstGeom prst="rect">
                      <a:avLst/>
                    </a:prstGeom>
                    <a:ln/>
                  </pic:spPr>
                </pic:pic>
              </a:graphicData>
            </a:graphic>
          </wp:inline>
        </w:drawing>
      </w:r>
    </w:p>
    <w:p w14:paraId="478F1549"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lastRenderedPageBreak/>
        <w:drawing>
          <wp:inline distT="114300" distB="114300" distL="114300" distR="114300" wp14:anchorId="276A8409" wp14:editId="3C58229D">
            <wp:extent cx="2876344" cy="266966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876344" cy="2669660"/>
                    </a:xfrm>
                    <a:prstGeom prst="rect">
                      <a:avLst/>
                    </a:prstGeom>
                    <a:ln/>
                  </pic:spPr>
                </pic:pic>
              </a:graphicData>
            </a:graphic>
          </wp:inline>
        </w:drawing>
      </w:r>
    </w:p>
    <w:p w14:paraId="57306AC2"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1C34B69B" wp14:editId="2D4E1C6B">
            <wp:extent cx="2909888" cy="2252286"/>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2909888" cy="2252286"/>
                    </a:xfrm>
                    <a:prstGeom prst="rect">
                      <a:avLst/>
                    </a:prstGeom>
                    <a:ln/>
                  </pic:spPr>
                </pic:pic>
              </a:graphicData>
            </a:graphic>
          </wp:inline>
        </w:drawing>
      </w:r>
    </w:p>
    <w:p w14:paraId="777C7B20"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2.2:</w:t>
      </w:r>
    </w:p>
    <w:p w14:paraId="7D8C74FB"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28A512FC" wp14:editId="5FD6066A">
            <wp:extent cx="2575852" cy="2538413"/>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2575852" cy="2538413"/>
                    </a:xfrm>
                    <a:prstGeom prst="rect">
                      <a:avLst/>
                    </a:prstGeom>
                    <a:ln/>
                  </pic:spPr>
                </pic:pic>
              </a:graphicData>
            </a:graphic>
          </wp:inline>
        </w:drawing>
      </w:r>
    </w:p>
    <w:p w14:paraId="1070B2DA"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lastRenderedPageBreak/>
        <w:drawing>
          <wp:inline distT="114300" distB="114300" distL="114300" distR="114300" wp14:anchorId="30C10B8B" wp14:editId="78E490B6">
            <wp:extent cx="2859501" cy="277443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859501" cy="2774435"/>
                    </a:xfrm>
                    <a:prstGeom prst="rect">
                      <a:avLst/>
                    </a:prstGeom>
                    <a:ln/>
                  </pic:spPr>
                </pic:pic>
              </a:graphicData>
            </a:graphic>
          </wp:inline>
        </w:drawing>
      </w:r>
    </w:p>
    <w:p w14:paraId="4E8A1DCD"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73907F50" wp14:editId="0971212B">
            <wp:extent cx="3033713" cy="2535116"/>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3033713" cy="2535116"/>
                    </a:xfrm>
                    <a:prstGeom prst="rect">
                      <a:avLst/>
                    </a:prstGeom>
                    <a:ln/>
                  </pic:spPr>
                </pic:pic>
              </a:graphicData>
            </a:graphic>
          </wp:inline>
        </w:drawing>
      </w:r>
    </w:p>
    <w:p w14:paraId="23A61BB0" w14:textId="77777777" w:rsidR="00830401" w:rsidRPr="00BF141D" w:rsidRDefault="00000000" w:rsidP="00BF141D">
      <w:pPr>
        <w:pStyle w:val="Heading2"/>
        <w:spacing w:line="360" w:lineRule="auto"/>
        <w:jc w:val="both"/>
        <w:rPr>
          <w:rFonts w:eastAsia="Times New Roman"/>
          <w:b/>
          <w:sz w:val="24"/>
          <w:szCs w:val="24"/>
        </w:rPr>
      </w:pPr>
      <w:bookmarkStart w:id="8" w:name="_gno5npzgfm3k" w:colFirst="0" w:colLast="0"/>
      <w:bookmarkEnd w:id="8"/>
      <w:r w:rsidRPr="00BF141D">
        <w:rPr>
          <w:rFonts w:eastAsia="Times New Roman"/>
          <w:b/>
          <w:sz w:val="24"/>
          <w:szCs w:val="24"/>
        </w:rPr>
        <w:t xml:space="preserve">Appendix 3: Linearity </w:t>
      </w:r>
    </w:p>
    <w:p w14:paraId="3680FD17"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3.1: Scatter and Fit for Savings and GNI</w:t>
      </w:r>
    </w:p>
    <w:p w14:paraId="0D7A2025"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lastRenderedPageBreak/>
        <w:drawing>
          <wp:inline distT="114300" distB="114300" distL="114300" distR="114300" wp14:anchorId="541220E6" wp14:editId="5684ECD2">
            <wp:extent cx="3867994" cy="280801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867994" cy="2808015"/>
                    </a:xfrm>
                    <a:prstGeom prst="rect">
                      <a:avLst/>
                    </a:prstGeom>
                    <a:ln/>
                  </pic:spPr>
                </pic:pic>
              </a:graphicData>
            </a:graphic>
          </wp:inline>
        </w:drawing>
      </w:r>
    </w:p>
    <w:p w14:paraId="212FD52E"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3.2: Scatter and Fit for Savings and Age</w:t>
      </w:r>
    </w:p>
    <w:p w14:paraId="4311FFDB"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447E2941" wp14:editId="37016AD8">
            <wp:extent cx="3885861" cy="2836590"/>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3885861" cy="2836590"/>
                    </a:xfrm>
                    <a:prstGeom prst="rect">
                      <a:avLst/>
                    </a:prstGeom>
                    <a:ln/>
                  </pic:spPr>
                </pic:pic>
              </a:graphicData>
            </a:graphic>
          </wp:inline>
        </w:drawing>
      </w:r>
    </w:p>
    <w:p w14:paraId="24914C9A"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3.3: Scatter and Fit for Savings and Inflation</w:t>
      </w:r>
    </w:p>
    <w:p w14:paraId="753473D4"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lastRenderedPageBreak/>
        <w:drawing>
          <wp:inline distT="114300" distB="114300" distL="114300" distR="114300" wp14:anchorId="4C6CBE34" wp14:editId="02C9B3A6">
            <wp:extent cx="3938588" cy="283837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938588" cy="2838372"/>
                    </a:xfrm>
                    <a:prstGeom prst="rect">
                      <a:avLst/>
                    </a:prstGeom>
                    <a:ln/>
                  </pic:spPr>
                </pic:pic>
              </a:graphicData>
            </a:graphic>
          </wp:inline>
        </w:drawing>
      </w:r>
    </w:p>
    <w:p w14:paraId="784C7B95"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3.4: Scatter and Fit for Savings and Rate Interest</w:t>
      </w:r>
    </w:p>
    <w:p w14:paraId="292DEECD"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0EFDAA38" wp14:editId="3477E1B1">
            <wp:extent cx="3948471" cy="2849128"/>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948471" cy="2849128"/>
                    </a:xfrm>
                    <a:prstGeom prst="rect">
                      <a:avLst/>
                    </a:prstGeom>
                    <a:ln/>
                  </pic:spPr>
                </pic:pic>
              </a:graphicData>
            </a:graphic>
          </wp:inline>
        </w:drawing>
      </w:r>
    </w:p>
    <w:p w14:paraId="622F090F" w14:textId="77777777" w:rsidR="00830401" w:rsidRPr="00BF141D" w:rsidRDefault="00830401" w:rsidP="00BF141D">
      <w:pPr>
        <w:spacing w:line="360" w:lineRule="auto"/>
        <w:jc w:val="both"/>
        <w:rPr>
          <w:rFonts w:eastAsia="Times New Roman"/>
          <w:b/>
          <w:sz w:val="24"/>
          <w:szCs w:val="24"/>
        </w:rPr>
      </w:pPr>
    </w:p>
    <w:p w14:paraId="417B7571" w14:textId="77777777" w:rsidR="00830401" w:rsidRPr="00BF141D" w:rsidRDefault="00000000" w:rsidP="00BF141D">
      <w:pPr>
        <w:pStyle w:val="Heading2"/>
        <w:spacing w:line="360" w:lineRule="auto"/>
        <w:jc w:val="both"/>
        <w:rPr>
          <w:rFonts w:eastAsia="Times New Roman"/>
          <w:b/>
          <w:sz w:val="24"/>
          <w:szCs w:val="24"/>
        </w:rPr>
      </w:pPr>
      <w:bookmarkStart w:id="9" w:name="_e7rm0s64ylg8" w:colFirst="0" w:colLast="0"/>
      <w:bookmarkEnd w:id="9"/>
      <w:r w:rsidRPr="00BF141D">
        <w:rPr>
          <w:rFonts w:eastAsia="Times New Roman"/>
          <w:b/>
          <w:sz w:val="24"/>
          <w:szCs w:val="24"/>
        </w:rPr>
        <w:t>Appendix 4: VIF</w:t>
      </w:r>
    </w:p>
    <w:p w14:paraId="38554698" w14:textId="77777777" w:rsidR="00830401" w:rsidRPr="00BF141D" w:rsidRDefault="00830401" w:rsidP="00BF141D">
      <w:pPr>
        <w:spacing w:line="360" w:lineRule="auto"/>
        <w:jc w:val="both"/>
        <w:rPr>
          <w:rFonts w:eastAsia="Times New Roman"/>
          <w:b/>
          <w:sz w:val="24"/>
          <w:szCs w:val="24"/>
        </w:rPr>
      </w:pPr>
    </w:p>
    <w:p w14:paraId="3A820731"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lastRenderedPageBreak/>
        <w:drawing>
          <wp:inline distT="114300" distB="114300" distL="114300" distR="114300" wp14:anchorId="761A0862" wp14:editId="5FC08392">
            <wp:extent cx="2706272" cy="175074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2706272" cy="1750740"/>
                    </a:xfrm>
                    <a:prstGeom prst="rect">
                      <a:avLst/>
                    </a:prstGeom>
                    <a:ln/>
                  </pic:spPr>
                </pic:pic>
              </a:graphicData>
            </a:graphic>
          </wp:inline>
        </w:drawing>
      </w:r>
    </w:p>
    <w:p w14:paraId="295AB1B4" w14:textId="77777777" w:rsidR="00830401" w:rsidRPr="00BF141D" w:rsidRDefault="00830401" w:rsidP="00BF141D">
      <w:pPr>
        <w:spacing w:line="360" w:lineRule="auto"/>
        <w:jc w:val="both"/>
        <w:rPr>
          <w:rFonts w:eastAsia="Times New Roman"/>
          <w:b/>
          <w:sz w:val="24"/>
          <w:szCs w:val="24"/>
        </w:rPr>
      </w:pPr>
    </w:p>
    <w:p w14:paraId="17600422"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5: Ramsay RESET</w:t>
      </w:r>
    </w:p>
    <w:p w14:paraId="598B599A"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77846E7F" wp14:editId="2E900502">
            <wp:extent cx="4144967" cy="1456972"/>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4144967" cy="1456972"/>
                    </a:xfrm>
                    <a:prstGeom prst="rect">
                      <a:avLst/>
                    </a:prstGeom>
                    <a:ln/>
                  </pic:spPr>
                </pic:pic>
              </a:graphicData>
            </a:graphic>
          </wp:inline>
        </w:drawing>
      </w:r>
    </w:p>
    <w:p w14:paraId="51F94D33" w14:textId="77777777" w:rsidR="00830401" w:rsidRPr="00BF141D" w:rsidRDefault="00830401" w:rsidP="00BF141D">
      <w:pPr>
        <w:spacing w:line="360" w:lineRule="auto"/>
        <w:jc w:val="both"/>
        <w:rPr>
          <w:rFonts w:eastAsia="Times New Roman"/>
          <w:b/>
          <w:sz w:val="24"/>
          <w:szCs w:val="24"/>
        </w:rPr>
      </w:pPr>
    </w:p>
    <w:p w14:paraId="641378B7"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 xml:space="preserve">Appendix 6.1: Scatter Plots </w:t>
      </w:r>
    </w:p>
    <w:p w14:paraId="5A0AE07E" w14:textId="77777777" w:rsidR="00830401" w:rsidRPr="00BF141D" w:rsidRDefault="00000000" w:rsidP="00BF141D">
      <w:pPr>
        <w:spacing w:line="360" w:lineRule="auto"/>
        <w:jc w:val="both"/>
        <w:rPr>
          <w:rFonts w:eastAsia="Times New Roman"/>
          <w:sz w:val="24"/>
          <w:szCs w:val="24"/>
        </w:rPr>
      </w:pPr>
      <w:r w:rsidRPr="00BF141D">
        <w:rPr>
          <w:rFonts w:eastAsia="Times New Roman"/>
          <w:b/>
          <w:noProof/>
          <w:sz w:val="24"/>
          <w:szCs w:val="24"/>
        </w:rPr>
        <w:drawing>
          <wp:inline distT="114300" distB="114300" distL="114300" distR="114300" wp14:anchorId="661CF5C4" wp14:editId="000D4A75">
            <wp:extent cx="4797984" cy="279113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4797984" cy="2791135"/>
                    </a:xfrm>
                    <a:prstGeom prst="rect">
                      <a:avLst/>
                    </a:prstGeom>
                    <a:ln/>
                  </pic:spPr>
                </pic:pic>
              </a:graphicData>
            </a:graphic>
          </wp:inline>
        </w:drawing>
      </w:r>
    </w:p>
    <w:p w14:paraId="6E531DB5" w14:textId="77777777" w:rsidR="00830401" w:rsidRPr="00BF141D" w:rsidRDefault="00830401" w:rsidP="00BF141D">
      <w:pPr>
        <w:spacing w:line="360" w:lineRule="auto"/>
        <w:jc w:val="both"/>
        <w:rPr>
          <w:rFonts w:eastAsia="Times New Roman"/>
          <w:b/>
          <w:sz w:val="24"/>
          <w:szCs w:val="24"/>
        </w:rPr>
      </w:pPr>
    </w:p>
    <w:p w14:paraId="05A7A417"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6.2: Breusch-Pagan test</w:t>
      </w:r>
    </w:p>
    <w:p w14:paraId="0B4EB93C"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lastRenderedPageBreak/>
        <w:drawing>
          <wp:inline distT="114300" distB="114300" distL="114300" distR="114300" wp14:anchorId="18EE0D59" wp14:editId="7F82D490">
            <wp:extent cx="4005263" cy="1668116"/>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4005263" cy="1668116"/>
                    </a:xfrm>
                    <a:prstGeom prst="rect">
                      <a:avLst/>
                    </a:prstGeom>
                    <a:ln/>
                  </pic:spPr>
                </pic:pic>
              </a:graphicData>
            </a:graphic>
          </wp:inline>
        </w:drawing>
      </w:r>
    </w:p>
    <w:p w14:paraId="6624F315" w14:textId="77777777" w:rsidR="00830401" w:rsidRPr="00BF141D" w:rsidRDefault="00830401" w:rsidP="00BF141D">
      <w:pPr>
        <w:spacing w:line="360" w:lineRule="auto"/>
        <w:jc w:val="both"/>
        <w:rPr>
          <w:rFonts w:eastAsia="Times New Roman"/>
          <w:b/>
          <w:sz w:val="24"/>
          <w:szCs w:val="24"/>
        </w:rPr>
      </w:pPr>
    </w:p>
    <w:p w14:paraId="328E66FD" w14:textId="77777777" w:rsidR="00830401" w:rsidRPr="00BF141D" w:rsidRDefault="00000000" w:rsidP="00BF141D">
      <w:pPr>
        <w:pStyle w:val="Heading2"/>
        <w:spacing w:line="360" w:lineRule="auto"/>
        <w:jc w:val="both"/>
        <w:rPr>
          <w:rFonts w:eastAsia="Times New Roman"/>
          <w:b/>
          <w:sz w:val="24"/>
          <w:szCs w:val="24"/>
        </w:rPr>
      </w:pPr>
      <w:bookmarkStart w:id="10" w:name="_raqwpke5fmd" w:colFirst="0" w:colLast="0"/>
      <w:bookmarkEnd w:id="10"/>
      <w:r w:rsidRPr="00BF141D">
        <w:rPr>
          <w:rFonts w:eastAsia="Times New Roman"/>
          <w:b/>
          <w:sz w:val="24"/>
          <w:szCs w:val="24"/>
        </w:rPr>
        <w:t>Appendix 6.3: The White’s test</w:t>
      </w:r>
    </w:p>
    <w:p w14:paraId="1C11C324"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59219FE0" wp14:editId="79FF3D0C">
            <wp:extent cx="3109913" cy="276252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3109913" cy="2762529"/>
                    </a:xfrm>
                    <a:prstGeom prst="rect">
                      <a:avLst/>
                    </a:prstGeom>
                    <a:ln/>
                  </pic:spPr>
                </pic:pic>
              </a:graphicData>
            </a:graphic>
          </wp:inline>
        </w:drawing>
      </w:r>
    </w:p>
    <w:p w14:paraId="7077FDA3" w14:textId="77777777" w:rsidR="00830401" w:rsidRPr="00BF141D" w:rsidRDefault="00000000" w:rsidP="00BF141D">
      <w:pPr>
        <w:spacing w:line="360" w:lineRule="auto"/>
        <w:jc w:val="both"/>
        <w:rPr>
          <w:rFonts w:eastAsia="Times New Roman"/>
          <w:b/>
          <w:sz w:val="24"/>
          <w:szCs w:val="24"/>
        </w:rPr>
      </w:pPr>
      <w:r w:rsidRPr="00BF141D">
        <w:rPr>
          <w:rFonts w:eastAsia="Times New Roman"/>
          <w:b/>
          <w:sz w:val="24"/>
          <w:szCs w:val="24"/>
        </w:rPr>
        <w:t>Appendix 6.4: Robust test</w:t>
      </w:r>
    </w:p>
    <w:p w14:paraId="464A53F2"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4FD5EC0C" wp14:editId="5CCD5768">
            <wp:extent cx="6576761" cy="2234412"/>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6576761" cy="2234412"/>
                    </a:xfrm>
                    <a:prstGeom prst="rect">
                      <a:avLst/>
                    </a:prstGeom>
                    <a:ln/>
                  </pic:spPr>
                </pic:pic>
              </a:graphicData>
            </a:graphic>
          </wp:inline>
        </w:drawing>
      </w:r>
    </w:p>
    <w:p w14:paraId="2C833CF6" w14:textId="77777777" w:rsidR="00830401" w:rsidRPr="00BF141D" w:rsidRDefault="00830401" w:rsidP="00BF141D">
      <w:pPr>
        <w:spacing w:line="360" w:lineRule="auto"/>
        <w:jc w:val="both"/>
        <w:rPr>
          <w:rFonts w:eastAsia="Times New Roman"/>
          <w:b/>
          <w:sz w:val="24"/>
          <w:szCs w:val="24"/>
        </w:rPr>
      </w:pPr>
    </w:p>
    <w:p w14:paraId="41C67F3C" w14:textId="77777777" w:rsidR="00830401" w:rsidRPr="00BF141D" w:rsidRDefault="00830401" w:rsidP="00BF141D">
      <w:pPr>
        <w:spacing w:line="360" w:lineRule="auto"/>
        <w:jc w:val="both"/>
        <w:rPr>
          <w:rFonts w:eastAsia="Times New Roman"/>
          <w:b/>
          <w:sz w:val="24"/>
          <w:szCs w:val="24"/>
        </w:rPr>
      </w:pPr>
    </w:p>
    <w:p w14:paraId="770C00C7" w14:textId="77777777" w:rsidR="00830401" w:rsidRPr="00BF141D" w:rsidRDefault="00830401" w:rsidP="00BF141D">
      <w:pPr>
        <w:spacing w:line="360" w:lineRule="auto"/>
        <w:jc w:val="both"/>
        <w:rPr>
          <w:rFonts w:eastAsia="Times New Roman"/>
          <w:b/>
          <w:sz w:val="24"/>
          <w:szCs w:val="24"/>
        </w:rPr>
      </w:pPr>
    </w:p>
    <w:p w14:paraId="2286C649" w14:textId="77777777" w:rsidR="00830401" w:rsidRPr="00BF141D" w:rsidRDefault="00000000" w:rsidP="00BF141D">
      <w:pPr>
        <w:pStyle w:val="Heading2"/>
        <w:spacing w:line="360" w:lineRule="auto"/>
        <w:jc w:val="both"/>
        <w:rPr>
          <w:rFonts w:eastAsia="Times New Roman"/>
          <w:b/>
          <w:sz w:val="24"/>
          <w:szCs w:val="24"/>
        </w:rPr>
      </w:pPr>
      <w:bookmarkStart w:id="11" w:name="_d7u9xtgt475o" w:colFirst="0" w:colLast="0"/>
      <w:bookmarkEnd w:id="11"/>
      <w:r w:rsidRPr="00BF141D">
        <w:rPr>
          <w:rFonts w:eastAsia="Times New Roman"/>
          <w:b/>
          <w:sz w:val="24"/>
          <w:szCs w:val="24"/>
        </w:rPr>
        <w:t>Appendix 7 : Durbin-Watson test</w:t>
      </w:r>
    </w:p>
    <w:p w14:paraId="277198E4" w14:textId="77777777" w:rsidR="00830401" w:rsidRPr="00BF141D" w:rsidRDefault="00000000" w:rsidP="00BF141D">
      <w:pPr>
        <w:numPr>
          <w:ilvl w:val="0"/>
          <w:numId w:val="4"/>
        </w:numPr>
        <w:spacing w:line="360" w:lineRule="auto"/>
        <w:rPr>
          <w:rFonts w:eastAsia="Times New Roman"/>
          <w:b/>
          <w:sz w:val="24"/>
          <w:szCs w:val="24"/>
        </w:rPr>
      </w:pPr>
      <w:r w:rsidRPr="00BF141D">
        <w:rPr>
          <w:rFonts w:eastAsia="Times New Roman"/>
          <w:b/>
          <w:sz w:val="24"/>
          <w:szCs w:val="24"/>
        </w:rPr>
        <w:t xml:space="preserve">Appendix 7.1 </w:t>
      </w:r>
    </w:p>
    <w:p w14:paraId="4C032969" w14:textId="77777777" w:rsidR="00830401" w:rsidRPr="00BF141D" w:rsidRDefault="00000000" w:rsidP="00BF141D">
      <w:pPr>
        <w:spacing w:line="360" w:lineRule="auto"/>
        <w:rPr>
          <w:rFonts w:eastAsia="Times New Roman"/>
          <w:sz w:val="24"/>
          <w:szCs w:val="24"/>
        </w:rPr>
      </w:pPr>
      <w:r w:rsidRPr="00BF141D">
        <w:rPr>
          <w:rFonts w:eastAsia="Times New Roman"/>
          <w:noProof/>
          <w:sz w:val="24"/>
          <w:szCs w:val="24"/>
        </w:rPr>
        <w:drawing>
          <wp:inline distT="114300" distB="114300" distL="114300" distR="114300" wp14:anchorId="4C9F22D2" wp14:editId="1007BDAA">
            <wp:extent cx="4874979" cy="3164049"/>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4874979" cy="3164049"/>
                    </a:xfrm>
                    <a:prstGeom prst="rect">
                      <a:avLst/>
                    </a:prstGeom>
                    <a:ln/>
                  </pic:spPr>
                </pic:pic>
              </a:graphicData>
            </a:graphic>
          </wp:inline>
        </w:drawing>
      </w:r>
    </w:p>
    <w:p w14:paraId="30587F08" w14:textId="77777777" w:rsidR="00830401" w:rsidRPr="00BF141D" w:rsidRDefault="00000000" w:rsidP="00BF141D">
      <w:pPr>
        <w:numPr>
          <w:ilvl w:val="0"/>
          <w:numId w:val="1"/>
        </w:numPr>
        <w:spacing w:line="360" w:lineRule="auto"/>
        <w:rPr>
          <w:rFonts w:eastAsia="Times New Roman"/>
          <w:b/>
          <w:sz w:val="24"/>
          <w:szCs w:val="24"/>
        </w:rPr>
      </w:pPr>
      <w:r w:rsidRPr="00BF141D">
        <w:rPr>
          <w:rFonts w:eastAsia="Times New Roman"/>
          <w:b/>
          <w:sz w:val="24"/>
          <w:szCs w:val="24"/>
        </w:rPr>
        <w:t>Appendix 7.2</w:t>
      </w:r>
    </w:p>
    <w:p w14:paraId="4E0E203C" w14:textId="77777777" w:rsidR="00830401" w:rsidRPr="00BF141D" w:rsidRDefault="00000000" w:rsidP="00BF141D">
      <w:pPr>
        <w:spacing w:line="360" w:lineRule="auto"/>
        <w:jc w:val="both"/>
        <w:rPr>
          <w:rFonts w:eastAsia="Times New Roman"/>
          <w:b/>
          <w:sz w:val="24"/>
          <w:szCs w:val="24"/>
        </w:rPr>
      </w:pPr>
      <w:r w:rsidRPr="00BF141D">
        <w:rPr>
          <w:rFonts w:eastAsia="Times New Roman"/>
          <w:b/>
          <w:noProof/>
          <w:sz w:val="24"/>
          <w:szCs w:val="24"/>
        </w:rPr>
        <w:drawing>
          <wp:inline distT="114300" distB="114300" distL="114300" distR="114300" wp14:anchorId="1403E167" wp14:editId="73EADA32">
            <wp:extent cx="6789418" cy="3031691"/>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6789418" cy="3031691"/>
                    </a:xfrm>
                    <a:prstGeom prst="rect">
                      <a:avLst/>
                    </a:prstGeom>
                    <a:ln/>
                  </pic:spPr>
                </pic:pic>
              </a:graphicData>
            </a:graphic>
          </wp:inline>
        </w:drawing>
      </w:r>
    </w:p>
    <w:p w14:paraId="0EF77ED5" w14:textId="77777777" w:rsidR="00830401" w:rsidRPr="00BF141D" w:rsidRDefault="00830401" w:rsidP="00BF141D">
      <w:pPr>
        <w:spacing w:line="360" w:lineRule="auto"/>
        <w:jc w:val="both"/>
        <w:rPr>
          <w:rFonts w:eastAsia="Times New Roman"/>
          <w:sz w:val="24"/>
          <w:szCs w:val="24"/>
        </w:rPr>
      </w:pPr>
    </w:p>
    <w:p w14:paraId="47C96D79" w14:textId="77777777" w:rsidR="00830401" w:rsidRPr="00BF141D" w:rsidRDefault="00830401" w:rsidP="00BF141D">
      <w:pPr>
        <w:spacing w:line="360" w:lineRule="auto"/>
        <w:jc w:val="both"/>
        <w:rPr>
          <w:rFonts w:eastAsia="Times New Roman"/>
          <w:b/>
          <w:sz w:val="24"/>
          <w:szCs w:val="24"/>
        </w:rPr>
      </w:pPr>
    </w:p>
    <w:p w14:paraId="1579885C" w14:textId="77777777" w:rsidR="00830401" w:rsidRPr="00BF141D" w:rsidRDefault="00000000" w:rsidP="00BF141D">
      <w:pPr>
        <w:pStyle w:val="Heading2"/>
        <w:spacing w:line="360" w:lineRule="auto"/>
        <w:jc w:val="both"/>
        <w:rPr>
          <w:rFonts w:eastAsia="Times New Roman"/>
          <w:b/>
          <w:sz w:val="24"/>
          <w:szCs w:val="24"/>
        </w:rPr>
      </w:pPr>
      <w:bookmarkStart w:id="12" w:name="_3z1g9rfelf14" w:colFirst="0" w:colLast="0"/>
      <w:bookmarkEnd w:id="12"/>
      <w:r w:rsidRPr="00BF141D">
        <w:rPr>
          <w:rFonts w:eastAsia="Times New Roman"/>
          <w:b/>
          <w:sz w:val="24"/>
          <w:szCs w:val="24"/>
        </w:rPr>
        <w:t>Appendix 8 : Normality</w:t>
      </w:r>
    </w:p>
    <w:p w14:paraId="7270FD3F" w14:textId="77777777" w:rsidR="00830401" w:rsidRPr="00BF141D" w:rsidRDefault="00000000" w:rsidP="00BF141D">
      <w:pPr>
        <w:spacing w:line="360" w:lineRule="auto"/>
        <w:jc w:val="both"/>
        <w:rPr>
          <w:rFonts w:eastAsia="Times New Roman"/>
          <w:b/>
          <w:sz w:val="24"/>
          <w:szCs w:val="24"/>
        </w:rPr>
      </w:pPr>
      <w:r w:rsidRPr="00BF141D">
        <w:rPr>
          <w:rFonts w:eastAsia="Times New Roman"/>
          <w:noProof/>
          <w:sz w:val="24"/>
          <w:szCs w:val="24"/>
        </w:rPr>
        <w:drawing>
          <wp:inline distT="114300" distB="114300" distL="114300" distR="114300" wp14:anchorId="13C1AFB2" wp14:editId="087DF923">
            <wp:extent cx="4967288" cy="110649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4967288" cy="1106495"/>
                    </a:xfrm>
                    <a:prstGeom prst="rect">
                      <a:avLst/>
                    </a:prstGeom>
                    <a:ln/>
                  </pic:spPr>
                </pic:pic>
              </a:graphicData>
            </a:graphic>
          </wp:inline>
        </w:drawing>
      </w:r>
    </w:p>
    <w:p w14:paraId="66AC15EF" w14:textId="7D9BE7D9" w:rsidR="00830401" w:rsidRDefault="00000000" w:rsidP="00BF141D">
      <w:pPr>
        <w:pStyle w:val="Heading2"/>
        <w:spacing w:line="360" w:lineRule="auto"/>
        <w:jc w:val="both"/>
        <w:rPr>
          <w:rFonts w:eastAsia="Times New Roman"/>
          <w:b/>
          <w:sz w:val="24"/>
          <w:szCs w:val="24"/>
        </w:rPr>
      </w:pPr>
      <w:bookmarkStart w:id="13" w:name="_61iuy0qw6g5s" w:colFirst="0" w:colLast="0"/>
      <w:bookmarkEnd w:id="13"/>
      <w:r w:rsidRPr="00BF141D">
        <w:rPr>
          <w:rFonts w:eastAsia="Times New Roman"/>
          <w:b/>
          <w:sz w:val="24"/>
          <w:szCs w:val="24"/>
        </w:rPr>
        <w:lastRenderedPageBreak/>
        <w:t>Appendix</w:t>
      </w:r>
      <w:r w:rsidR="00EF1B9E">
        <w:rPr>
          <w:rFonts w:eastAsia="Times New Roman"/>
          <w:b/>
          <w:sz w:val="24"/>
          <w:szCs w:val="24"/>
        </w:rPr>
        <w:t xml:space="preserve"> 9:</w:t>
      </w:r>
      <w:r w:rsidRPr="00BF141D">
        <w:rPr>
          <w:rFonts w:eastAsia="Times New Roman"/>
          <w:b/>
          <w:sz w:val="24"/>
          <w:szCs w:val="24"/>
        </w:rPr>
        <w:t xml:space="preserve">  Augmented Dickey-Fuller test </w:t>
      </w:r>
    </w:p>
    <w:p w14:paraId="7880C0C0" w14:textId="7E6F6BB9" w:rsidR="00EF1B9E" w:rsidRDefault="00EF1B9E" w:rsidP="00EF1B9E">
      <w:r w:rsidRPr="00C2415D">
        <w:rPr>
          <w:noProof/>
        </w:rPr>
        <w:drawing>
          <wp:inline distT="0" distB="0" distL="0" distR="0" wp14:anchorId="1384A0A8" wp14:editId="2F4C26DE">
            <wp:extent cx="4633329" cy="7608711"/>
            <wp:effectExtent l="0" t="0" r="0" b="0"/>
            <wp:docPr id="12976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0704" name=""/>
                    <pic:cNvPicPr/>
                  </pic:nvPicPr>
                  <pic:blipFill>
                    <a:blip r:embed="rId50"/>
                    <a:stretch>
                      <a:fillRect/>
                    </a:stretch>
                  </pic:blipFill>
                  <pic:spPr>
                    <a:xfrm>
                      <a:off x="0" y="0"/>
                      <a:ext cx="4633329" cy="7608711"/>
                    </a:xfrm>
                    <a:prstGeom prst="rect">
                      <a:avLst/>
                    </a:prstGeom>
                  </pic:spPr>
                </pic:pic>
              </a:graphicData>
            </a:graphic>
          </wp:inline>
        </w:drawing>
      </w:r>
    </w:p>
    <w:p w14:paraId="3F3C125C" w14:textId="7E9929F6" w:rsidR="00EF1B9E" w:rsidRPr="00EF1B9E" w:rsidRDefault="00EF1B9E" w:rsidP="00EF1B9E">
      <w:r w:rsidRPr="00C2415D">
        <w:rPr>
          <w:noProof/>
        </w:rPr>
        <w:lastRenderedPageBreak/>
        <w:drawing>
          <wp:inline distT="0" distB="0" distL="0" distR="0" wp14:anchorId="54EBBAB3" wp14:editId="56462662">
            <wp:extent cx="5943600" cy="6296660"/>
            <wp:effectExtent l="0" t="0" r="0" b="8890"/>
            <wp:docPr id="144652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25950" name=""/>
                    <pic:cNvPicPr/>
                  </pic:nvPicPr>
                  <pic:blipFill>
                    <a:blip r:embed="rId51"/>
                    <a:stretch>
                      <a:fillRect/>
                    </a:stretch>
                  </pic:blipFill>
                  <pic:spPr>
                    <a:xfrm>
                      <a:off x="0" y="0"/>
                      <a:ext cx="5943600" cy="6296660"/>
                    </a:xfrm>
                    <a:prstGeom prst="rect">
                      <a:avLst/>
                    </a:prstGeom>
                  </pic:spPr>
                </pic:pic>
              </a:graphicData>
            </a:graphic>
          </wp:inline>
        </w:drawing>
      </w:r>
    </w:p>
    <w:p w14:paraId="72D26D27" w14:textId="3B19C52C" w:rsidR="00830401" w:rsidRPr="00BF141D" w:rsidRDefault="00830401" w:rsidP="00BF141D">
      <w:pPr>
        <w:spacing w:line="360" w:lineRule="auto"/>
        <w:jc w:val="both"/>
        <w:rPr>
          <w:rFonts w:eastAsia="Times New Roman"/>
          <w:b/>
          <w:sz w:val="24"/>
          <w:szCs w:val="24"/>
        </w:rPr>
      </w:pPr>
    </w:p>
    <w:p w14:paraId="00D41A67" w14:textId="55DB69C2" w:rsidR="00830401" w:rsidRDefault="00EF1B9E" w:rsidP="00BF141D">
      <w:pPr>
        <w:spacing w:line="360" w:lineRule="auto"/>
        <w:jc w:val="both"/>
        <w:rPr>
          <w:rFonts w:eastAsia="Times New Roman"/>
          <w:b/>
          <w:sz w:val="24"/>
          <w:szCs w:val="24"/>
        </w:rPr>
      </w:pPr>
      <w:bookmarkStart w:id="14" w:name="_dz4q8483vq83" w:colFirst="0" w:colLast="0"/>
      <w:bookmarkEnd w:id="14"/>
      <w:r>
        <w:rPr>
          <w:rFonts w:eastAsia="Times New Roman"/>
          <w:b/>
          <w:sz w:val="24"/>
          <w:szCs w:val="24"/>
        </w:rPr>
        <w:t xml:space="preserve">Appendix 10: </w:t>
      </w:r>
      <w:r w:rsidRPr="00EF1B9E">
        <w:rPr>
          <w:rFonts w:eastAsia="Times New Roman"/>
          <w:b/>
          <w:sz w:val="24"/>
          <w:szCs w:val="24"/>
        </w:rPr>
        <w:t>The Johansen test</w:t>
      </w:r>
    </w:p>
    <w:p w14:paraId="2266FE21" w14:textId="64300DEE" w:rsidR="00EF1B9E" w:rsidRPr="00BF141D" w:rsidRDefault="00EF1B9E" w:rsidP="00BF141D">
      <w:pPr>
        <w:spacing w:line="360" w:lineRule="auto"/>
        <w:jc w:val="both"/>
        <w:rPr>
          <w:rFonts w:eastAsia="Times New Roman"/>
          <w:b/>
          <w:sz w:val="24"/>
          <w:szCs w:val="24"/>
        </w:rPr>
      </w:pPr>
      <w:r w:rsidRPr="00C2415D">
        <w:rPr>
          <w:noProof/>
        </w:rPr>
        <w:lastRenderedPageBreak/>
        <w:drawing>
          <wp:inline distT="0" distB="0" distL="0" distR="0" wp14:anchorId="22934A6A" wp14:editId="3F7B82A9">
            <wp:extent cx="5943600" cy="2773680"/>
            <wp:effectExtent l="0" t="0" r="0" b="7620"/>
            <wp:docPr id="64562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23780" name=""/>
                    <pic:cNvPicPr/>
                  </pic:nvPicPr>
                  <pic:blipFill>
                    <a:blip r:embed="rId52"/>
                    <a:stretch>
                      <a:fillRect/>
                    </a:stretch>
                  </pic:blipFill>
                  <pic:spPr>
                    <a:xfrm>
                      <a:off x="0" y="0"/>
                      <a:ext cx="5943600" cy="2773680"/>
                    </a:xfrm>
                    <a:prstGeom prst="rect">
                      <a:avLst/>
                    </a:prstGeom>
                  </pic:spPr>
                </pic:pic>
              </a:graphicData>
            </a:graphic>
          </wp:inline>
        </w:drawing>
      </w:r>
    </w:p>
    <w:p w14:paraId="1EB49074" w14:textId="77777777" w:rsidR="00EF1B9E" w:rsidRDefault="00EF1B9E" w:rsidP="00BF141D">
      <w:pPr>
        <w:spacing w:line="360" w:lineRule="auto"/>
        <w:jc w:val="both"/>
        <w:rPr>
          <w:rFonts w:eastAsia="Times New Roman"/>
          <w:b/>
          <w:bCs/>
          <w:sz w:val="24"/>
          <w:szCs w:val="24"/>
        </w:rPr>
      </w:pPr>
    </w:p>
    <w:p w14:paraId="6405A35B" w14:textId="6AA0323F" w:rsidR="00830401" w:rsidRPr="00EF1B9E" w:rsidRDefault="00EF1B9E" w:rsidP="00BF141D">
      <w:pPr>
        <w:spacing w:line="360" w:lineRule="auto"/>
        <w:jc w:val="both"/>
        <w:rPr>
          <w:rFonts w:eastAsia="Times New Roman"/>
          <w:b/>
          <w:bCs/>
          <w:sz w:val="24"/>
          <w:szCs w:val="24"/>
        </w:rPr>
      </w:pPr>
      <w:r w:rsidRPr="00EF1B9E">
        <w:rPr>
          <w:rFonts w:eastAsia="Times New Roman"/>
          <w:b/>
          <w:bCs/>
          <w:sz w:val="24"/>
          <w:szCs w:val="24"/>
        </w:rPr>
        <w:t>Appendix 11: VECM model</w:t>
      </w:r>
    </w:p>
    <w:p w14:paraId="4758B967" w14:textId="23701EEF" w:rsidR="00830401" w:rsidRDefault="00EF1B9E" w:rsidP="00BF141D">
      <w:pPr>
        <w:spacing w:line="360" w:lineRule="auto"/>
        <w:jc w:val="both"/>
        <w:rPr>
          <w:rFonts w:eastAsia="Times New Roman"/>
          <w:sz w:val="24"/>
          <w:szCs w:val="24"/>
        </w:rPr>
      </w:pPr>
      <w:r w:rsidRPr="00EF1B9E">
        <w:rPr>
          <w:rFonts w:eastAsia="Times New Roman"/>
          <w:sz w:val="24"/>
          <w:szCs w:val="24"/>
        </w:rPr>
        <w:lastRenderedPageBreak/>
        <w:drawing>
          <wp:inline distT="0" distB="0" distL="0" distR="0" wp14:anchorId="1F5F8E45" wp14:editId="2FE19F92">
            <wp:extent cx="5282565" cy="8229600"/>
            <wp:effectExtent l="0" t="0" r="0" b="0"/>
            <wp:docPr id="127249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93472" name=""/>
                    <pic:cNvPicPr/>
                  </pic:nvPicPr>
                  <pic:blipFill>
                    <a:blip r:embed="rId53"/>
                    <a:stretch>
                      <a:fillRect/>
                    </a:stretch>
                  </pic:blipFill>
                  <pic:spPr>
                    <a:xfrm>
                      <a:off x="0" y="0"/>
                      <a:ext cx="5282565" cy="8229600"/>
                    </a:xfrm>
                    <a:prstGeom prst="rect">
                      <a:avLst/>
                    </a:prstGeom>
                  </pic:spPr>
                </pic:pic>
              </a:graphicData>
            </a:graphic>
          </wp:inline>
        </w:drawing>
      </w:r>
    </w:p>
    <w:p w14:paraId="32FFB9A0" w14:textId="2450B7F1" w:rsidR="00EF1B9E" w:rsidRPr="00BF141D" w:rsidRDefault="00EF1B9E" w:rsidP="00BF141D">
      <w:pPr>
        <w:spacing w:line="360" w:lineRule="auto"/>
        <w:jc w:val="both"/>
        <w:rPr>
          <w:rFonts w:eastAsia="Times New Roman"/>
          <w:sz w:val="24"/>
          <w:szCs w:val="24"/>
        </w:rPr>
      </w:pPr>
      <w:r w:rsidRPr="00EF1B9E">
        <w:rPr>
          <w:rFonts w:eastAsia="Times New Roman"/>
          <w:sz w:val="24"/>
          <w:szCs w:val="24"/>
        </w:rPr>
        <w:lastRenderedPageBreak/>
        <w:drawing>
          <wp:inline distT="0" distB="0" distL="0" distR="0" wp14:anchorId="5B279B20" wp14:editId="19770BB2">
            <wp:extent cx="4898390" cy="8229600"/>
            <wp:effectExtent l="0" t="0" r="0" b="0"/>
            <wp:docPr id="181982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28647" name=""/>
                    <pic:cNvPicPr/>
                  </pic:nvPicPr>
                  <pic:blipFill>
                    <a:blip r:embed="rId54"/>
                    <a:stretch>
                      <a:fillRect/>
                    </a:stretch>
                  </pic:blipFill>
                  <pic:spPr>
                    <a:xfrm>
                      <a:off x="0" y="0"/>
                      <a:ext cx="4898390" cy="8229600"/>
                    </a:xfrm>
                    <a:prstGeom prst="rect">
                      <a:avLst/>
                    </a:prstGeom>
                  </pic:spPr>
                </pic:pic>
              </a:graphicData>
            </a:graphic>
          </wp:inline>
        </w:drawing>
      </w:r>
      <w:r w:rsidRPr="00EF1B9E">
        <w:rPr>
          <w:rFonts w:eastAsia="Times New Roman"/>
          <w:sz w:val="24"/>
          <w:szCs w:val="24"/>
        </w:rPr>
        <w:lastRenderedPageBreak/>
        <w:drawing>
          <wp:inline distT="0" distB="0" distL="0" distR="0" wp14:anchorId="47AD673A" wp14:editId="19635A87">
            <wp:extent cx="5943600" cy="4342765"/>
            <wp:effectExtent l="0" t="0" r="0" b="635"/>
            <wp:docPr id="65850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2564" name=""/>
                    <pic:cNvPicPr/>
                  </pic:nvPicPr>
                  <pic:blipFill>
                    <a:blip r:embed="rId55"/>
                    <a:stretch>
                      <a:fillRect/>
                    </a:stretch>
                  </pic:blipFill>
                  <pic:spPr>
                    <a:xfrm>
                      <a:off x="0" y="0"/>
                      <a:ext cx="5943600" cy="4342765"/>
                    </a:xfrm>
                    <a:prstGeom prst="rect">
                      <a:avLst/>
                    </a:prstGeom>
                  </pic:spPr>
                </pic:pic>
              </a:graphicData>
            </a:graphic>
          </wp:inline>
        </w:drawing>
      </w:r>
    </w:p>
    <w:p w14:paraId="31CD7FC2" w14:textId="77777777" w:rsidR="00830401" w:rsidRPr="00BF141D" w:rsidRDefault="00830401" w:rsidP="00BF141D">
      <w:pPr>
        <w:spacing w:line="360" w:lineRule="auto"/>
        <w:jc w:val="both"/>
        <w:rPr>
          <w:rFonts w:eastAsia="Times New Roman"/>
          <w:b/>
          <w:sz w:val="24"/>
          <w:szCs w:val="24"/>
        </w:rPr>
      </w:pPr>
    </w:p>
    <w:p w14:paraId="33AAF910" w14:textId="77777777" w:rsidR="00830401" w:rsidRPr="00BF141D" w:rsidRDefault="00830401" w:rsidP="00BF141D">
      <w:pPr>
        <w:spacing w:line="360" w:lineRule="auto"/>
        <w:jc w:val="both"/>
        <w:rPr>
          <w:rFonts w:eastAsia="Times New Roman"/>
          <w:sz w:val="24"/>
          <w:szCs w:val="24"/>
        </w:rPr>
      </w:pPr>
    </w:p>
    <w:p w14:paraId="4121AE82" w14:textId="77777777" w:rsidR="00830401" w:rsidRPr="00BF141D" w:rsidRDefault="00830401" w:rsidP="00BF141D">
      <w:pPr>
        <w:spacing w:before="240" w:after="240" w:line="360" w:lineRule="auto"/>
        <w:jc w:val="both"/>
        <w:rPr>
          <w:rFonts w:eastAsia="Times New Roman"/>
          <w:sz w:val="24"/>
          <w:szCs w:val="24"/>
        </w:rPr>
      </w:pPr>
    </w:p>
    <w:p w14:paraId="443086F2" w14:textId="77777777" w:rsidR="00830401" w:rsidRPr="00BF141D" w:rsidRDefault="00830401" w:rsidP="00BF141D">
      <w:pPr>
        <w:spacing w:line="360" w:lineRule="auto"/>
        <w:jc w:val="both"/>
        <w:rPr>
          <w:rFonts w:eastAsia="Times New Roman"/>
          <w:sz w:val="24"/>
          <w:szCs w:val="24"/>
        </w:rPr>
      </w:pPr>
    </w:p>
    <w:sectPr w:rsidR="00830401" w:rsidRPr="00BF141D">
      <w:headerReference w:type="default" r:id="rId56"/>
      <w:foot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931E2" w14:textId="77777777" w:rsidR="004C0B1B" w:rsidRDefault="004C0B1B">
      <w:pPr>
        <w:spacing w:line="240" w:lineRule="auto"/>
      </w:pPr>
      <w:r>
        <w:separator/>
      </w:r>
    </w:p>
  </w:endnote>
  <w:endnote w:type="continuationSeparator" w:id="0">
    <w:p w14:paraId="1EFE2EE9" w14:textId="77777777" w:rsidR="004C0B1B" w:rsidRDefault="004C0B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9A0DB" w14:textId="77777777" w:rsidR="00830401" w:rsidRDefault="008304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C6079" w14:textId="77777777" w:rsidR="004C0B1B" w:rsidRDefault="004C0B1B">
      <w:pPr>
        <w:spacing w:line="240" w:lineRule="auto"/>
      </w:pPr>
      <w:r>
        <w:separator/>
      </w:r>
    </w:p>
  </w:footnote>
  <w:footnote w:type="continuationSeparator" w:id="0">
    <w:p w14:paraId="00FDAA32" w14:textId="77777777" w:rsidR="004C0B1B" w:rsidRDefault="004C0B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15483" w14:textId="77777777" w:rsidR="00830401" w:rsidRDefault="008304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65B2"/>
    <w:multiLevelType w:val="multilevel"/>
    <w:tmpl w:val="5CB640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A730B9B"/>
    <w:multiLevelType w:val="multilevel"/>
    <w:tmpl w:val="6B726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B3025"/>
    <w:multiLevelType w:val="multilevel"/>
    <w:tmpl w:val="4CEA2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93531B"/>
    <w:multiLevelType w:val="multilevel"/>
    <w:tmpl w:val="FCFAA88C"/>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24519442">
    <w:abstractNumId w:val="1"/>
  </w:num>
  <w:num w:numId="2" w16cid:durableId="1193151978">
    <w:abstractNumId w:val="3"/>
  </w:num>
  <w:num w:numId="3" w16cid:durableId="1029792821">
    <w:abstractNumId w:val="0"/>
  </w:num>
  <w:num w:numId="4" w16cid:durableId="1692100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401"/>
    <w:rsid w:val="000658FF"/>
    <w:rsid w:val="00183CA8"/>
    <w:rsid w:val="002B0E9D"/>
    <w:rsid w:val="004557E2"/>
    <w:rsid w:val="004C0B1B"/>
    <w:rsid w:val="00723ADF"/>
    <w:rsid w:val="00830401"/>
    <w:rsid w:val="00AB7D01"/>
    <w:rsid w:val="00BF141D"/>
    <w:rsid w:val="00EF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B4186D"/>
  <w15:docId w15:val="{AE7CFCFD-A477-4611-961B-D2ED2D4AB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557E2"/>
    <w:pPr>
      <w:ind w:left="720"/>
      <w:contextualSpacing/>
    </w:pPr>
  </w:style>
  <w:style w:type="character" w:styleId="Hyperlink">
    <w:name w:val="Hyperlink"/>
    <w:basedOn w:val="DefaultParagraphFont"/>
    <w:uiPriority w:val="99"/>
    <w:unhideWhenUsed/>
    <w:rsid w:val="002B0E9D"/>
    <w:rPr>
      <w:color w:val="0000FF" w:themeColor="hyperlink"/>
      <w:u w:val="single"/>
    </w:rPr>
  </w:style>
  <w:style w:type="character" w:styleId="UnresolvedMention">
    <w:name w:val="Unresolved Mention"/>
    <w:basedOn w:val="DefaultParagraphFont"/>
    <w:uiPriority w:val="99"/>
    <w:semiHidden/>
    <w:unhideWhenUsed/>
    <w:rsid w:val="002B0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694149">
      <w:bodyDiv w:val="1"/>
      <w:marLeft w:val="0"/>
      <w:marRight w:val="0"/>
      <w:marTop w:val="0"/>
      <w:marBottom w:val="0"/>
      <w:divBdr>
        <w:top w:val="none" w:sz="0" w:space="0" w:color="auto"/>
        <w:left w:val="none" w:sz="0" w:space="0" w:color="auto"/>
        <w:bottom w:val="none" w:sz="0" w:space="0" w:color="auto"/>
        <w:right w:val="none" w:sz="0" w:space="0" w:color="auto"/>
      </w:divBdr>
    </w:div>
    <w:div w:id="1816491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7/s1365100521000493" TargetMode="External"/><Relationship Id="rId18" Type="http://schemas.openxmlformats.org/officeDocument/2006/relationships/hyperlink" Target="https://databank.worldbank.org/metadataglossary/world-development-indicators/series/NY.GDS.TOTL.ZS?utm" TargetMode="External"/><Relationship Id="rId26" Type="http://schemas.openxmlformats.org/officeDocument/2006/relationships/hyperlink" Target="https://www.jstor.org/stable/1817129" TargetMode="External"/><Relationship Id="rId39" Type="http://schemas.openxmlformats.org/officeDocument/2006/relationships/image" Target="media/image15.png"/><Relationship Id="rId21" Type="http://schemas.openxmlformats.org/officeDocument/2006/relationships/hyperlink" Target="https://doi.org/10.1111/j.1468-0084.1992.tb00005.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hyperlink" Target="https://www.elibrary.imf.org/display/book/9781557752314/ch002.xml" TargetMode="External"/><Relationship Id="rId17" Type="http://schemas.openxmlformats.org/officeDocument/2006/relationships/hyperlink" Target="https://www.theglobaleconomy.com/USA/savings/" TargetMode="External"/><Relationship Id="rId25" Type="http://schemas.openxmlformats.org/officeDocument/2006/relationships/hyperlink" Target="https://www.machinelearningplus.com/time-series/augmented-dickey-fuller-test/"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conpapers.repec.org/RePEc:nbr:nberbk:frie57-1" TargetMode="External"/><Relationship Id="rId20" Type="http://schemas.openxmlformats.org/officeDocument/2006/relationships/hyperlink" Target="https://ijisr.issr-journals.org/abstract.php?article=IJISR-14-291-02" TargetMode="External"/><Relationship Id="rId29" Type="http://schemas.openxmlformats.org/officeDocument/2006/relationships/hyperlink" Target="https://documents.worldbank.org/en/publication/documents-reports/documentdetail/739011468169743467"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ooks.google.com.vn/books?hl=vi&amp;lr=&amp;id=tbMZEAAAQBAJ&amp;oi=fnd&amp;pg=PA4&amp;dq=The+U.S.+Personal+Saving+Rate1&amp;ots=b_vbTs4L_h&amp;sig=ki12kP6xneWUMPLidjM0YDMN5RE&amp;redir_esc=y#v=onepage&amp;q=The%20U.S.%20Personal%20Saving%20Rate1&amp;f=fals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conpapers.repec.org/RePEc:nbr:nberbk:frie57-1" TargetMode="External"/><Relationship Id="rId23" Type="http://schemas.openxmlformats.org/officeDocument/2006/relationships/hyperlink" Target="https://papers.ssrn.com/abstract=629158" TargetMode="External"/><Relationship Id="rId28" Type="http://schemas.openxmlformats.org/officeDocument/2006/relationships/hyperlink" Target="https://ccsenet.org/journal/index.php/ijbm/article/view/12654"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econ.berkeley.edu/sites/default/files/Jinwoo%20Hyung.pdf"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80/00036848300000062" TargetMode="External"/><Relationship Id="rId22" Type="http://schemas.openxmlformats.org/officeDocument/2006/relationships/hyperlink" Target="https://doi.org/10.1016/j.jdeveco.2006.10.002" TargetMode="External"/><Relationship Id="rId27" Type="http://schemas.openxmlformats.org/officeDocument/2006/relationships/hyperlink" Target="https://www.jstor.org/stable/1817129"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3843</Words>
  <Characters>22785</Characters>
  <Application>Microsoft Office Word</Application>
  <DocSecurity>0</DocSecurity>
  <Lines>502</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Mười</dc:creator>
  <cp:lastModifiedBy>Ngọc Mười</cp:lastModifiedBy>
  <cp:revision>2</cp:revision>
  <dcterms:created xsi:type="dcterms:W3CDTF">2025-08-03T06:05:00Z</dcterms:created>
  <dcterms:modified xsi:type="dcterms:W3CDTF">2025-08-03T06:05:00Z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d96e3d5c-da87-4914-95c2-ca28b3817042</vt:lpwstr>
  </property>
</Properties>
</file>