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RESEARCH PROPOSAL</w:t>
      </w:r>
    </w:p>
    <w:p>
      <w:pPr>
        <w:spacing w:after="200"/>
        <w:jc w:val="center"/>
      </w:pPr>
      <w:r>
        <w:rPr>
          <w:b/>
          <w:bCs/>
          <w:sz w:val="26"/>
          <w:szCs w:val="26"/>
        </w:rPr>
        <w:t xml:space="preserve">Forecasting National Electricity Demand in the United Kingdom by Settlement Period Using Machine Learning Based on Cyclical Time Features</w:t>
      </w:r>
    </w:p>
    <w:p>
      <w:pPr>
        <w:spacing w:after="400"/>
        <w:jc w:val="center"/>
      </w:pPr>
      <w:r>
        <w:rPr>
          <w:i/>
          <w:iCs/>
        </w:rPr>
        <w:t xml:space="preserve">Comparing two seasonal naive baselines (SNaive Daily, SNaive Weekly), Linear Regression, and boosted tree models Random Forest, XGBoost, LightGBM</w:t>
      </w:r>
    </w:p>
    <w:p>
      <w:pPr>
        <w:pStyle w:val="Heading1"/>
        <w:spacing w:after="160" w:before="320"/>
      </w:pPr>
      <w:r>
        <w:t xml:space="preserve">Abstract</w:t>
      </w:r>
    </w:p>
    <w:p>
      <w:pPr>
        <w:spacing w:after="200" w:line="276"/>
        <w:jc w:val="both"/>
      </w:pPr>
      <w:r>
        <w:rPr>
          <w:b w:val="false"/>
          <w:bCs w:val="false"/>
          <w:i w:val="false"/>
          <w:iCs w:val="false"/>
        </w:rPr>
        <w:t xml:space="preserve">This proposal presents a comparative study aiming to forecast the United Kingdom's national electricity demand at each 30-minute settlement period, based on a public dataset published by National Grid ESO covering the period from 2020 to 2025, comprising 105,216 observations and 21 attributes, including core electricity demand (ND, TSD, England &amp; Wales Demand), embedded renewable energy generation and capacity (wind and solar power), and international interconnector power exchange flows. The study approaches the problem by combining cyclical time features (hour of day, day of week, season, and holidays) with a set of autoregressive lag features and rolling-window statistics constructed based on preliminary ACF and PACF analysis, subsequently filtered using a Mutual Information Regression filter, in order to test the extent to which calendar patterns and short-term inertia can explain electricity demand fluctuations. Six models will be trained and compared on the same feature set and the same chronological data-splitting scheme: two seasonal naive baselines, comprising SNaive Daily, which takes the value from exactly 48 periods earlier as the forecast, and SNaive Weekly, which takes the value from exactly 336 periods earlier as the forecast, together with Linear Regression, Random Forest Regressor, XGBoost Regressor, and LightGBM Regressor. Including both seasonal naive baselines simultaneously is intended to separate two competing mechanisms governing electricity demand: SNaive Daily represents short-term weather inertia between two consecutive days, while SNaive Weekly represents the recurring social activity rhythm tied to the exact day of the week. Performance is evaluated using four metrics — MAE, RMSE, MAPE, and R² — combined with error analysis by season, by peak time windows, and by feature importance. The study's expected contribution is to clarify the extent to which machine learning models outperform the two seasonal naive baselines in the load forecasting problem, while providing a reproducible pipeline for cleaning, engineering features from, and evaluating the UK's half-hourly electricity demand data.</w:t>
      </w:r>
    </w:p>
    <w:p>
      <w:pPr>
        <w:spacing w:after="200" w:line="276"/>
        <w:jc w:val="both"/>
      </w:pPr>
      <w:r>
        <w:rPr>
          <w:b w:val="false"/>
          <w:bCs w:val="false"/>
          <w:i w:val="false"/>
          <w:iCs w:val="false"/>
        </w:rPr>
        <w:t xml:space="preserve">Keywords: electricity demand forecasting; National Grid ESO; Seasonal Naive; cyclical time features; Random Forest; XGBoost; LightGBM; machine learning; short-term load.</w:t>
      </w:r>
    </w:p>
    <w:p>
      <w:pPr>
        <w:pStyle w:val="Heading1"/>
        <w:spacing w:after="160" w:before="320"/>
      </w:pPr>
      <w:r>
        <w:t xml:space="preserve">1. Introduction</w:t>
      </w:r>
    </w:p>
    <w:p>
      <w:pPr>
        <w:pStyle w:val="Heading2"/>
        <w:spacing w:after="120" w:before="260"/>
      </w:pPr>
      <w:r>
        <w:t xml:space="preserve">1.1. Background</w:t>
      </w:r>
    </w:p>
    <w:p>
      <w:pPr>
        <w:spacing w:after="200" w:line="276"/>
        <w:jc w:val="both"/>
      </w:pPr>
      <w:r>
        <w:rPr>
          <w:b w:val="false"/>
          <w:bCs w:val="false"/>
          <w:i w:val="false"/>
          <w:iCs w:val="false"/>
        </w:rPr>
        <w:t xml:space="preserve">National electricity demand is a strongly cyclical time series, simultaneously influenced by daily activity rhythms, the structure of the working week, the rotation of seasons, and holidays. In the United Kingdom, the electricity system operator National Grid ESO publicly publishes demand data for each 30-minute settlement period, together with distributed renewable energy output (wind and solar power embedded in the distribution grid) and power exchange flows across international interconnectors (IFA, BritNed, Moyle, Nemo, NSL, ElecLink, Viking, Greenlink). Accurate demand forecasting at half-hourly granularity plays a direct role in operational planning, real-time supply-demand balancing, and the effective integration of intermittent renewable energy sources.</w:t>
      </w:r>
    </w:p>
    <w:p>
      <w:pPr>
        <w:spacing w:after="200" w:line="276"/>
        <w:jc w:val="both"/>
      </w:pPr>
      <w:r>
        <w:rPr>
          <w:b w:val="false"/>
          <w:bCs w:val="false"/>
          <w:i w:val="false"/>
          <w:iCs w:val="false"/>
        </w:rPr>
        <w:t xml:space="preserve">Unlike autoregressive time-series forecasting approaches that use lags of the target variable itself, a parallel and complementary approach is feature-based forecasting using cyclical time features: treating each settlement period as an independent observation described by identifying and cyclical attributes of that point in time (hour, day of week, season, holiday). This approach allows tree-based and regression machine learning models to directly learn the calendar patterns governing demand, while being more interpretable and easier to deploy than deep time-series models.</w:t>
      </w:r>
    </w:p>
    <w:p>
      <w:pPr>
        <w:pStyle w:val="Heading2"/>
        <w:spacing w:after="120" w:before="260"/>
      </w:pPr>
      <w:r>
        <w:t xml:space="preserve">1.2. Problem statement</w:t>
      </w:r>
    </w:p>
    <w:p>
      <w:pPr>
        <w:spacing w:after="200" w:line="276"/>
        <w:jc w:val="both"/>
      </w:pPr>
      <w:r>
        <w:rPr>
          <w:b w:val="false"/>
          <w:bCs w:val="false"/>
          <w:i w:val="false"/>
          <w:iCs w:val="false"/>
        </w:rPr>
        <w:t xml:space="preserve">The National Grid ESO ND/TSD dataset only contains power output data by settlement period, interconnector flows, and embedded renewable generation; the data does not include direct meteorological variables (temperature, radiation), and these can only be inferred indirectly through the season variable and through embedded solar or wind power output. The central question is the extent to which machine learning models — ranging from the two seasonal naive baselines and linear regression to nonlinear boosted tree models — can accurately forecast national electricity demand based on cyclical time features, a statistically-grounded (rather than arbitrarily chosen) set of autoregressive lag features, and readily available embedded renewable energy variables, without relying on external meteorological data. A secondary but operationally valuable question is determining whether short-term daily weather inertia or weekly social activity rhythm plays the larger role in the error of the naive baselines, which in turn indirectly indicates which feature group the machine learning models need to exploit better in order to outperform the corresponding baseline.</w:t>
      </w:r>
    </w:p>
    <w:p>
      <w:pPr>
        <w:pStyle w:val="Heading2"/>
        <w:spacing w:after="120" w:before="260"/>
      </w:pPr>
      <w:r>
        <w:t xml:space="preserve">1.3. General objective</w:t>
      </w:r>
    </w:p>
    <w:p>
      <w:pPr>
        <w:spacing w:after="200" w:line="276"/>
        <w:jc w:val="both"/>
      </w:pPr>
      <w:r>
        <w:rPr>
          <w:b w:val="false"/>
          <w:bCs w:val="false"/>
          <w:i w:val="false"/>
          <w:iCs w:val="false"/>
        </w:rPr>
        <w:t xml:space="preserve">To build and evaluate a reproducible machine learning pipeline for forecasting UK national electricity demand by settlement period, based on cyclical time features and embedded renewable energy data, while objectively comparing the performance of the baseline models, the linear model, and the boosted tree models.</w:t>
      </w:r>
    </w:p>
    <w:p>
      <w:pPr>
        <w:pStyle w:val="Heading2"/>
        <w:spacing w:after="120" w:before="260"/>
      </w:pPr>
      <w:r>
        <w:t xml:space="preserve">1.4. Specific objectives</w:t>
      </w:r>
    </w:p>
    <w:p>
      <w:pPr>
        <w:spacing w:after="160" w:line="276"/>
        <w:jc w:val="both"/>
      </w:pPr>
      <w:r>
        <w:t xml:space="preserve">1. Build a reproducible data consolidation and cleaning pipeline for the six data files spanning 2020 to 2025, transparently handling date-format inconsistencies and the structural missingness of the SCOTTISH_TRANSFER attribute.</w:t>
      </w:r>
    </w:p>
    <w:p>
      <w:pPr>
        <w:spacing w:after="160" w:line="276"/>
        <w:jc w:val="both"/>
      </w:pPr>
      <w:r>
        <w:t xml:space="preserve">2. Design a set of cyclical time features (hour, day of week, season, holiday) using sine and cosine transforms, a set of autoregressive lag features at seven lags (1, 2, 12, 24, 36, 48, and 336 periods) applied simultaneously to three target series ND, TSD, and ENGLAND_WALES_DEMAND, together with rolling mean and standard deviation statistics over three windows (8, 24, and 48 periods), then filter the entire candidate feature set using a mutual information filter.</w:t>
      </w:r>
    </w:p>
    <w:p>
      <w:pPr>
        <w:spacing w:after="160" w:line="276"/>
        <w:jc w:val="both"/>
      </w:pPr>
      <w:r>
        <w:t xml:space="preserve">3. Compute the two seasonal naive baselines, SNaive Daily and SNaive Weekly, and train and tune four machine learning models: Linear Regression, Random Forest Regressor, XGBoost Regressor, and LightGBM Regressor on the same feature set.</w:t>
      </w:r>
    </w:p>
    <w:p>
      <w:pPr>
        <w:spacing w:after="160" w:line="276"/>
        <w:jc w:val="both"/>
      </w:pPr>
      <w:r>
        <w:t xml:space="preserve">4. Compare model performance using MAE, RMSE, MAPE, and R², both overall and broken down by time segment (season, peak and off-peak time windows, holidays and weekdays).</w:t>
      </w:r>
    </w:p>
    <w:p>
      <w:pPr>
        <w:spacing w:after="160" w:line="276"/>
        <w:jc w:val="both"/>
      </w:pPr>
      <w:r>
        <w:t xml:space="preserve">5. Analyze feature importance to identify the calendar and renewable-energy factors with the greatest influence on electricity demand.</w:t>
      </w:r>
    </w:p>
    <w:p>
      <w:pPr>
        <w:pStyle w:val="Heading2"/>
        <w:spacing w:after="120" w:before="260"/>
      </w:pPr>
      <w:r>
        <w:t xml:space="preserve">1.5. Research questions and hypotheses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4500"/>
      </w:tblGrid>
      <w:tr>
        <w:trPr>
          <w:tblHeader/>
        </w:trPr>
        <w:tc>
          <w:tcPr>
            <w:tcW w:type="dxa" w:w="1000"/>
            <w:shd w:fill="D9E2F3" w:color="auto" w:val="clear"/>
            <w:tcMar>
              <w:top w:type="dxa" w:w="100"/>
              <w:left w:type="dxa" w:w="100"/>
              <w:bottom w:type="dxa" w:w="100"/>
              <w:right w:type="dxa" w:w="100"/>
            </w:tcMar>
          </w:tcPr>
          <w:p>
            <w:pPr>
              <w:spacing w:after="0" w:line="264"/>
            </w:pPr>
            <w:r>
              <w:rPr>
                <w:b/>
                <w:bCs/>
              </w:rPr>
              <w:t xml:space="preserve">Code</w:t>
            </w:r>
          </w:p>
        </w:tc>
        <w:tc>
          <w:tcPr>
            <w:tcW w:type="dxa" w:w="4500"/>
            <w:shd w:fill="D9E2F3" w:color="auto" w:val="clear"/>
            <w:tcMar>
              <w:top w:type="dxa" w:w="100"/>
              <w:left w:type="dxa" w:w="100"/>
              <w:bottom w:type="dxa" w:w="100"/>
              <w:right w:type="dxa" w:w="100"/>
            </w:tcMar>
          </w:tcPr>
          <w:p>
            <w:pPr>
              <w:spacing w:after="0" w:line="264"/>
            </w:pPr>
            <w:r>
              <w:rPr>
                <w:b/>
                <w:bCs/>
              </w:rPr>
              <w:t xml:space="preserve">Research Question</w:t>
            </w:r>
          </w:p>
        </w:tc>
        <w:tc>
          <w:tcPr>
            <w:tcW w:type="dxa" w:w="4500"/>
            <w:shd w:fill="D9E2F3" w:color="auto" w:val="clear"/>
            <w:tcMar>
              <w:top w:type="dxa" w:w="100"/>
              <w:left w:type="dxa" w:w="100"/>
              <w:bottom w:type="dxa" w:w="100"/>
              <w:right w:type="dxa" w:w="100"/>
            </w:tcMar>
          </w:tcPr>
          <w:p>
            <w:pPr>
              <w:spacing w:after="0" w:line="264"/>
            </w:pPr>
            <w:r>
              <w:rPr>
                <w:b/>
                <w:bCs/>
              </w:rPr>
              <w:t xml:space="preserve">Hypothesis</w:t>
            </w:r>
          </w:p>
        </w:tc>
      </w:tr>
      <w:tr>
        <w:tc>
          <w:tcPr>
            <w:tcW w:type="dxa" w:w="1000"/>
            <w:tcMar>
              <w:top w:type="dxa" w:w="100"/>
              <w:left w:type="dxa" w:w="100"/>
              <w:bottom w:type="dxa" w:w="100"/>
              <w:right w:type="dxa" w:w="100"/>
            </w:tcMar>
          </w:tcPr>
          <w:p>
            <w:pPr>
              <w:spacing w:after="0" w:line="264"/>
            </w:pPr>
            <w:r>
              <w:rPr>
                <w:b w:val="false"/>
                <w:bCs w:val="false"/>
              </w:rPr>
              <w:t xml:space="preserve">RQ1a</w:t>
            </w:r>
          </w:p>
        </w:tc>
        <w:tc>
          <w:tcPr>
            <w:tcW w:type="dxa" w:w="4500"/>
            <w:tcMar>
              <w:top w:type="dxa" w:w="100"/>
              <w:left w:type="dxa" w:w="100"/>
              <w:bottom w:type="dxa" w:w="100"/>
              <w:right w:type="dxa" w:w="100"/>
            </w:tcMar>
          </w:tcPr>
          <w:p>
            <w:pPr>
              <w:spacing w:after="0" w:line="264"/>
            </w:pPr>
            <w:r>
              <w:rPr>
                <w:b w:val="false"/>
                <w:bCs w:val="false"/>
              </w:rPr>
              <w:t xml:space="preserve">Between the two seasonal naive baselines, which produces lower error when forecasting national electricity demand — SNaive Daily or SNaive Weekly?</w:t>
            </w:r>
          </w:p>
        </w:tc>
        <w:tc>
          <w:tcPr>
            <w:tcW w:type="dxa" w:w="4500"/>
            <w:tcMar>
              <w:top w:type="dxa" w:w="100"/>
              <w:left w:type="dxa" w:w="100"/>
              <w:bottom w:type="dxa" w:w="100"/>
              <w:right w:type="dxa" w:w="100"/>
            </w:tcMar>
          </w:tcPr>
          <w:p>
            <w:pPr>
              <w:spacing w:after="0" w:line="264"/>
            </w:pPr>
            <w:r>
              <w:rPr>
                <w:b w:val="false"/>
                <w:bCs w:val="false"/>
              </w:rPr>
              <w:t xml:space="preserve">H1a: SNaive Daily achieves a lower MAE than SNaive Weekly across most working-day time windows, because weather inertia between two consecutive days is stronger than a one-week gap, except at weekend transition points and holidays, where SNaive Weekly has an advantage by matching the correct day type of the week.</w:t>
            </w:r>
          </w:p>
        </w:tc>
      </w:tr>
      <w:tr>
        <w:tc>
          <w:tcPr>
            <w:tcW w:type="dxa" w:w="1000"/>
            <w:tcMar>
              <w:top w:type="dxa" w:w="100"/>
              <w:left w:type="dxa" w:w="100"/>
              <w:bottom w:type="dxa" w:w="100"/>
              <w:right w:type="dxa" w:w="100"/>
            </w:tcMar>
          </w:tcPr>
          <w:p>
            <w:pPr>
              <w:spacing w:after="0" w:line="264"/>
            </w:pPr>
            <w:r>
              <w:rPr>
                <w:b w:val="false"/>
                <w:bCs w:val="false"/>
              </w:rPr>
              <w:t xml:space="preserve">RQ1b</w:t>
            </w:r>
          </w:p>
        </w:tc>
        <w:tc>
          <w:tcPr>
            <w:tcW w:type="dxa" w:w="4500"/>
            <w:tcMar>
              <w:top w:type="dxa" w:w="100"/>
              <w:left w:type="dxa" w:w="100"/>
              <w:bottom w:type="dxa" w:w="100"/>
              <w:right w:type="dxa" w:w="100"/>
            </w:tcMar>
          </w:tcPr>
          <w:p>
            <w:pPr>
              <w:spacing w:after="0" w:line="264"/>
            </w:pPr>
            <w:r>
              <w:rPr>
                <w:b w:val="false"/>
                <w:bCs w:val="false"/>
              </w:rPr>
              <w:t xml:space="preserve">Do machine learning models (Linear Regression, Random Forest, XGBoost, LightGBM) outperform both seasonal naive baselines when forecasting electricity demand?</w:t>
            </w:r>
          </w:p>
        </w:tc>
        <w:tc>
          <w:tcPr>
            <w:tcW w:type="dxa" w:w="4500"/>
            <w:tcMar>
              <w:top w:type="dxa" w:w="100"/>
              <w:left w:type="dxa" w:w="100"/>
              <w:bottom w:type="dxa" w:w="100"/>
              <w:right w:type="dxa" w:w="100"/>
            </w:tcMar>
          </w:tcPr>
          <w:p>
            <w:pPr>
              <w:spacing w:after="0" w:line="264"/>
            </w:pPr>
            <w:r>
              <w:rPr>
                <w:b w:val="false"/>
                <w:bCs w:val="false"/>
              </w:rPr>
              <w:t xml:space="preserve">H1b: The MAE and RMSE of Random Forest, XGBoost, and LightGBM are significantly lower than those of SNaive Daily, SNaive Weekly, and Linear Regression on the test set, because tree-based models can simultaneously combine autoregressive lag information and calendar features that each naive baseline exploits only individually.</w:t>
            </w:r>
          </w:p>
        </w:tc>
      </w:tr>
      <w:tr>
        <w:tc>
          <w:tcPr>
            <w:tcW w:type="dxa" w:w="1000"/>
            <w:tcMar>
              <w:top w:type="dxa" w:w="100"/>
              <w:left w:type="dxa" w:w="100"/>
              <w:bottom w:type="dxa" w:w="100"/>
              <w:right w:type="dxa" w:w="100"/>
            </w:tcMar>
          </w:tcPr>
          <w:p>
            <w:pPr>
              <w:spacing w:after="0" w:line="264"/>
            </w:pPr>
            <w:r>
              <w:rPr>
                <w:b w:val="false"/>
                <w:bCs w:val="false"/>
              </w:rPr>
              <w:t xml:space="preserve">RQ2</w:t>
            </w:r>
          </w:p>
        </w:tc>
        <w:tc>
          <w:tcPr>
            <w:tcW w:type="dxa" w:w="4500"/>
            <w:tcMar>
              <w:top w:type="dxa" w:w="100"/>
              <w:left w:type="dxa" w:w="100"/>
              <w:bottom w:type="dxa" w:w="100"/>
              <w:right w:type="dxa" w:w="100"/>
            </w:tcMar>
          </w:tcPr>
          <w:p>
            <w:pPr>
              <w:spacing w:after="0" w:line="264"/>
            </w:pPr>
            <w:r>
              <w:rPr>
                <w:b w:val="false"/>
                <w:bCs w:val="false"/>
              </w:rPr>
              <w:t xml:space="preserve">How much do cyclical time features (hour, day of week, season) contribute to forecast accuracy relative to the other features?</w:t>
            </w:r>
          </w:p>
        </w:tc>
        <w:tc>
          <w:tcPr>
            <w:tcW w:type="dxa" w:w="4500"/>
            <w:tcMar>
              <w:top w:type="dxa" w:w="100"/>
              <w:left w:type="dxa" w:w="100"/>
              <w:bottom w:type="dxa" w:w="100"/>
              <w:right w:type="dxa" w:w="100"/>
            </w:tcMar>
          </w:tcPr>
          <w:p>
            <w:pPr>
              <w:spacing w:after="0" w:line="264"/>
            </w:pPr>
            <w:r>
              <w:rPr>
                <w:b w:val="false"/>
                <w:bCs w:val="false"/>
              </w:rPr>
              <w:t xml:space="preserve">H2: Removing the hour-of-day cyclical features (PERIOD_SIN/COS) increases MAE more than removing any other feature group.</w:t>
            </w:r>
          </w:p>
        </w:tc>
      </w:tr>
      <w:tr>
        <w:tc>
          <w:tcPr>
            <w:tcW w:type="dxa" w:w="1000"/>
            <w:tcMar>
              <w:top w:type="dxa" w:w="100"/>
              <w:left w:type="dxa" w:w="100"/>
              <w:bottom w:type="dxa" w:w="100"/>
              <w:right w:type="dxa" w:w="100"/>
            </w:tcMar>
          </w:tcPr>
          <w:p>
            <w:pPr>
              <w:spacing w:after="0" w:line="264"/>
            </w:pPr>
            <w:r>
              <w:rPr>
                <w:b w:val="false"/>
                <w:bCs w:val="false"/>
              </w:rPr>
              <w:t xml:space="preserve">RQ3</w:t>
            </w:r>
          </w:p>
        </w:tc>
        <w:tc>
          <w:tcPr>
            <w:tcW w:type="dxa" w:w="4500"/>
            <w:tcMar>
              <w:top w:type="dxa" w:w="100"/>
              <w:left w:type="dxa" w:w="100"/>
              <w:bottom w:type="dxa" w:w="100"/>
              <w:right w:type="dxa" w:w="100"/>
            </w:tcMar>
          </w:tcPr>
          <w:p>
            <w:pPr>
              <w:spacing w:after="0" w:line="264"/>
            </w:pPr>
            <w:r>
              <w:rPr>
                <w:b w:val="false"/>
                <w:bCs w:val="false"/>
              </w:rPr>
              <w:t xml:space="preserve">Does electricity demand differ systematically across seasons and between weekdays, weekends, and holidays, and do the models capture this difference?</w:t>
            </w:r>
          </w:p>
        </w:tc>
        <w:tc>
          <w:tcPr>
            <w:tcW w:type="dxa" w:w="4500"/>
            <w:tcMar>
              <w:top w:type="dxa" w:w="100"/>
              <w:left w:type="dxa" w:w="100"/>
              <w:bottom w:type="dxa" w:w="100"/>
              <w:right w:type="dxa" w:w="100"/>
            </w:tcMar>
          </w:tcPr>
          <w:p>
            <w:pPr>
              <w:spacing w:after="0" w:line="264"/>
            </w:pPr>
            <w:r>
              <w:rPr>
                <w:b w:val="false"/>
                <w:bCs w:val="false"/>
              </w:rPr>
              <w:t xml:space="preserve">H3: Demand in winter and summer is higher than in spring and autumn; weekends and holidays have lower demand than weekdays, and tree-based models capture this interaction better than linear regression.</w:t>
            </w:r>
          </w:p>
        </w:tc>
      </w:tr>
      <w:tr>
        <w:tc>
          <w:tcPr>
            <w:tcW w:type="dxa" w:w="1000"/>
            <w:tcMar>
              <w:top w:type="dxa" w:w="100"/>
              <w:left w:type="dxa" w:w="100"/>
              <w:bottom w:type="dxa" w:w="100"/>
              <w:right w:type="dxa" w:w="100"/>
            </w:tcMar>
          </w:tcPr>
          <w:p>
            <w:pPr>
              <w:spacing w:after="0" w:line="264"/>
            </w:pPr>
            <w:r>
              <w:rPr>
                <w:b w:val="false"/>
                <w:bCs w:val="false"/>
              </w:rPr>
              <w:t xml:space="preserve">RQ4</w:t>
            </w:r>
          </w:p>
        </w:tc>
        <w:tc>
          <w:tcPr>
            <w:tcW w:type="dxa" w:w="4500"/>
            <w:tcMar>
              <w:top w:type="dxa" w:w="100"/>
              <w:left w:type="dxa" w:w="100"/>
              <w:bottom w:type="dxa" w:w="100"/>
              <w:right w:type="dxa" w:w="100"/>
            </w:tcMar>
          </w:tcPr>
          <w:p>
            <w:pPr>
              <w:spacing w:after="0" w:line="264"/>
            </w:pPr>
            <w:r>
              <w:rPr>
                <w:b w:val="false"/>
                <w:bCs w:val="false"/>
              </w:rPr>
              <w:t xml:space="preserve">Does adding embedded renewable energy output (wind, solar) improve forecast accuracy compared to using only calendar and autoregressive lag features?</w:t>
            </w:r>
          </w:p>
        </w:tc>
        <w:tc>
          <w:tcPr>
            <w:tcW w:type="dxa" w:w="4500"/>
            <w:tcMar>
              <w:top w:type="dxa" w:w="100"/>
              <w:left w:type="dxa" w:w="100"/>
              <w:bottom w:type="dxa" w:w="100"/>
              <w:right w:type="dxa" w:w="100"/>
            </w:tcMar>
          </w:tcPr>
          <w:p>
            <w:pPr>
              <w:spacing w:after="0" w:line="264"/>
            </w:pPr>
            <w:r>
              <w:rPr>
                <w:b w:val="false"/>
                <w:bCs w:val="false"/>
              </w:rPr>
              <w:t xml:space="preserve">H4: Models that include the EMBEDDED_WIND_GENERATION and EMBEDDED_SOLAR_GENERATION feature groups achieve significantly lower MAE than models using only calendar and autoregressive lag features.</w:t>
            </w:r>
          </w:p>
        </w:tc>
      </w:tr>
      <w:tr>
        <w:tc>
          <w:tcPr>
            <w:tcW w:type="dxa" w:w="1000"/>
            <w:tcMar>
              <w:top w:type="dxa" w:w="100"/>
              <w:left w:type="dxa" w:w="100"/>
              <w:bottom w:type="dxa" w:w="100"/>
              <w:right w:type="dxa" w:w="100"/>
            </w:tcMar>
          </w:tcPr>
          <w:p>
            <w:pPr>
              <w:spacing w:after="0" w:line="264"/>
            </w:pPr>
            <w:r>
              <w:rPr>
                <w:b w:val="false"/>
                <w:bCs w:val="false"/>
              </w:rPr>
              <w:t xml:space="preserve">RQ5</w:t>
            </w:r>
          </w:p>
        </w:tc>
        <w:tc>
          <w:tcPr>
            <w:tcW w:type="dxa" w:w="4500"/>
            <w:tcMar>
              <w:top w:type="dxa" w:w="100"/>
              <w:left w:type="dxa" w:w="100"/>
              <w:bottom w:type="dxa" w:w="100"/>
              <w:right w:type="dxa" w:w="100"/>
            </w:tcMar>
          </w:tcPr>
          <w:p>
            <w:pPr>
              <w:spacing w:after="0" w:line="264"/>
            </w:pPr>
            <w:r>
              <w:rPr>
                <w:b w:val="false"/>
                <w:bCs w:val="false"/>
              </w:rPr>
              <w:t xml:space="preserve">How well do the models forecast during peak time windows (morning and evening), where demand fluctuates most?</w:t>
            </w:r>
          </w:p>
        </w:tc>
        <w:tc>
          <w:tcPr>
            <w:tcW w:type="dxa" w:w="4500"/>
            <w:tcMar>
              <w:top w:type="dxa" w:w="100"/>
              <w:left w:type="dxa" w:w="100"/>
              <w:bottom w:type="dxa" w:w="100"/>
              <w:right w:type="dxa" w:w="100"/>
            </w:tcMar>
          </w:tcPr>
          <w:p>
            <w:pPr>
              <w:spacing w:after="0" w:line="264"/>
            </w:pPr>
            <w:r>
              <w:rPr>
                <w:b w:val="false"/>
                <w:bCs w:val="false"/>
              </w:rPr>
              <w:t xml:space="preserve">H5: MAPE at peak periods is higher than the overall average MAPE for all models, with the smallest gap observed in the boosted tree models.</w:t>
            </w:r>
          </w:p>
        </w:tc>
      </w:tr>
    </w:tbl>
    <w:p>
      <w:pPr>
        <w:spacing w:after="200"/>
      </w:pPr>
    </w:p>
    <w:p>
      <w:pPr>
        <w:pStyle w:val="Heading2"/>
        <w:spacing w:after="120" w:before="260"/>
      </w:pPr>
      <w:r>
        <w:t xml:space="preserve">1.6. Scope of study</w:t>
      </w:r>
    </w:p>
    <w:p>
      <w:pPr>
        <w:spacing w:after="200" w:line="276"/>
        <w:jc w:val="both"/>
      </w:pPr>
      <w:r>
        <w:rPr>
          <w:b w:val="false"/>
          <w:bCs w:val="false"/>
          <w:i w:val="false"/>
          <w:iCs w:val="false"/>
        </w:rPr>
        <w:t xml:space="preserve">The study is limited to the national aggregate level (ND, TSD, England &amp; Wales Demand), without disaggregation by region, substation, or household. The input data includes only the attributes already available in the National Grid ESO published dataset for the period 2020 to 2025: settlement time, demand, embedded renewable energy, international interconnector power flows, and pumped storage. The study does not use direct external meteorological data (temperature, solar radiation, wind speed), and does not draw causal conclusions about the causes of demand fluctuations; the findings only reflect predictive relationships within the scope of the UK electricity system.</w:t>
      </w:r>
    </w:p>
    <w:p>
      <w:pPr>
        <w:pStyle w:val="Heading1"/>
        <w:spacing w:after="160" w:before="320"/>
      </w:pPr>
      <w:r>
        <w:t xml:space="preserve">2. Literature Review</w:t>
      </w:r>
    </w:p>
    <w:p>
      <w:pPr>
        <w:pStyle w:val="Heading2"/>
        <w:spacing w:after="120" w:before="260"/>
      </w:pPr>
      <w:r>
        <w:t xml:space="preserve">2.1. Short-term load forecasting</w:t>
      </w:r>
    </w:p>
    <w:p>
      <w:pPr>
        <w:spacing w:after="200" w:line="276"/>
        <w:jc w:val="both"/>
      </w:pPr>
      <w:r>
        <w:rPr>
          <w:b w:val="false"/>
          <w:bCs w:val="false"/>
          <w:i w:val="false"/>
          <w:iCs w:val="false"/>
        </w:rPr>
        <w:t xml:space="preserve">Short Term Load Forecasting (STLF) is a classic problem in power system operations, with forecast horizons ranging from a few periods to several days. Baseline models such as forecasting by historical average or by the value from the same period the previous week remain a mandatory benchmark due to the strong autocorrelation and seasonality of load series. Selecting an appropriate evaluation metric — particularly the distinction between percentage-based and absolute error measures — directly affects how model comparison results are interpreted.</w:t>
      </w:r>
    </w:p>
    <w:p>
      <w:pPr>
        <w:pStyle w:val="Heading2"/>
        <w:spacing w:after="120" w:before="260"/>
      </w:pPr>
      <w:r>
        <w:t xml:space="preserve">2.2. Cyclical time features in load forecasting</w:t>
      </w:r>
    </w:p>
    <w:p>
      <w:pPr>
        <w:spacing w:after="200" w:line="276"/>
        <w:jc w:val="both"/>
      </w:pPr>
      <w:r>
        <w:rPr>
          <w:b w:val="false"/>
          <w:bCs w:val="false"/>
          <w:i w:val="false"/>
          <w:iCs w:val="false"/>
        </w:rPr>
        <w:t xml:space="preserve">A common approach when complete meteorological data is unavailable is to represent cyclical categorical variables (hour of day, day of week, season) as sine and cosine transform pairs, which helps the model learn the continuous distance between adjacent points on the cyclical wheel (for example, 23:00 and 00:00) rather than treating them as two discrete, far-apart categorical values. This encoding is particularly well suited to linear and decision-tree models, which do not automatically capture cyclicality if the original variable is kept as a plain integer.</w:t>
      </w:r>
    </w:p>
    <w:p>
      <w:pPr>
        <w:pStyle w:val="Heading2"/>
        <w:spacing w:after="120" w:before="260"/>
      </w:pPr>
      <w:r>
        <w:t xml:space="preserve">2.3. Seasonal naive baseline and autoregressive lag structure</w:t>
      </w:r>
    </w:p>
    <w:p>
      <w:pPr>
        <w:spacing w:after="200" w:line="276"/>
        <w:jc w:val="both"/>
      </w:pPr>
      <w:r>
        <w:rPr>
          <w:b w:val="false"/>
          <w:bCs w:val="false"/>
          <w:i w:val="false"/>
          <w:iCs w:val="false"/>
        </w:rPr>
        <w:t xml:space="preserve">In seasonal time-series forecasting, the seasonal naive baseline, commonly called Seasonal Naive or SNaive, forecasts the current value using exactly the observed value from one seasonal cycle earlier, and has long been regarded as the mandatory minimum benchmark for any more complex model, since a model cannot demonstrate practical value unless it outperforms a simple extrapolation based on the series' repetitive structure. For half-hourly electricity demand data, two natural seasonal cycles coexist and compete for dominance: the daily cycle, corresponding to a lag of 48 settlement periods, reflecting weather inertia and repeating activity rhythms between consecutive days, and the weekly cycle, corresponding to a lag of 336 settlement periods, reflecting the social activity rhythm tied to the exact day of the week. Establishing both the SNaive Daily and SNaive Weekly baselines simultaneously, rather than a single pooled average baseline, allows the relative contribution of these two mechanisms to be quantitatively separated before evaluating more complex machine learning models. In parallel, selecting a curated set of autoregressive lag features at statistically meaningful lags, rather than including hundreds of possible lags, reduces the risk of overfitting and multicollinearity while retaining most of the series' short-term inertia information.</w:t>
      </w:r>
    </w:p>
    <w:p>
      <w:pPr>
        <w:pStyle w:val="Heading2"/>
        <w:spacing w:after="120" w:before="260"/>
      </w:pPr>
      <w:r>
        <w:t xml:space="preserve">2.4. Boosted tree models: Random Forest, XGBoost, and LightGBM</w:t>
      </w:r>
    </w:p>
    <w:p>
      <w:pPr>
        <w:spacing w:after="200" w:line="276"/>
        <w:jc w:val="both"/>
      </w:pPr>
      <w:r>
        <w:rPr>
          <w:b w:val="false"/>
          <w:bCs w:val="false"/>
          <w:i w:val="false"/>
          <w:iCs w:val="false"/>
        </w:rPr>
        <w:t xml:space="preserve">Random Forest builds many independent decision trees on bootstrap samples and random feature subsets, then averages the predictions to reduce variance. XGBoost is a regularized gradient boosting method that sequentially optimizes weak trees to reduce residual error, allowing it to capture nonlinear interactions between categorical and numerical features. LightGBM improves training efficiency through a leaf-wise tree growth strategy combined with one-sided gradient sampling, providing faster training speed on large datasets while maintaining accuracy comparable to or better than traditional boosting methods. All three model families are well suited to the tabular feature-based forecasting problem addressed in this study.</w:t>
      </w:r>
    </w:p>
    <w:p>
      <w:pPr>
        <w:pStyle w:val="Heading2"/>
        <w:spacing w:after="120" w:before="260"/>
      </w:pPr>
      <w:r>
        <w:t xml:space="preserve">2.5. Research gap</w:t>
      </w:r>
    </w:p>
    <w:p>
      <w:pPr>
        <w:spacing w:after="200" w:line="276"/>
        <w:jc w:val="both"/>
      </w:pPr>
      <w:r>
        <w:rPr>
          <w:b w:val="false"/>
          <w:bCs w:val="false"/>
          <w:i w:val="false"/>
          <w:iCs w:val="false"/>
        </w:rPr>
        <w:t xml:space="preserve">Most publicly available load forecasting studies focus on data from the United States or continental Europe at hourly resolution, while half-hourly (30-minute) UK data, with 48 settlement periods per day and its own distinct daylight-saving transition rules (46 or 50 periods on the two DST days each year), has received little attention from a systematic comparative perspective spanning seasonal naive baselines, linear models, and modern boosted tree model families. The gap this study aims to address is a quantitative evaluation, with controlled chronological data leakage, of the extent to which calendar features, a statistically-grounded selected set of autoregressive lag features, and embedded renewable energy — without external meteorological data — can outperform the SNaive Daily and SNaive Weekly baselines in explaining and forecasting UK national electricity demand.</w:t>
      </w:r>
    </w:p>
    <w:p>
      <w:pPr>
        <w:pStyle w:val="Heading1"/>
        <w:spacing w:after="160" w:before="320"/>
      </w:pPr>
      <w:r>
        <w:t xml:space="preserve">3. Methodology</w:t>
      </w:r>
    </w:p>
    <w:p>
      <w:pPr>
        <w:pStyle w:val="Heading2"/>
        <w:spacing w:after="120" w:before="260"/>
      </w:pPr>
      <w:r>
        <w:t xml:space="preserve">3.1. Study design</w:t>
      </w:r>
    </w:p>
    <w:p>
      <w:pPr>
        <w:spacing w:after="200" w:line="276"/>
        <w:jc w:val="both"/>
      </w:pPr>
      <w:r>
        <w:rPr>
          <w:b w:val="false"/>
          <w:bCs w:val="false"/>
          <w:i w:val="false"/>
          <w:iCs w:val="false"/>
        </w:rPr>
        <w:t xml:space="preserve">The study applies a quantitative comparative experimental design following the CRISP-DM framework: data ingestion and consolidation, preliminary exploration (Pre-EDA), data description and cleaning, hypothesis and feature construction, univariate, bivariate, and multivariate exploratory analysis, data preparation, feature selection, model training and tuning, and finally, interpretation of results from a power-system operations perspective. The unit of analysis is a single 30-minute settlement period; all models are trained and evaluated on the same feature set and the same data-splitting scheme to ensure a fair comparison.</w:t>
      </w:r>
    </w:p>
    <w:p>
      <w:pPr>
        <w:pStyle w:val="Heading2"/>
        <w:spacing w:after="120" w:before="260"/>
      </w:pPr>
      <w:r>
        <w:t xml:space="preserve">3.2. Dataset</w:t>
      </w:r>
    </w:p>
    <w:p>
      <w:pPr>
        <w:spacing w:after="200" w:line="276"/>
        <w:jc w:val="both"/>
      </w:pPr>
      <w:r>
        <w:rPr>
          <w:b w:val="false"/>
          <w:bCs w:val="false"/>
          <w:i w:val="false"/>
          <w:iCs w:val="false"/>
        </w:rPr>
        <w:t xml:space="preserve">The dataset comprises 6 CSV files (demanddata_2020.csv through demanddata_2025.csv) published by National Grid ESO, vertically merged into 105,216 observations and 21 attributes, spanning continuously from January 1, 2020 to December 31, 2025. The main attributes include core electricity demand (ND, i.e. National Demand; TSD, i.e. Transmission System Demand; and ENGLAND_WALES_DEMAND), embedded renewable energy output and capacity (EMBEDDED_WIND_GENERATION/CAPACITY, EMBEDDED_SOLAR_GENERATION/CAPACITY), pumped storage (PUMP_STORAGE_PUMPING, NON_BM_STOR), and 9 power exchange flows across international interconnectors. The Pre-EDA survey confirmed no negative or zero values across the three core demand columns for the entire period, indicating that the data has already passed through an operational settlement process and is highly reliable.</w:t>
      </w:r>
    </w:p>
    <w:p>
      <w:pPr>
        <w:pStyle w:val="Heading2"/>
        <w:spacing w:after="120" w:before="260"/>
      </w:pPr>
      <w:r>
        <w:t xml:space="preserve">3.3. Data cleaning</w:t>
      </w:r>
    </w:p>
    <w:p>
      <w:pPr>
        <w:pStyle w:val="ListParagraph"/>
        <w:numPr>
          <w:ilvl w:val="0"/>
          <w:numId w:val="1"/>
        </w:numPr>
        <w:spacing w:after="120" w:line="276"/>
        <w:jc w:val="both"/>
      </w:pPr>
      <w:r>
        <w:t xml:space="preserve">Schema matching across the 6 files: the SCOTTISH_TRANSFER attribute only appears from 2023 onward, creating 52,608 structurally missing values; handled by filling with 0 together with a SCOTTISH_TRANSFER_IS_IMPUTED flag to ensure traceability.</w:t>
      </w:r>
    </w:p>
    <w:p>
      <w:pPr>
        <w:pStyle w:val="ListParagraph"/>
        <w:numPr>
          <w:ilvl w:val="0"/>
          <w:numId w:val="1"/>
        </w:numPr>
        <w:spacing w:after="120" w:line="276"/>
        <w:jc w:val="both"/>
      </w:pPr>
      <w:r>
        <w:t xml:space="preserve">Standardizing inconsistent date formats across years: three different formats were identified, comprising a fully spelled-out uppercase format used for 2020, 2021, 2022, and 2024, an abbreviated lowercase format used only for 2023, and an ISO year-month-day numeric format used for 2025, handled with a separate parsing function for each source file.</w:t>
      </w:r>
    </w:p>
    <w:p>
      <w:pPr>
        <w:pStyle w:val="ListParagraph"/>
        <w:numPr>
          <w:ilvl w:val="0"/>
          <w:numId w:val="1"/>
        </w:numPr>
        <w:spacing w:after="120" w:line="276"/>
        <w:jc w:val="both"/>
      </w:pPr>
      <w:r>
        <w:t xml:space="preserve">Physical plausibility checks: confirming no negative or zero electricity demand values across ND, TSD, and ENGLAND_WALES_DEMAND.</w:t>
      </w:r>
    </w:p>
    <w:p>
      <w:pPr>
        <w:pStyle w:val="ListParagraph"/>
        <w:numPr>
          <w:ilvl w:val="0"/>
          <w:numId w:val="1"/>
        </w:numPr>
        <w:spacing w:after="120" w:line="276"/>
        <w:jc w:val="both"/>
      </w:pPr>
      <w:r>
        <w:t xml:space="preserve">Timeline checks: confirming that each year has exactly one 46-period day (spring clock change) and one 50-period day (autumn clock change), consistent with the UK Daylight Saving Time calendar; these days are separately flagged to avoid distortion when aggregating by hour.</w:t>
      </w:r>
    </w:p>
    <w:p>
      <w:pPr>
        <w:pStyle w:val="ListParagraph"/>
        <w:numPr>
          <w:ilvl w:val="0"/>
          <w:numId w:val="1"/>
        </w:numPr>
        <w:spacing w:after="120" w:line="276"/>
        <w:jc w:val="both"/>
      </w:pPr>
      <w:r>
        <w:t xml:space="preserve">Applying appropriate data type casting (integer downcasting, converting SETTLEMENT_PERIOD to a categorical variable) to optimize memory before the feature engineering step.</w:t>
      </w:r>
    </w:p>
    <w:p>
      <w:pPr>
        <w:spacing w:after="100"/>
      </w:pPr>
    </w:p>
    <w:p>
      <w:pPr>
        <w:pStyle w:val="Heading2"/>
        <w:spacing w:after="120" w:before="260"/>
      </w:pPr>
      <w:r>
        <w:t xml:space="preserve">3.4. Feature engineering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E2F3" w:color="auto" w:val="clear"/>
            <w:tcMar>
              <w:top w:type="dxa" w:w="100"/>
              <w:left w:type="dxa" w:w="100"/>
              <w:bottom w:type="dxa" w:w="100"/>
              <w:right w:type="dxa" w:w="100"/>
            </w:tcMar>
          </w:tcPr>
          <w:p>
            <w:pPr>
              <w:spacing w:after="0" w:line="264"/>
            </w:pPr>
            <w:r>
              <w:rPr>
                <w:b/>
                <w:bCs/>
              </w:rPr>
              <w:t xml:space="preserve">Feature Group</w:t>
            </w:r>
          </w:p>
        </w:tc>
        <w:tc>
          <w:tcPr>
            <w:tcW w:type="dxa" w:w="3400"/>
            <w:shd w:fill="D9E2F3" w:color="auto" w:val="clear"/>
            <w:tcMar>
              <w:top w:type="dxa" w:w="100"/>
              <w:left w:type="dxa" w:w="100"/>
              <w:bottom w:type="dxa" w:w="100"/>
              <w:right w:type="dxa" w:w="100"/>
            </w:tcMar>
          </w:tcPr>
          <w:p>
            <w:pPr>
              <w:spacing w:after="0" w:line="264"/>
            </w:pPr>
            <w:r>
              <w:rPr>
                <w:b/>
                <w:bCs/>
              </w:rPr>
              <w:t xml:space="preserve">Specific Variables</w:t>
            </w:r>
          </w:p>
        </w:tc>
        <w:tc>
          <w:tcPr>
            <w:tcW w:type="dxa" w:w="3400"/>
            <w:shd w:fill="D9E2F3" w:color="auto" w:val="clear"/>
            <w:tcMar>
              <w:top w:type="dxa" w:w="100"/>
              <w:left w:type="dxa" w:w="100"/>
              <w:bottom w:type="dxa" w:w="100"/>
              <w:right w:type="dxa" w:w="100"/>
            </w:tcMar>
          </w:tcPr>
          <w:p>
            <w:pPr>
              <w:spacing w:after="0" w:line="264"/>
            </w:pPr>
            <w:r>
              <w:rPr>
                <w:b/>
                <w:bCs/>
              </w:rPr>
              <w:t xml:space="preserve">Rationale</w:t>
            </w:r>
          </w:p>
        </w:tc>
      </w:tr>
      <w:tr>
        <w:tc>
          <w:tcPr>
            <w:tcW w:type="dxa" w:w="2200"/>
            <w:tcMar>
              <w:top w:type="dxa" w:w="100"/>
              <w:left w:type="dxa" w:w="100"/>
              <w:bottom w:type="dxa" w:w="100"/>
              <w:right w:type="dxa" w:w="100"/>
            </w:tcMar>
          </w:tcPr>
          <w:p>
            <w:pPr>
              <w:spacing w:after="0" w:line="264"/>
            </w:pPr>
            <w:r>
              <w:rPr>
                <w:b w:val="false"/>
                <w:bCs w:val="false"/>
              </w:rPr>
              <w:t xml:space="preserve">Base calendar features</w:t>
            </w:r>
          </w:p>
        </w:tc>
        <w:tc>
          <w:tcPr>
            <w:tcW w:type="dxa" w:w="3400"/>
            <w:tcMar>
              <w:top w:type="dxa" w:w="100"/>
              <w:left w:type="dxa" w:w="100"/>
              <w:bottom w:type="dxa" w:w="100"/>
              <w:right w:type="dxa" w:w="100"/>
            </w:tcMar>
          </w:tcPr>
          <w:p>
            <w:pPr>
              <w:spacing w:after="0" w:line="264"/>
            </w:pPr>
            <w:r>
              <w:rPr>
                <w:b w:val="false"/>
                <w:bCs w:val="false"/>
              </w:rPr>
              <w:t xml:space="preserve">Year, month, hour of day (derived from SETTLEMENT_PERIOD), day of week, season, UK holiday flag, weekend flag</w:t>
            </w:r>
          </w:p>
        </w:tc>
        <w:tc>
          <w:tcPr>
            <w:tcW w:type="dxa" w:w="3400"/>
            <w:tcMar>
              <w:top w:type="dxa" w:w="100"/>
              <w:left w:type="dxa" w:w="100"/>
              <w:bottom w:type="dxa" w:w="100"/>
              <w:right w:type="dxa" w:w="100"/>
            </w:tcMar>
          </w:tcPr>
          <w:p>
            <w:pPr>
              <w:spacing w:after="0" w:line="264"/>
            </w:pPr>
            <w:r>
              <w:rPr>
                <w:b w:val="false"/>
                <w:bCs w:val="false"/>
              </w:rPr>
              <w:t xml:space="preserve">Captures daily activity rhythm, the working week, and the seasonal cycle of electricity demand.</w:t>
            </w:r>
          </w:p>
        </w:tc>
      </w:tr>
      <w:tr>
        <w:tc>
          <w:tcPr>
            <w:tcW w:type="dxa" w:w="2200"/>
            <w:tcMar>
              <w:top w:type="dxa" w:w="100"/>
              <w:left w:type="dxa" w:w="100"/>
              <w:bottom w:type="dxa" w:w="100"/>
              <w:right w:type="dxa" w:w="100"/>
            </w:tcMar>
          </w:tcPr>
          <w:p>
            <w:pPr>
              <w:spacing w:after="0" w:line="264"/>
            </w:pPr>
            <w:r>
              <w:rPr>
                <w:b w:val="false"/>
                <w:bCs w:val="false"/>
              </w:rPr>
              <w:t xml:space="preserve">Cyclical encoding</w:t>
            </w:r>
          </w:p>
        </w:tc>
        <w:tc>
          <w:tcPr>
            <w:tcW w:type="dxa" w:w="3400"/>
            <w:tcMar>
              <w:top w:type="dxa" w:w="100"/>
              <w:left w:type="dxa" w:w="100"/>
              <w:bottom w:type="dxa" w:w="100"/>
              <w:right w:type="dxa" w:w="100"/>
            </w:tcMar>
          </w:tcPr>
          <w:p>
            <w:pPr>
              <w:spacing w:after="0" w:line="264"/>
            </w:pPr>
            <w:r>
              <w:rPr>
                <w:b w:val="false"/>
                <w:bCs w:val="false"/>
              </w:rPr>
              <w:t xml:space="preserve">PERIOD_SIN/COS (settlement period within the day), DOW_SIN/COS (day of week)</w:t>
            </w:r>
          </w:p>
        </w:tc>
        <w:tc>
          <w:tcPr>
            <w:tcW w:type="dxa" w:w="3400"/>
            <w:tcMar>
              <w:top w:type="dxa" w:w="100"/>
              <w:left w:type="dxa" w:w="100"/>
              <w:bottom w:type="dxa" w:w="100"/>
              <w:right w:type="dxa" w:w="100"/>
            </w:tcMar>
          </w:tcPr>
          <w:p>
            <w:pPr>
              <w:spacing w:after="0" w:line="264"/>
            </w:pPr>
            <w:r>
              <w:rPr>
                <w:b w:val="false"/>
                <w:bCs w:val="false"/>
              </w:rPr>
              <w:t xml:space="preserve">Represents the continuous distance between adjacent points on the cyclical wheel — e.g. period 48 and period 1 of the next day sit next to each other — suitable for linear and tree-based models.</w:t>
            </w:r>
          </w:p>
        </w:tc>
      </w:tr>
      <w:tr>
        <w:tc>
          <w:tcPr>
            <w:tcW w:type="dxa" w:w="2200"/>
            <w:tcMar>
              <w:top w:type="dxa" w:w="100"/>
              <w:left w:type="dxa" w:w="100"/>
              <w:bottom w:type="dxa" w:w="100"/>
              <w:right w:type="dxa" w:w="100"/>
            </w:tcMar>
          </w:tcPr>
          <w:p>
            <w:pPr>
              <w:spacing w:after="0" w:line="264"/>
            </w:pPr>
            <w:r>
              <w:rPr>
                <w:b w:val="false"/>
                <w:bCs w:val="false"/>
              </w:rPr>
              <w:t xml:space="preserve">Autoregressive lag features</w:t>
            </w:r>
          </w:p>
        </w:tc>
        <w:tc>
          <w:tcPr>
            <w:tcW w:type="dxa" w:w="3400"/>
            <w:tcMar>
              <w:top w:type="dxa" w:w="100"/>
              <w:left w:type="dxa" w:w="100"/>
              <w:bottom w:type="dxa" w:w="100"/>
              <w:right w:type="dxa" w:w="100"/>
            </w:tcMar>
          </w:tcPr>
          <w:p>
            <w:pPr>
              <w:spacing w:after="0" w:line="264"/>
            </w:pPr>
            <w:r>
              <w:rPr>
                <w:b w:val="false"/>
                <w:bCs w:val="false"/>
              </w:rPr>
              <w:t xml:space="preserve">LAG_1, LAG_2, LAG_12, LAG_24, LAG_36, LAG_48, and LAG_336, applied simultaneously to the three target series ND, TSD, and ENGLAND_WALES_DEMAND (21 lag columns)</w:t>
            </w:r>
          </w:p>
        </w:tc>
        <w:tc>
          <w:tcPr>
            <w:tcW w:type="dxa" w:w="3400"/>
            <w:tcMar>
              <w:top w:type="dxa" w:w="100"/>
              <w:left w:type="dxa" w:w="100"/>
              <w:bottom w:type="dxa" w:w="100"/>
              <w:right w:type="dxa" w:w="100"/>
            </w:tcMar>
          </w:tcPr>
          <w:p>
            <w:pPr>
              <w:spacing w:after="0" w:line="264"/>
            </w:pPr>
            <w:r>
              <w:rPr>
                <w:b w:val="false"/>
                <w:bCs w:val="false"/>
              </w:rPr>
              <w:t xml:space="preserve">Seven lags selected based on the peaks of the ACF and PACF functions observed during preliminary time-series analysis, covering very short-term, intraday medium-term, exactly one day prior, and exactly one week prior inertia. The columns ND_LAG_48 and ND_LAG_336 simultaneously serve as the exact formulas for the SNaive Daily and SNaive Weekly baselines.</w:t>
            </w:r>
          </w:p>
        </w:tc>
      </w:tr>
      <w:tr>
        <w:tc>
          <w:tcPr>
            <w:tcW w:type="dxa" w:w="2200"/>
            <w:tcMar>
              <w:top w:type="dxa" w:w="100"/>
              <w:left w:type="dxa" w:w="100"/>
              <w:bottom w:type="dxa" w:w="100"/>
              <w:right w:type="dxa" w:w="100"/>
            </w:tcMar>
          </w:tcPr>
          <w:p>
            <w:pPr>
              <w:spacing w:after="0" w:line="264"/>
            </w:pPr>
            <w:r>
              <w:rPr>
                <w:b w:val="false"/>
                <w:bCs w:val="false"/>
              </w:rPr>
              <w:t xml:space="preserve">Rolling window statistics</w:t>
            </w:r>
          </w:p>
        </w:tc>
        <w:tc>
          <w:tcPr>
            <w:tcW w:type="dxa" w:w="3400"/>
            <w:tcMar>
              <w:top w:type="dxa" w:w="100"/>
              <w:left w:type="dxa" w:w="100"/>
              <w:bottom w:type="dxa" w:w="100"/>
              <w:right w:type="dxa" w:w="100"/>
            </w:tcMar>
          </w:tcPr>
          <w:p>
            <w:pPr>
              <w:spacing w:after="0" w:line="264"/>
            </w:pPr>
            <w:r>
              <w:rPr>
                <w:b w:val="false"/>
                <w:bCs w:val="false"/>
              </w:rPr>
              <w:t xml:space="preserve">Rolling mean and standard deviation of ND over three windows of 8, 24, and 48 periods (shifted back one period), extended to a rolling mean of EMBEDDED_SOLAR_GENERATION</w:t>
            </w:r>
          </w:p>
        </w:tc>
        <w:tc>
          <w:tcPr>
            <w:tcW w:type="dxa" w:w="3400"/>
            <w:tcMar>
              <w:top w:type="dxa" w:w="100"/>
              <w:left w:type="dxa" w:w="100"/>
              <w:bottom w:type="dxa" w:w="100"/>
              <w:right w:type="dxa" w:w="100"/>
            </w:tcMar>
          </w:tcPr>
          <w:p>
            <w:pPr>
              <w:spacing w:after="0" w:line="264"/>
            </w:pPr>
            <w:r>
              <w:rPr>
                <w:b w:val="false"/>
                <w:bCs w:val="false"/>
              </w:rPr>
              <w:t xml:space="preserve">Captures the underlying trend and instantaneous fluctuation that a single lag point cannot represent. Shifting back one period before computing the rolling statistic is a mandatory step to fully eliminate data leakage.</w:t>
            </w:r>
          </w:p>
        </w:tc>
      </w:tr>
      <w:tr>
        <w:tc>
          <w:tcPr>
            <w:tcW w:type="dxa" w:w="2200"/>
            <w:tcMar>
              <w:top w:type="dxa" w:w="100"/>
              <w:left w:type="dxa" w:w="100"/>
              <w:bottom w:type="dxa" w:w="100"/>
              <w:right w:type="dxa" w:w="100"/>
            </w:tcMar>
          </w:tcPr>
          <w:p>
            <w:pPr>
              <w:spacing w:after="0" w:line="264"/>
            </w:pPr>
            <w:r>
              <w:rPr>
                <w:b w:val="false"/>
                <w:bCs w:val="false"/>
              </w:rPr>
              <w:t xml:space="preserve">Embedded renewable energy</w:t>
            </w:r>
          </w:p>
        </w:tc>
        <w:tc>
          <w:tcPr>
            <w:tcW w:type="dxa" w:w="3400"/>
            <w:tcMar>
              <w:top w:type="dxa" w:w="100"/>
              <w:left w:type="dxa" w:w="100"/>
              <w:bottom w:type="dxa" w:w="100"/>
              <w:right w:type="dxa" w:w="100"/>
            </w:tcMar>
          </w:tcPr>
          <w:p>
            <w:pPr>
              <w:spacing w:after="0" w:line="264"/>
            </w:pPr>
            <w:r>
              <w:rPr>
                <w:b w:val="false"/>
                <w:bCs w:val="false"/>
              </w:rPr>
              <w:t xml:space="preserve">EMBEDDED_WIND_GENERATION, EMBEDDED_WIND_CAPACITY, EMBEDDED_SOLAR_GENERATION, EMBEDDED_SOLAR_CAPACITY</w:t>
            </w:r>
          </w:p>
        </w:tc>
        <w:tc>
          <w:tcPr>
            <w:tcW w:type="dxa" w:w="3400"/>
            <w:tcMar>
              <w:top w:type="dxa" w:w="100"/>
              <w:left w:type="dxa" w:w="100"/>
              <w:bottom w:type="dxa" w:w="100"/>
              <w:right w:type="dxa" w:w="100"/>
            </w:tcMar>
          </w:tcPr>
          <w:p>
            <w:pPr>
              <w:spacing w:after="0" w:line="264"/>
            </w:pPr>
            <w:r>
              <w:rPr>
                <w:b w:val="false"/>
                <w:bCs w:val="false"/>
              </w:rPr>
              <w:t xml:space="preserve">Serves as an indirect proxy for weather conditions (wind, sunshine) that are not directly available in the data.</w:t>
            </w:r>
          </w:p>
        </w:tc>
      </w:tr>
      <w:tr>
        <w:tc>
          <w:tcPr>
            <w:tcW w:type="dxa" w:w="2200"/>
            <w:tcMar>
              <w:top w:type="dxa" w:w="100"/>
              <w:left w:type="dxa" w:w="100"/>
              <w:bottom w:type="dxa" w:w="100"/>
              <w:right w:type="dxa" w:w="100"/>
            </w:tcMar>
          </w:tcPr>
          <w:p>
            <w:pPr>
              <w:spacing w:after="0" w:line="264"/>
            </w:pPr>
            <w:r>
              <w:rPr>
                <w:b w:val="false"/>
                <w:bCs w:val="false"/>
              </w:rPr>
              <w:t xml:space="preserve">Interconnector flows and storage</w:t>
            </w:r>
          </w:p>
        </w:tc>
        <w:tc>
          <w:tcPr>
            <w:tcW w:type="dxa" w:w="3400"/>
            <w:tcMar>
              <w:top w:type="dxa" w:w="100"/>
              <w:left w:type="dxa" w:w="100"/>
              <w:bottom w:type="dxa" w:w="100"/>
              <w:right w:type="dxa" w:w="100"/>
            </w:tcMar>
          </w:tcPr>
          <w:p>
            <w:pPr>
              <w:spacing w:after="0" w:line="264"/>
            </w:pPr>
            <w:r>
              <w:rPr>
                <w:b w:val="false"/>
                <w:bCs w:val="false"/>
              </w:rPr>
              <w:t xml:space="preserve">IFA_FLOW, IFA2_FLOW, BRITNED_FLOW, MOYLE_FLOW, EAST_WEST_FLOW, NEMO_FLOW, NSL_FLOW, ELECLINK_FLOW, VIKING_FLOW, GREENLINK_FLOW, PUMP_STORAGE_PUMPING, NON_BM_STOR</w:t>
            </w:r>
          </w:p>
        </w:tc>
        <w:tc>
          <w:tcPr>
            <w:tcW w:type="dxa" w:w="3400"/>
            <w:tcMar>
              <w:top w:type="dxa" w:w="100"/>
              <w:left w:type="dxa" w:w="100"/>
              <w:bottom w:type="dxa" w:w="100"/>
              <w:right w:type="dxa" w:w="100"/>
            </w:tcMar>
          </w:tcPr>
          <w:p>
            <w:pPr>
              <w:spacing w:after="0" w:line="264"/>
            </w:pPr>
            <w:r>
              <w:rPr>
                <w:b w:val="false"/>
                <w:bCs w:val="false"/>
              </w:rPr>
              <w:t xml:space="preserve">Reflects the state of international power exchange and storage operation, which may correlate with the gap between domestic supply and demand.</w:t>
            </w:r>
          </w:p>
        </w:tc>
      </w:tr>
      <w:tr>
        <w:tc>
          <w:tcPr>
            <w:tcW w:type="dxa" w:w="2200"/>
            <w:tcMar>
              <w:top w:type="dxa" w:w="100"/>
              <w:left w:type="dxa" w:w="100"/>
              <w:bottom w:type="dxa" w:w="100"/>
              <w:right w:type="dxa" w:w="100"/>
            </w:tcMar>
          </w:tcPr>
          <w:p>
            <w:pPr>
              <w:spacing w:after="0" w:line="264"/>
            </w:pPr>
            <w:r>
              <w:rPr>
                <w:b w:val="false"/>
                <w:bCs w:val="false"/>
              </w:rPr>
              <w:t xml:space="preserve">Data quality and structure</w:t>
            </w:r>
          </w:p>
        </w:tc>
        <w:tc>
          <w:tcPr>
            <w:tcW w:type="dxa" w:w="3400"/>
            <w:tcMar>
              <w:top w:type="dxa" w:w="100"/>
              <w:left w:type="dxa" w:w="100"/>
              <w:bottom w:type="dxa" w:w="100"/>
              <w:right w:type="dxa" w:w="100"/>
            </w:tcMar>
          </w:tcPr>
          <w:p>
            <w:pPr>
              <w:spacing w:after="0" w:line="264"/>
            </w:pPr>
            <w:r>
              <w:rPr>
                <w:b w:val="false"/>
                <w:bCs w:val="false"/>
              </w:rPr>
              <w:t xml:space="preserve">SCOTTISH_TRANSFER, SCOTTISH_TRANSFER_IS_IMPUTED, DST day flag (46 or 50 periods)</w:t>
            </w:r>
          </w:p>
        </w:tc>
        <w:tc>
          <w:tcPr>
            <w:tcW w:type="dxa" w:w="3400"/>
            <w:tcMar>
              <w:top w:type="dxa" w:w="100"/>
              <w:left w:type="dxa" w:w="100"/>
              <w:bottom w:type="dxa" w:w="100"/>
              <w:right w:type="dxa" w:w="100"/>
            </w:tcMar>
          </w:tcPr>
          <w:p>
            <w:pPr>
              <w:spacing w:after="0" w:line="264"/>
            </w:pPr>
            <w:r>
              <w:rPr>
                <w:b w:val="false"/>
                <w:bCs w:val="false"/>
              </w:rPr>
              <w:t xml:space="preserve">Controls for the influence of imputed values and days with an irregular timeline on model results.</w:t>
            </w:r>
          </w:p>
        </w:tc>
      </w:tr>
      <w:tr>
        <w:tc>
          <w:tcPr>
            <w:tcW w:type="dxa" w:w="2200"/>
            <w:tcMar>
              <w:top w:type="dxa" w:w="100"/>
              <w:left w:type="dxa" w:w="100"/>
              <w:bottom w:type="dxa" w:w="100"/>
              <w:right w:type="dxa" w:w="100"/>
            </w:tcMar>
          </w:tcPr>
          <w:p>
            <w:pPr>
              <w:spacing w:after="0" w:line="264"/>
            </w:pPr>
            <w:r>
              <w:rPr>
                <w:b w:val="false"/>
                <w:bCs w:val="false"/>
              </w:rPr>
              <w:t xml:space="preserve">Feature selection</w:t>
            </w:r>
          </w:p>
        </w:tc>
        <w:tc>
          <w:tcPr>
            <w:tcW w:type="dxa" w:w="3400"/>
            <w:tcMar>
              <w:top w:type="dxa" w:w="100"/>
              <w:left w:type="dxa" w:w="100"/>
              <w:bottom w:type="dxa" w:w="100"/>
              <w:right w:type="dxa" w:w="100"/>
            </w:tcMar>
          </w:tcPr>
          <w:p>
            <w:pPr>
              <w:spacing w:after="0" w:line="264"/>
            </w:pPr>
            <w:r>
              <w:rPr>
                <w:b w:val="false"/>
                <w:bCs w:val="false"/>
              </w:rPr>
              <w:t xml:space="preserve">Mutual Information Regression filter applied to the entire candidate feature set, removal threshold 0.01</w:t>
            </w:r>
          </w:p>
        </w:tc>
        <w:tc>
          <w:tcPr>
            <w:tcW w:type="dxa" w:w="3400"/>
            <w:tcMar>
              <w:top w:type="dxa" w:w="100"/>
              <w:left w:type="dxa" w:w="100"/>
              <w:bottom w:type="dxa" w:w="100"/>
              <w:right w:type="dxa" w:w="100"/>
            </w:tcMar>
          </w:tcPr>
          <w:p>
            <w:pPr>
              <w:spacing w:after="0" w:line="264"/>
            </w:pPr>
            <w:r>
              <w:rPr>
                <w:b w:val="false"/>
                <w:bCs w:val="false"/>
              </w:rPr>
              <w:t xml:space="preserve">Reduces the risk of overfitting and multicollinearity caused by the sharp increase in feature dimensionality after the lag, rolling, and cyclical encoding steps, while removing the least informative features.</w:t>
            </w:r>
          </w:p>
        </w:tc>
      </w:tr>
    </w:tbl>
    <w:p>
      <w:pPr>
        <w:spacing w:after="200"/>
      </w:pPr>
    </w:p>
    <w:p>
      <w:pPr>
        <w:spacing w:after="200" w:line="276"/>
        <w:jc w:val="both"/>
      </w:pPr>
      <w:r>
        <w:rPr>
          <w:b w:val="false"/>
          <w:bCs w:val="false"/>
          <w:i w:val="false"/>
          <w:iCs w:val="false"/>
        </w:rPr>
        <w:t xml:space="preserve">After removing the first 336 rows lacking sufficient historical context for the weekly lag feature, and after mutual-information filtering, the final feature matrix uk_electricity_features.csv contains 104,880 rows and 52 columns, of which the first three columns are the target variables ND, TSD, and ENGLAND_WALES_DEMAND, and the remaining 49 columns form the validated feature set, free of any missing values.</w:t>
      </w:r>
    </w:p>
    <w:p>
      <w:pPr>
        <w:pStyle w:val="Heading2"/>
        <w:spacing w:after="120" w:before="260"/>
      </w:pPr>
      <w:r>
        <w:t xml:space="preserve">3.5. Proposed models</w:t>
      </w:r>
    </w:p>
    <w:p>
      <w:pPr>
        <w:spacing w:after="200" w:line="276"/>
        <w:jc w:val="both"/>
      </w:pPr>
      <w:r>
        <w:rPr>
          <w:b w:val="false"/>
          <w:bCs w:val="false"/>
          <w:i w:val="false"/>
          <w:iCs w:val="false"/>
        </w:rPr>
        <w:t xml:space="preserve">The study uses two independent seasonal naive baselines rather than a single pooled average baseline, in order to clearly separate two competing repeating mechanisms in the electricity demand series before comparing them against more complex machine learning models.</w:t>
      </w:r>
    </w:p>
    <w:p>
      <w:pPr>
        <w:pStyle w:val="ListParagraph"/>
        <w:numPr>
          <w:ilvl w:val="0"/>
          <w:numId w:val="1"/>
        </w:numPr>
        <w:spacing w:after="120" w:line="276"/>
        <w:jc w:val="both"/>
      </w:pPr>
      <w:r>
        <w:t xml:space="preserve">SNaive Daily, formula Ŷt = Yt−48 (baseline): forecasts demand at the current time using exactly the observed value at the same settlement period exactly one day earlier. Represents the assumption that today's electricity demand will be identical to yesterday's, capturing short-term weather inertia well.</w:t>
      </w:r>
    </w:p>
    <w:p>
      <w:pPr>
        <w:pStyle w:val="ListParagraph"/>
        <w:numPr>
          <w:ilvl w:val="0"/>
          <w:numId w:val="1"/>
        </w:numPr>
        <w:spacing w:after="120" w:line="276"/>
        <w:jc w:val="both"/>
      </w:pPr>
      <w:r>
        <w:t xml:space="preserve">SNaive Weekly, formula Ŷt = Yt−336 (baseline): forecasts demand at the current time using exactly the observed value at the same settlement period exactly seven days earlier. Represents the assumption that today's electricity demand will be identical to the same day of the previous week, capturing social activity rhythm well.</w:t>
      </w:r>
    </w:p>
    <w:p>
      <w:pPr>
        <w:pStyle w:val="ListParagraph"/>
        <w:numPr>
          <w:ilvl w:val="0"/>
          <w:numId w:val="1"/>
        </w:numPr>
        <w:spacing w:after="120" w:line="276"/>
        <w:jc w:val="both"/>
      </w:pPr>
      <w:r>
        <w:t xml:space="preserve">Linear Regression: linear regression on the full set of 49 encoded features, including autoregressive lag features, to assess the degree of linearity in the relationship between time features, short-term inertia, and electricity demand.</w:t>
      </w:r>
    </w:p>
    <w:p>
      <w:pPr>
        <w:pStyle w:val="ListParagraph"/>
        <w:numPr>
          <w:ilvl w:val="0"/>
          <w:numId w:val="1"/>
        </w:numPr>
        <w:spacing w:after="120" w:line="276"/>
        <w:jc w:val="both"/>
      </w:pPr>
      <w:r>
        <w:t xml:space="preserve">Random Forest Regressor: aggregates many decision trees on bootstrap samples to reduce variance and capture nonlinear interactions between features.</w:t>
      </w:r>
    </w:p>
    <w:p>
      <w:pPr>
        <w:pStyle w:val="ListParagraph"/>
        <w:numPr>
          <w:ilvl w:val="0"/>
          <w:numId w:val="1"/>
        </w:numPr>
        <w:spacing w:after="120" w:line="276"/>
        <w:jc w:val="both"/>
      </w:pPr>
      <w:r>
        <w:t xml:space="preserve">XGBoost Regressor: regularized gradient boosting, learning sequentially to reduce the residual error of preceding trees, supporting deep tuning through learning rate, tree depth, row and column subsampling ratios, along with an early-stopping mechanism based on the validation set.</w:t>
      </w:r>
    </w:p>
    <w:p>
      <w:pPr>
        <w:pStyle w:val="ListParagraph"/>
        <w:numPr>
          <w:ilvl w:val="0"/>
          <w:numId w:val="1"/>
        </w:numPr>
        <w:spacing w:after="120" w:line="276"/>
        <w:jc w:val="both"/>
      </w:pPr>
      <w:r>
        <w:t xml:space="preserve">LightGBM Regressor: gradient boosting with leaf-wise tree growth, optimizing training speed on the large half-hourly dataset while maintaining competitive accuracy, also using an early-stopping mechanism based on the validation set.</w:t>
      </w:r>
    </w:p>
    <w:p>
      <w:pPr>
        <w:spacing w:after="100"/>
      </w:pPr>
    </w:p>
    <w:p>
      <w:pPr>
        <w:spacing w:after="200" w:line="276"/>
        <w:jc w:val="both"/>
      </w:pPr>
      <w:r>
        <w:rPr>
          <w:b w:val="false"/>
          <w:bCs w:val="false"/>
          <w:i w:val="false"/>
          <w:iCs w:val="false"/>
        </w:rPr>
        <w:t xml:space="preserve">Since both SNaive baselines are deterministic extrapolations with no parameters to estimate, they are computed directly on the validation and test sets without a training phase, serving as two mandatory minimum floor benchmarks: any of the remaining four machine learning models that fails to outperform both of these floor benchmarks has not yet demonstrated practical value over a simple extrapolation based on the series' repetitive structure.</w:t>
      </w:r>
    </w:p>
    <w:p>
      <w:pPr>
        <w:pStyle w:val="Heading2"/>
        <w:spacing w:after="120" w:before="260"/>
      </w:pPr>
      <w:r>
        <w:t xml:space="preserve">3.6. Data splitting and leakage control</w:t>
      </w:r>
    </w:p>
    <w:p>
      <w:pPr>
        <w:spacing w:after="200" w:line="276"/>
        <w:jc w:val="both"/>
      </w:pPr>
      <w:r>
        <w:rPr>
          <w:b w:val="false"/>
          <w:bCs w:val="false"/>
          <w:i w:val="false"/>
          <w:iCs w:val="false"/>
        </w:rPr>
        <w:t xml:space="preserve">The proposed splitting scheme follows chronological order to avoid future data leakage: the period from January 2020 to December 2023, i.e. the first 4 years, is used for training; 2024 is used for validation and hyperparameter tuning, with early stopping for XGBoost and LightGBM; 2025 is locked away as the final test set, used exactly once after model tuning is complete. Normalization statistics and encoding parameters (if any) are estimated only on the training set. For stability assessment, the study uses expanding-window cross-validation with three iterations, spaced 120 days apart, performed on the combined development period covering training and validation (2020 to 2024), while the 2025 test set remains fully sealed and is opened exactly once for the final model evaluation.</w:t>
      </w:r>
    </w:p>
    <w:p>
      <w:pPr>
        <w:pStyle w:val="Heading2"/>
        <w:spacing w:after="120" w:before="260"/>
      </w:pPr>
      <w:r>
        <w:t xml:space="preserve">3.7. Training and hyperparameter tuning</w:t>
      </w:r>
    </w:p>
    <w:p>
      <w:pPr>
        <w:spacing w:after="200" w:line="276"/>
        <w:jc w:val="both"/>
      </w:pPr>
      <w:r>
        <w:rPr>
          <w:b w:val="false"/>
          <w:bCs w:val="false"/>
          <w:i w:val="false"/>
          <w:iCs w:val="false"/>
        </w:rPr>
        <w:t xml:space="preserve">SNaive Daily and SNaive Weekly have no parameters to estimate and undergo no training phase, since they are essentially a lookup of historical values at exactly lag 48 or 336, already available in the feature matrix; these two baselines are computed directly on the validation and test sets to ensure a fair comparison against the trained models. XGBoost and LightGBM are tuned using Random Search over a seven-hyperparameter space (learning rate, number of iterations, maximum depth or number of leaves, row and column subsampling ratios, and L1/L2 regularization coefficients), with a limited search budget of three combinations per model out of more than two thousand possible combinations — illustrative rather than an exhaustive search. The hyperparameter selection objective is the minimum RMSE, averaged across the cross-validation folds.</w:t>
      </w:r>
    </w:p>
    <w:p>
      <w:pPr>
        <w:pStyle w:val="Heading2"/>
        <w:spacing w:after="120" w:before="260"/>
      </w:pPr>
      <w:r>
        <w:t xml:space="preserve">3.8. Performance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E2F3" w:color="auto" w:val="clear"/>
            <w:tcMar>
              <w:top w:type="dxa" w:w="100"/>
              <w:left w:type="dxa" w:w="100"/>
              <w:bottom w:type="dxa" w:w="100"/>
              <w:right w:type="dxa" w:w="100"/>
            </w:tcMar>
          </w:tcPr>
          <w:p>
            <w:pPr>
              <w:spacing w:after="0" w:line="264"/>
            </w:pPr>
            <w:r>
              <w:rPr>
                <w:b/>
                <w:bCs/>
              </w:rPr>
              <w:t xml:space="preserve">Aspect</w:t>
            </w:r>
          </w:p>
        </w:tc>
        <w:tc>
          <w:tcPr>
            <w:tcW w:type="dxa" w:w="3400"/>
            <w:shd w:fill="D9E2F3" w:color="auto" w:val="clear"/>
            <w:tcMar>
              <w:top w:type="dxa" w:w="100"/>
              <w:left w:type="dxa" w:w="100"/>
              <w:bottom w:type="dxa" w:w="100"/>
              <w:right w:type="dxa" w:w="100"/>
            </w:tcMar>
          </w:tcPr>
          <w:p>
            <w:pPr>
              <w:spacing w:after="0" w:line="264"/>
            </w:pPr>
            <w:r>
              <w:rPr>
                <w:b/>
                <w:bCs/>
              </w:rPr>
              <w:t xml:space="preserve">Metric / Measure</w:t>
            </w:r>
          </w:p>
        </w:tc>
        <w:tc>
          <w:tcPr>
            <w:tcW w:type="dxa" w:w="3400"/>
            <w:shd w:fill="D9E2F3" w:color="auto" w:val="clear"/>
            <w:tcMar>
              <w:top w:type="dxa" w:w="100"/>
              <w:left w:type="dxa" w:w="100"/>
              <w:bottom w:type="dxa" w:w="100"/>
              <w:right w:type="dxa" w:w="100"/>
            </w:tcMar>
          </w:tcPr>
          <w:p>
            <w:pPr>
              <w:spacing w:after="0" w:line="264"/>
            </w:pPr>
            <w:r>
              <w:rPr>
                <w:b/>
                <w:bCs/>
              </w:rPr>
              <w:t xml:space="preserve">Reporting Method</w:t>
            </w:r>
          </w:p>
        </w:tc>
      </w:tr>
      <w:tr>
        <w:tc>
          <w:tcPr>
            <w:tcW w:type="dxa" w:w="2200"/>
            <w:tcMar>
              <w:top w:type="dxa" w:w="100"/>
              <w:left w:type="dxa" w:w="100"/>
              <w:bottom w:type="dxa" w:w="100"/>
              <w:right w:type="dxa" w:w="100"/>
            </w:tcMar>
          </w:tcPr>
          <w:p>
            <w:pPr>
              <w:spacing w:after="0" w:line="264"/>
            </w:pPr>
            <w:r>
              <w:rPr>
                <w:b w:val="false"/>
                <w:bCs w:val="false"/>
              </w:rPr>
              <w:t xml:space="preserve">Point forecast accuracy</w:t>
            </w:r>
          </w:p>
        </w:tc>
        <w:tc>
          <w:tcPr>
            <w:tcW w:type="dxa" w:w="3400"/>
            <w:tcMar>
              <w:top w:type="dxa" w:w="100"/>
              <w:left w:type="dxa" w:w="100"/>
              <w:bottom w:type="dxa" w:w="100"/>
              <w:right w:type="dxa" w:w="100"/>
            </w:tcMar>
          </w:tcPr>
          <w:p>
            <w:pPr>
              <w:spacing w:after="0" w:line="264"/>
            </w:pPr>
            <w:r>
              <w:rPr>
                <w:b w:val="false"/>
                <w:bCs w:val="false"/>
              </w:rPr>
              <w:t xml:space="preserve">MAE (primary), RMSE, MAPE, R²</w:t>
            </w:r>
          </w:p>
        </w:tc>
        <w:tc>
          <w:tcPr>
            <w:tcW w:type="dxa" w:w="3400"/>
            <w:tcMar>
              <w:top w:type="dxa" w:w="100"/>
              <w:left w:type="dxa" w:w="100"/>
              <w:bottom w:type="dxa" w:w="100"/>
              <w:right w:type="dxa" w:w="100"/>
            </w:tcMar>
          </w:tcPr>
          <w:p>
            <w:pPr>
              <w:spacing w:after="0" w:line="264"/>
            </w:pPr>
            <w:r>
              <w:rPr>
                <w:b w:val="false"/>
                <w:bCs w:val="false"/>
              </w:rPr>
              <w:t xml:space="preserve">Computed overall and separately for each model, with a comparative ranking table.</w:t>
            </w:r>
          </w:p>
        </w:tc>
      </w:tr>
      <w:tr>
        <w:tc>
          <w:tcPr>
            <w:tcW w:type="dxa" w:w="2200"/>
            <w:tcMar>
              <w:top w:type="dxa" w:w="100"/>
              <w:left w:type="dxa" w:w="100"/>
              <w:bottom w:type="dxa" w:w="100"/>
              <w:right w:type="dxa" w:w="100"/>
            </w:tcMar>
          </w:tcPr>
          <w:p>
            <w:pPr>
              <w:spacing w:after="0" w:line="264"/>
            </w:pPr>
            <w:r>
              <w:rPr>
                <w:b w:val="false"/>
                <w:bCs w:val="false"/>
              </w:rPr>
              <w:t xml:space="preserve">Time segmentation</w:t>
            </w:r>
          </w:p>
        </w:tc>
        <w:tc>
          <w:tcPr>
            <w:tcW w:type="dxa" w:w="3400"/>
            <w:tcMar>
              <w:top w:type="dxa" w:w="100"/>
              <w:left w:type="dxa" w:w="100"/>
              <w:bottom w:type="dxa" w:w="100"/>
              <w:right w:type="dxa" w:w="100"/>
            </w:tcMar>
          </w:tcPr>
          <w:p>
            <w:pPr>
              <w:spacing w:after="0" w:line="264"/>
            </w:pPr>
            <w:r>
              <w:rPr>
                <w:b w:val="false"/>
                <w:bCs w:val="false"/>
              </w:rPr>
              <w:t xml:space="preserve">MAE, MAPE by season, by day of week, by holiday and weekday</w:t>
            </w:r>
          </w:p>
        </w:tc>
        <w:tc>
          <w:tcPr>
            <w:tcW w:type="dxa" w:w="3400"/>
            <w:tcMar>
              <w:top w:type="dxa" w:w="100"/>
              <w:left w:type="dxa" w:w="100"/>
              <w:bottom w:type="dxa" w:w="100"/>
              <w:right w:type="dxa" w:w="100"/>
            </w:tcMar>
          </w:tcPr>
          <w:p>
            <w:pPr>
              <w:spacing w:after="0" w:line="264"/>
            </w:pPr>
            <w:r>
              <w:rPr>
                <w:b w:val="false"/>
                <w:bCs w:val="false"/>
              </w:rPr>
              <w:t xml:space="preserve">Clarifies where the model performs well or poorly across the year or week.</w:t>
            </w:r>
          </w:p>
        </w:tc>
      </w:tr>
      <w:tr>
        <w:tc>
          <w:tcPr>
            <w:tcW w:type="dxa" w:w="2200"/>
            <w:tcMar>
              <w:top w:type="dxa" w:w="100"/>
              <w:left w:type="dxa" w:w="100"/>
              <w:bottom w:type="dxa" w:w="100"/>
              <w:right w:type="dxa" w:w="100"/>
            </w:tcMar>
          </w:tcPr>
          <w:p>
            <w:pPr>
              <w:spacing w:after="0" w:line="264"/>
            </w:pPr>
            <w:r>
              <w:rPr>
                <w:b w:val="false"/>
                <w:bCs w:val="false"/>
              </w:rPr>
              <w:t xml:space="preserve">Peak demand</w:t>
            </w:r>
          </w:p>
        </w:tc>
        <w:tc>
          <w:tcPr>
            <w:tcW w:type="dxa" w:w="3400"/>
            <w:tcMar>
              <w:top w:type="dxa" w:w="100"/>
              <w:left w:type="dxa" w:w="100"/>
              <w:bottom w:type="dxa" w:w="100"/>
              <w:right w:type="dxa" w:w="100"/>
            </w:tcMar>
          </w:tcPr>
          <w:p>
            <w:pPr>
              <w:spacing w:after="0" w:line="264"/>
            </w:pPr>
            <w:r>
              <w:rPr>
                <w:b w:val="false"/>
                <w:bCs w:val="false"/>
              </w:rPr>
              <w:t xml:space="preserve">MAE, MAPE at periods within the morning and evening peak time windows</w:t>
            </w:r>
          </w:p>
        </w:tc>
        <w:tc>
          <w:tcPr>
            <w:tcW w:type="dxa" w:w="3400"/>
            <w:tcMar>
              <w:top w:type="dxa" w:w="100"/>
              <w:left w:type="dxa" w:w="100"/>
              <w:bottom w:type="dxa" w:w="100"/>
              <w:right w:type="dxa" w:w="100"/>
            </w:tcMar>
          </w:tcPr>
          <w:p>
            <w:pPr>
              <w:spacing w:after="0" w:line="264"/>
            </w:pPr>
            <w:r>
              <w:rPr>
                <w:b w:val="false"/>
                <w:bCs w:val="false"/>
              </w:rPr>
              <w:t xml:space="preserve">Tests hypothesis H5 regarding error at periods of strong fluctuation.</w:t>
            </w:r>
          </w:p>
        </w:tc>
      </w:tr>
      <w:tr>
        <w:tc>
          <w:tcPr>
            <w:tcW w:type="dxa" w:w="2200"/>
            <w:tcMar>
              <w:top w:type="dxa" w:w="100"/>
              <w:left w:type="dxa" w:w="100"/>
              <w:bottom w:type="dxa" w:w="100"/>
              <w:right w:type="dxa" w:w="100"/>
            </w:tcMar>
          </w:tcPr>
          <w:p>
            <w:pPr>
              <w:spacing w:after="0" w:line="264"/>
            </w:pPr>
            <w:r>
              <w:rPr>
                <w:b w:val="false"/>
                <w:bCs w:val="false"/>
              </w:rPr>
              <w:t xml:space="preserve">Baseline comparison</w:t>
            </w:r>
          </w:p>
        </w:tc>
        <w:tc>
          <w:tcPr>
            <w:tcW w:type="dxa" w:w="3400"/>
            <w:tcMar>
              <w:top w:type="dxa" w:w="100"/>
              <w:left w:type="dxa" w:w="100"/>
              <w:bottom w:type="dxa" w:w="100"/>
              <w:right w:type="dxa" w:w="100"/>
            </w:tcMar>
          </w:tcPr>
          <w:p>
            <w:pPr>
              <w:spacing w:after="0" w:line="264"/>
            </w:pPr>
            <w:r>
              <w:rPr>
                <w:b w:val="false"/>
                <w:bCs w:val="false"/>
              </w:rPr>
              <w:t xml:space="preserve">MAE gap between SNaive Daily and SNaive Weekly, broken down by day of week and by season</w:t>
            </w:r>
          </w:p>
        </w:tc>
        <w:tc>
          <w:tcPr>
            <w:tcW w:type="dxa" w:w="3400"/>
            <w:tcMar>
              <w:top w:type="dxa" w:w="100"/>
              <w:left w:type="dxa" w:w="100"/>
              <w:bottom w:type="dxa" w:w="100"/>
              <w:right w:type="dxa" w:w="100"/>
            </w:tcMar>
          </w:tcPr>
          <w:p>
            <w:pPr>
              <w:spacing w:after="0" w:line="264"/>
            </w:pPr>
            <w:r>
              <w:rPr>
                <w:b w:val="false"/>
                <w:bCs w:val="false"/>
              </w:rPr>
              <w:t xml:space="preserve">Tests hypothesis H1a, determining whether short-term weather inertia or weekly social rhythm dominates more strongly within each time segment.</w:t>
            </w:r>
          </w:p>
        </w:tc>
      </w:tr>
      <w:tr>
        <w:tc>
          <w:tcPr>
            <w:tcW w:type="dxa" w:w="2200"/>
            <w:tcMar>
              <w:top w:type="dxa" w:w="100"/>
              <w:left w:type="dxa" w:w="100"/>
              <w:bottom w:type="dxa" w:w="100"/>
              <w:right w:type="dxa" w:w="100"/>
            </w:tcMar>
          </w:tcPr>
          <w:p>
            <w:pPr>
              <w:spacing w:after="0" w:line="264"/>
            </w:pPr>
            <w:r>
              <w:rPr>
                <w:b w:val="false"/>
                <w:bCs w:val="false"/>
              </w:rPr>
              <w:t xml:space="preserve">Model stability</w:t>
            </w:r>
          </w:p>
        </w:tc>
        <w:tc>
          <w:tcPr>
            <w:tcW w:type="dxa" w:w="3400"/>
            <w:tcMar>
              <w:top w:type="dxa" w:w="100"/>
              <w:left w:type="dxa" w:w="100"/>
              <w:bottom w:type="dxa" w:w="100"/>
              <w:right w:type="dxa" w:w="100"/>
            </w:tcMar>
          </w:tcPr>
          <w:p>
            <w:pPr>
              <w:spacing w:after="0" w:line="264"/>
            </w:pPr>
            <w:r>
              <w:rPr>
                <w:b w:val="false"/>
                <w:bCs w:val="false"/>
              </w:rPr>
              <w:t xml:space="preserve">Expanding-window cross-validation with three iterations, standard deviation of MAE and RMSE across iterations</w:t>
            </w:r>
          </w:p>
        </w:tc>
        <w:tc>
          <w:tcPr>
            <w:tcW w:type="dxa" w:w="3400"/>
            <w:tcMar>
              <w:top w:type="dxa" w:w="100"/>
              <w:left w:type="dxa" w:w="100"/>
              <w:bottom w:type="dxa" w:w="100"/>
              <w:right w:type="dxa" w:w="100"/>
            </w:tcMar>
          </w:tcPr>
          <w:p>
            <w:pPr>
              <w:spacing w:after="0" w:line="264"/>
            </w:pPr>
            <w:r>
              <w:rPr>
                <w:b w:val="false"/>
                <w:bCs w:val="false"/>
              </w:rPr>
              <w:t xml:space="preserve">Assesses the stability of each model as the training and validation periods change.</w:t>
            </w:r>
          </w:p>
        </w:tc>
      </w:tr>
      <w:tr>
        <w:tc>
          <w:tcPr>
            <w:tcW w:type="dxa" w:w="2200"/>
            <w:tcMar>
              <w:top w:type="dxa" w:w="100"/>
              <w:left w:type="dxa" w:w="100"/>
              <w:bottom w:type="dxa" w:w="100"/>
              <w:right w:type="dxa" w:w="100"/>
            </w:tcMar>
          </w:tcPr>
          <w:p>
            <w:pPr>
              <w:spacing w:after="0" w:line="264"/>
            </w:pPr>
            <w:r>
              <w:rPr>
                <w:b w:val="false"/>
                <w:bCs w:val="false"/>
              </w:rPr>
              <w:t xml:space="preserve">Interpretation and features</w:t>
            </w:r>
          </w:p>
        </w:tc>
        <w:tc>
          <w:tcPr>
            <w:tcW w:type="dxa" w:w="3400"/>
            <w:tcMar>
              <w:top w:type="dxa" w:w="100"/>
              <w:left w:type="dxa" w:w="100"/>
              <w:bottom w:type="dxa" w:w="100"/>
              <w:right w:type="dxa" w:w="100"/>
            </w:tcMar>
          </w:tcPr>
          <w:p>
            <w:pPr>
              <w:spacing w:after="0" w:line="264"/>
            </w:pPr>
            <w:r>
              <w:rPr>
                <w:b w:val="false"/>
                <w:bCs w:val="false"/>
              </w:rPr>
              <w:t xml:space="preserve">Feature importance from Random Forest, XGBoost, LightGBM; regression coefficients from Linear Regression</w:t>
            </w:r>
          </w:p>
        </w:tc>
        <w:tc>
          <w:tcPr>
            <w:tcW w:type="dxa" w:w="3400"/>
            <w:tcMar>
              <w:top w:type="dxa" w:w="100"/>
              <w:left w:type="dxa" w:w="100"/>
              <w:bottom w:type="dxa" w:w="100"/>
              <w:right w:type="dxa" w:w="100"/>
            </w:tcMar>
          </w:tcPr>
          <w:p>
            <w:pPr>
              <w:spacing w:after="0" w:line="264"/>
            </w:pPr>
            <w:r>
              <w:rPr>
                <w:b w:val="false"/>
                <w:bCs w:val="false"/>
              </w:rPr>
              <w:t xml:space="preserve">Identifies the most influential features, addressing RQ2 and RQ4.</w:t>
            </w:r>
          </w:p>
        </w:tc>
      </w:tr>
    </w:tbl>
    <w:p>
      <w:pPr>
        <w:spacing w:after="200"/>
      </w:pPr>
    </w:p>
    <w:p>
      <w:pPr>
        <w:pStyle w:val="Heading2"/>
        <w:spacing w:after="120" w:before="260"/>
      </w:pPr>
      <w:r>
        <w:t xml:space="preserve">3.9. Operational interpretation</w:t>
      </w:r>
    </w:p>
    <w:p>
      <w:pPr>
        <w:spacing w:after="200" w:line="276"/>
        <w:jc w:val="both"/>
      </w:pPr>
      <w:r>
        <w:rPr>
          <w:b w:val="false"/>
          <w:bCs w:val="false"/>
          <w:i w:val="false"/>
          <w:iCs w:val="false"/>
        </w:rPr>
        <w:t xml:space="preserve">After selecting the best-performing model on the validation set, the forecast results on the test set will be converted from average power per 30-minute period (MW) to the energy consumed during that exact period (MWh), then aggregated by month and by year for interpretation under realistic operational scenarios: cumulative monthly forecast error totals, the range between the best-case and worst-case error scenarios, together with a visualization of actual versus forecast demand curves over representative periods of each season. This interpretation approach helps translate machine learning model results into information meaningful for grid operational planning.</w:t>
      </w:r>
    </w:p>
    <w:p>
      <w:pPr>
        <w:pStyle w:val="Heading1"/>
        <w:spacing w:after="160" w:before="320"/>
      </w:pPr>
      <w:r>
        <w:t xml:space="preserve">4. Research Ethics and Responsibility</w:t>
      </w:r>
    </w:p>
    <w:p>
      <w:pPr>
        <w:spacing w:after="200" w:line="276"/>
        <w:jc w:val="both"/>
      </w:pPr>
      <w:r>
        <w:rPr>
          <w:b w:val="false"/>
          <w:bCs w:val="false"/>
          <w:i w:val="false"/>
          <w:iCs w:val="false"/>
        </w:rPr>
        <w:t xml:space="preserve">The dataset used is aggregated national-level power system operational data, publicly published by National Grid ESO, containing no personally identifiable information, so privacy risk is assessed as minimal. The study does not present the model as an official operational tool replacing National Grid ESO's existing forecasting systems; all results will be published together with the data scope, input variable limitations, and forecast uncertainty. Findings on the relationship between calendar features, embedded renewable energy, and electricity demand are presented as predictive associations, not causal evidence.</w:t>
      </w:r>
    </w:p>
    <w:p>
      <w:pPr>
        <w:pStyle w:val="Heading1"/>
        <w:spacing w:after="160" w:before="320"/>
      </w:pPr>
      <w:r>
        <w:t xml:space="preserve">5. Expected Contributions</w:t>
      </w:r>
    </w:p>
    <w:p>
      <w:pPr>
        <w:spacing w:after="200" w:line="276"/>
        <w:jc w:val="both"/>
      </w:pPr>
      <w:r>
        <w:rPr>
          <w:b w:val="false"/>
          <w:bCs w:val="false"/>
          <w:i w:val="false"/>
          <w:iCs w:val="false"/>
        </w:rPr>
        <w:t xml:space="preserve">The study expects to clearly identify the extent to which boosted tree models (Random Forest, XGBoost, LightGBM) outperform both the SNaive Daily and SNaive Weekly seasonal naive baselines as well as linear regression when forecasting UK national electricity demand. Separating the two naive baselines into daily and weekly cycles, rather than pooling them into a single average baseline, is a distinct methodological contribution, allowing clear quantification of the relative contribution of short-term weather inertia versus weekly social activity rhythm to the repeating structure of the electricity demand series — information that a single pooled average baseline cannot separate. The second methodological contribution is a forecasting pipeline combining calendar features with a statistically-grounded, mutual-information-filtered set of autoregressive lag features and rolling-window statistics, with controlled chronological data leakage, designed for half-hourly data with the UK's specific characteristics (48 settlement periods, DST transition effects, column structure changes over the publication timeline). The practical contribution is a reproducible pipeline for cleaning, engineering features from, and evaluating electricity demand data, which can be extended to deep time-series models (LSTM, GRU) in future studies. A result showing that boosted tree models do not significantly outperform linear regression, or even fail to significantly outperform SNaive Daily in certain time segments, would also be a valuable finding, suggesting that most of the demand variation can be explained by a near-linear relationship or by the series' own seasonal inertia.</w:t>
      </w:r>
    </w:p>
    <w:p>
      <w:pPr>
        <w:pStyle w:val="Heading1"/>
        <w:spacing w:after="160" w:before="320"/>
      </w:pPr>
      <w:r>
        <w:t xml:space="preserve">6. Limitations</w:t>
      </w:r>
    </w:p>
    <w:p>
      <w:pPr>
        <w:spacing w:after="200" w:line="276"/>
        <w:jc w:val="both"/>
      </w:pPr>
      <w:r>
        <w:rPr>
          <w:b w:val="false"/>
          <w:bCs w:val="false"/>
          <w:i w:val="false"/>
          <w:iCs w:val="false"/>
        </w:rPr>
        <w:t xml:space="preserve">The study uses only national aggregate-level data, without direct meteorological data, and therefore cannot fully separate the influence of temperature or extreme weather conditions from the season variable and the embedded renewable energy variables used as indirect proxies. The autoregressive lag feature set is limited to seven lags selected based on ACF and PACF (1, 2, 12, 24, 36, 48, and 336 periods) applied simultaneously across the three target series, in order to avoid overfitting and multicollinearity, and so may omit some information at intermediate lags not included, unlike a full high-order autoregressive time-series model that could exploit the entire lag structure. Using SNaive Daily and SNaive Weekly as baselines assumes that electricity demand repeats relatively stably on an exact daily or weekly cycle, so these two baselines may be unusually inaccurate at abrupt seasonal transition points, rare extreme weather events, or holidays that do not fall on the exact 48- or 336-period cycle relative to the reference day. Changes in the data column structure across years (such as SCOTTISH_TRANSFER only existing from 2023) and DST transition days create some anomalies that must be handled carefully, potentially affecting model stability at these transition points. The mutual information filter used for feature selection only considers univariate relationships with the target variable and may miss useful multivariate interactions. The study's results and conclusions are valid only within the scope of the UK electricity system for the period 2020 to 2025 and do not automatically generalize to the electricity systems of other countries.</w:t>
      </w:r>
    </w:p>
    <w:p>
      <w:pPr>
        <w:pStyle w:val="Heading1"/>
        <w:spacing w:after="160" w:before="320"/>
      </w:pPr>
      <w:r>
        <w:t xml:space="preserve">7. References</w:t>
      </w:r>
    </w:p>
    <w:p>
      <w:pPr>
        <w:spacing w:after="200" w:line="276"/>
        <w:jc w:val="left"/>
      </w:pPr>
      <w:r>
        <w:rPr>
          <w:b w:val="false"/>
          <w:bCs w:val="false"/>
          <w:i w:val="false"/>
          <w:iCs w:val="false"/>
        </w:rPr>
        <w:t xml:space="preserve">Breiman, L. (2001). Random forests. Machine Learning, 45(1), pp. 5–32.</w:t>
      </w:r>
    </w:p>
    <w:p>
      <w:pPr>
        <w:spacing w:after="200" w:line="276"/>
        <w:jc w:val="left"/>
      </w:pPr>
      <w:r>
        <w:rPr>
          <w:b w:val="false"/>
          <w:bCs w:val="false"/>
          <w:i w:val="false"/>
          <w:iCs w:val="false"/>
        </w:rPr>
        <w:t xml:space="preserve">Chen, T., &amp; Guestrin, C. (2016). XGBoost: A scalable tree boosting system. Proceedings of the 22nd ACM SIGKDD International Conference on Knowledge Discovery and Data Mining, pp. 785–794.</w:t>
      </w:r>
    </w:p>
    <w:p>
      <w:pPr>
        <w:spacing w:after="200" w:line="276"/>
        <w:jc w:val="left"/>
      </w:pPr>
      <w:r>
        <w:rPr>
          <w:b w:val="false"/>
          <w:bCs w:val="false"/>
          <w:i w:val="false"/>
          <w:iCs w:val="false"/>
        </w:rPr>
        <w:t xml:space="preserve">Hong, T., &amp; Fan, S. (2016). Probabilistic electric load forecasting: A tutorial review. International Journal of Forecasting, 32(3), pp. 914–938.</w:t>
      </w:r>
    </w:p>
    <w:p>
      <w:pPr>
        <w:spacing w:after="200" w:line="276"/>
        <w:jc w:val="left"/>
      </w:pPr>
      <w:r>
        <w:rPr>
          <w:b w:val="false"/>
          <w:bCs w:val="false"/>
          <w:i w:val="false"/>
          <w:iCs w:val="false"/>
        </w:rPr>
        <w:t xml:space="preserve">Hyndman, R. J., &amp; Athanasopoulos, G. (2021). Forecasting: Principles and Practice (3rd ed.). OTexts.</w:t>
      </w:r>
    </w:p>
    <w:p>
      <w:pPr>
        <w:spacing w:after="200" w:line="276"/>
        <w:jc w:val="left"/>
      </w:pPr>
      <w:r>
        <w:rPr>
          <w:b w:val="false"/>
          <w:bCs w:val="false"/>
          <w:i w:val="false"/>
          <w:iCs w:val="false"/>
        </w:rPr>
        <w:t xml:space="preserve">Hyndman, R. J., &amp; Koehler, A. B. (2006). Another look at measures of forecast accuracy. International Journal of Forecasting, 22(4), pp. 679–688.</w:t>
      </w:r>
    </w:p>
    <w:p>
      <w:pPr>
        <w:spacing w:after="200" w:line="276"/>
        <w:jc w:val="left"/>
      </w:pPr>
      <w:r>
        <w:rPr>
          <w:b w:val="false"/>
          <w:bCs w:val="false"/>
          <w:i w:val="false"/>
          <w:iCs w:val="false"/>
        </w:rPr>
        <w:t xml:space="preserve">Ke, G., Meng, Q., Finley, T., Wang, T., Chen, W., Ma, W., Ye, Q., &amp; Liu, T. Y. (2017). LightGBM: A highly efficient gradient boosting decision tree. Advances in Neural Information Processing Systems, 30.</w:t>
      </w:r>
    </w:p>
    <w:p>
      <w:pPr>
        <w:spacing w:after="200" w:line="276"/>
        <w:jc w:val="left"/>
      </w:pPr>
      <w:r>
        <w:rPr>
          <w:b w:val="false"/>
          <w:bCs w:val="false"/>
          <w:i w:val="false"/>
          <w:iCs w:val="false"/>
        </w:rPr>
        <w:t xml:space="preserve">National Grid ESO. (2026). Historic demand data. National Grid Electricity System Operator Data Portal.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2026-07-12T14:44:24.716Z</dcterms:created>
  <dcterms:modified xsi:type="dcterms:W3CDTF">2026-07-12T14:44:24.742Z</dcterms:modified>
</cp:coreProperties>
</file>

<file path=docProps/custom.xml><?xml version="1.0" encoding="utf-8"?>
<Properties xmlns="http://schemas.openxmlformats.org/officeDocument/2006/custom-properties" xmlns:vt="http://schemas.openxmlformats.org/officeDocument/2006/docPropsVTypes"/>
</file>