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654C" w14:textId="77777777" w:rsidR="000D601A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INSTITUTIONAL RESEARCH POLICY MEMO</w:t>
      </w:r>
    </w:p>
    <w:p w14:paraId="0D5F1C4F" w14:textId="77777777" w:rsidR="000D601A" w:rsidRDefault="00000000">
      <w:pPr>
        <w:pBdr>
          <w:bottom w:val="single" w:sz="8" w:space="4" w:color="2E75B6"/>
        </w:pBdr>
        <w:spacing w:after="400"/>
        <w:jc w:val="center"/>
      </w:pPr>
      <w:r>
        <w:rPr>
          <w:i/>
          <w:iCs/>
          <w:color w:val="555555"/>
        </w:rPr>
        <w:t>Student Completion Benchmarking | Texas Community Colleges 2024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D601A" w14:paraId="00D0E1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B461" w14:textId="77777777" w:rsidR="000D601A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B120" w14:textId="77777777" w:rsidR="000D601A" w:rsidRDefault="00000000">
            <w:r>
              <w:rPr>
                <w:sz w:val="20"/>
                <w:szCs w:val="20"/>
              </w:rPr>
              <w:t>Vice President of Student Success, Dallas College</w:t>
            </w:r>
          </w:p>
        </w:tc>
      </w:tr>
      <w:tr w:rsidR="000D601A" w14:paraId="27966E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6D9C" w14:textId="77777777" w:rsidR="000D601A" w:rsidRDefault="00000000">
            <w:r>
              <w:rPr>
                <w:b/>
                <w:bCs/>
                <w:color w:val="1F4E79"/>
                <w:sz w:val="20"/>
                <w:szCs w:val="20"/>
              </w:rPr>
              <w:t>FROM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F395" w14:textId="77777777" w:rsidR="000D601A" w:rsidRDefault="00000000">
            <w:r>
              <w:rPr>
                <w:sz w:val="20"/>
                <w:szCs w:val="20"/>
              </w:rPr>
              <w:t>Analyst, Office of Institutional Research</w:t>
            </w:r>
          </w:p>
        </w:tc>
      </w:tr>
      <w:tr w:rsidR="000D601A" w14:paraId="0DABB2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2B25" w14:textId="77777777" w:rsidR="000D601A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1537" w14:textId="77777777" w:rsidR="000D601A" w:rsidRDefault="00000000">
            <w:r>
              <w:rPr>
                <w:sz w:val="20"/>
                <w:szCs w:val="20"/>
              </w:rPr>
              <w:t>May 2026</w:t>
            </w:r>
          </w:p>
        </w:tc>
      </w:tr>
      <w:tr w:rsidR="000D601A" w14:paraId="5E43E6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8CB3" w14:textId="77777777" w:rsidR="000D601A" w:rsidRDefault="00000000">
            <w:r>
              <w:rPr>
                <w:b/>
                <w:bCs/>
                <w:color w:val="1F4E79"/>
                <w:sz w:val="20"/>
                <w:szCs w:val="20"/>
              </w:rPr>
              <w:t>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5ED6" w14:textId="38621268" w:rsidR="000D601A" w:rsidRDefault="00000000">
            <w:r>
              <w:rPr>
                <w:b/>
                <w:bCs/>
                <w:sz w:val="20"/>
                <w:szCs w:val="20"/>
              </w:rPr>
              <w:t xml:space="preserve">Completion Rate Benchmarking </w:t>
            </w:r>
            <w:r w:rsidR="004D7270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Dallas College vs. Texas Community College Peers</w:t>
            </w:r>
          </w:p>
        </w:tc>
      </w:tr>
    </w:tbl>
    <w:p w14:paraId="6DFCDC84" w14:textId="77777777" w:rsidR="000D601A" w:rsidRDefault="000D601A">
      <w:pPr>
        <w:spacing w:before="320"/>
      </w:pPr>
    </w:p>
    <w:p w14:paraId="18A49630" w14:textId="77777777" w:rsidR="000D601A" w:rsidRDefault="00000000">
      <w:pPr>
        <w:pStyle w:val="Heading1"/>
      </w:pPr>
      <w:r>
        <w:t>Key Finding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601A" w14:paraId="2BFCF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75B6"/>
              <w:left w:val="single" w:sz="24" w:space="0" w:color="2E75B6"/>
              <w:bottom w:val="single" w:sz="12" w:space="0" w:color="2E75B6"/>
              <w:right w:val="none" w:sz="0" w:space="0" w:color="FFFFFF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226801" w14:textId="77777777" w:rsidR="000D601A" w:rsidRDefault="00000000">
            <w:r>
              <w:rPr>
                <w:i/>
                <w:iCs/>
                <w:color w:val="1A1A1A"/>
              </w:rPr>
              <w:t xml:space="preserve">Dallas College's three-year completion rate (68.1%) falls below the Texas community college peer average (70.3%), placing it 24th out of 35 comparable institutions. This gap persists despite Dallas College serving nearly eight times the average enrollment of </w:t>
            </w:r>
            <w:proofErr w:type="gramStart"/>
            <w:r>
              <w:rPr>
                <w:i/>
                <w:iCs/>
                <w:color w:val="1A1A1A"/>
              </w:rPr>
              <w:t>peer</w:t>
            </w:r>
            <w:proofErr w:type="gramEnd"/>
            <w:r>
              <w:rPr>
                <w:i/>
                <w:iCs/>
                <w:color w:val="1A1A1A"/>
              </w:rPr>
              <w:t xml:space="preserve"> institutions (69,749 vs. 9,008 students).</w:t>
            </w:r>
          </w:p>
        </w:tc>
      </w:tr>
    </w:tbl>
    <w:p w14:paraId="22251951" w14:textId="77777777" w:rsidR="000D601A" w:rsidRDefault="000D601A">
      <w:pPr>
        <w:spacing w:before="200"/>
      </w:pPr>
    </w:p>
    <w:p w14:paraId="044907B4" w14:textId="77777777" w:rsidR="000D601A" w:rsidRDefault="00000000">
      <w:pPr>
        <w:pStyle w:val="Heading1"/>
      </w:pPr>
      <w:r>
        <w:t>What the Data Shows</w:t>
      </w:r>
    </w:p>
    <w:p w14:paraId="00B93E9D" w14:textId="77777777" w:rsidR="000D601A" w:rsidRDefault="00000000">
      <w:pPr>
        <w:spacing w:after="120"/>
      </w:pPr>
      <w:r>
        <w:t>Analysis of 2024 IPEDS Outcome Measures and Derived Enrollment data across 35 Texas public two-year institutions reveals three patterns:</w:t>
      </w:r>
    </w:p>
    <w:p w14:paraId="5DA3C5AE" w14:textId="77777777" w:rsidR="000D601A" w:rsidRDefault="00000000">
      <w:pPr>
        <w:pStyle w:val="Heading2"/>
      </w:pPr>
      <w:r>
        <w:t>1</w:t>
      </w:r>
      <w:proofErr w:type="gramStart"/>
      <w:r>
        <w:t>.  Institutional</w:t>
      </w:r>
      <w:proofErr w:type="gramEnd"/>
      <w:r>
        <w:t xml:space="preserve"> size does not explain completion gaps</w:t>
      </w:r>
    </w:p>
    <w:p w14:paraId="6EE38A56" w14:textId="77777777" w:rsidR="000D601A" w:rsidRDefault="00000000">
      <w:pPr>
        <w:spacing w:after="160"/>
      </w:pPr>
      <w:r>
        <w:t>Correlation analysis shows no significant relationship between total enrollment and completion rate (r = 0.04, p = 0.82). Dallas College cannot attribute its performance gap to scale complexity alone.</w:t>
      </w:r>
    </w:p>
    <w:p w14:paraId="2A3F00A7" w14:textId="77777777" w:rsidR="000D601A" w:rsidRDefault="00000000">
      <w:pPr>
        <w:pStyle w:val="Heading2"/>
      </w:pPr>
      <w:r>
        <w:t>2</w:t>
      </w:r>
      <w:proofErr w:type="gramStart"/>
      <w:r>
        <w:t>.  Part</w:t>
      </w:r>
      <w:proofErr w:type="gramEnd"/>
      <w:r>
        <w:t>-time retention is a sector-wide challenge</w:t>
      </w:r>
    </w:p>
    <w:p w14:paraId="4E08C070" w14:textId="77777777" w:rsidR="000D601A" w:rsidRDefault="00000000">
      <w:pPr>
        <w:spacing w:after="160"/>
      </w:pPr>
      <w:r>
        <w:t>Part-time retention rates across Texas are uniformly low (mean = 2.7%), suggesting a structural challenge with part-time student persistence that is not unique to Dallas College but is particularly impactful given its enrollment profile.</w:t>
      </w:r>
    </w:p>
    <w:p w14:paraId="40CB6440" w14:textId="77777777" w:rsidR="000D601A" w:rsidRDefault="00000000">
      <w:pPr>
        <w:pStyle w:val="Heading2"/>
      </w:pPr>
      <w:r>
        <w:t>3</w:t>
      </w:r>
      <w:proofErr w:type="gramStart"/>
      <w:r>
        <w:t>.  Dallas</w:t>
      </w:r>
      <w:proofErr w:type="gramEnd"/>
      <w:r>
        <w:t xml:space="preserve"> College’s transfer-out rate signals </w:t>
      </w:r>
      <w:proofErr w:type="spellStart"/>
      <w:r>
        <w:t>stopout</w:t>
      </w:r>
      <w:proofErr w:type="spellEnd"/>
      <w:r>
        <w:t xml:space="preserve"> risk</w:t>
      </w:r>
    </w:p>
    <w:p w14:paraId="55D1C3BD" w14:textId="441DFE63" w:rsidR="000D601A" w:rsidRDefault="00000000">
      <w:pPr>
        <w:spacing w:after="200"/>
      </w:pPr>
      <w:r>
        <w:t xml:space="preserve">Dallas College’s transfer-out rate (18%) is well below the peer average (25.7%). Students are neither completing nor transferring </w:t>
      </w:r>
      <w:r w:rsidR="004D7270">
        <w:t>-</w:t>
      </w:r>
      <w:r>
        <w:t xml:space="preserve"> a pattern associated with </w:t>
      </w:r>
      <w:proofErr w:type="spellStart"/>
      <w:r>
        <w:t>stopout</w:t>
      </w:r>
      <w:proofErr w:type="spellEnd"/>
      <w:r>
        <w:t xml:space="preserve"> behavior, where students disengage entirely rather than progressing toward a credential or another institution.</w:t>
      </w:r>
    </w:p>
    <w:p w14:paraId="6B4F175A" w14:textId="77777777" w:rsidR="000D601A" w:rsidRDefault="00000000">
      <w:pPr>
        <w:pStyle w:val="Heading1"/>
      </w:pPr>
      <w:r>
        <w:t>Benchmarking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430"/>
        <w:gridCol w:w="1715"/>
        <w:gridCol w:w="1715"/>
      </w:tblGrid>
      <w:tr w:rsidR="000D601A" w14:paraId="123BC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FD4E6" w14:textId="77777777" w:rsidR="000D601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7697A" w14:textId="77777777" w:rsidR="000D60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Dallas College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632B3" w14:textId="77777777" w:rsidR="000D60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TX Peer Avg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404E0" w14:textId="77777777" w:rsidR="000D601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Peer Rank</w:t>
            </w:r>
          </w:p>
        </w:tc>
      </w:tr>
      <w:tr w:rsidR="000D601A" w14:paraId="238A9C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FFEC" w14:textId="77777777" w:rsidR="000D601A" w:rsidRDefault="00000000">
            <w:r>
              <w:rPr>
                <w:sz w:val="20"/>
                <w:szCs w:val="20"/>
              </w:rPr>
              <w:t>Completion Rate (150% time)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AFD4" w14:textId="77777777" w:rsidR="000D601A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68.1%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24DC" w14:textId="77777777" w:rsidR="000D601A" w:rsidRDefault="00000000">
            <w:pPr>
              <w:jc w:val="center"/>
            </w:pPr>
            <w:r>
              <w:rPr>
                <w:sz w:val="20"/>
                <w:szCs w:val="20"/>
              </w:rPr>
              <w:t>70.3%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B6AB" w14:textId="77777777" w:rsidR="000D601A" w:rsidRDefault="00000000">
            <w:pPr>
              <w:jc w:val="center"/>
            </w:pPr>
            <w:r>
              <w:rPr>
                <w:sz w:val="20"/>
                <w:szCs w:val="20"/>
              </w:rPr>
              <w:t>24 of 35</w:t>
            </w:r>
          </w:p>
        </w:tc>
      </w:tr>
      <w:tr w:rsidR="000D601A" w14:paraId="05EABB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F1AA" w14:textId="77777777" w:rsidR="000D601A" w:rsidRDefault="00000000">
            <w:r>
              <w:rPr>
                <w:sz w:val="20"/>
                <w:szCs w:val="20"/>
              </w:rPr>
              <w:lastRenderedPageBreak/>
              <w:t>Transfer-Out Rate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B90A" w14:textId="77777777" w:rsidR="000D60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18%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6389" w14:textId="77777777" w:rsidR="000D601A" w:rsidRDefault="00000000">
            <w:pPr>
              <w:jc w:val="center"/>
            </w:pPr>
            <w:r>
              <w:rPr>
                <w:sz w:val="20"/>
                <w:szCs w:val="20"/>
              </w:rPr>
              <w:t>25.7%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73BB" w14:textId="316C3B56" w:rsidR="000D601A" w:rsidRDefault="004D727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</w:tr>
      <w:tr w:rsidR="000D601A" w14:paraId="69B26A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E7A7" w14:textId="77777777" w:rsidR="000D601A" w:rsidRDefault="00000000">
            <w:r>
              <w:rPr>
                <w:sz w:val="20"/>
                <w:szCs w:val="20"/>
              </w:rPr>
              <w:t>Part-Time Retention Rate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A9F0" w14:textId="77777777" w:rsidR="000D601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7%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45D7" w14:textId="77777777" w:rsidR="000D601A" w:rsidRDefault="00000000">
            <w:pPr>
              <w:jc w:val="center"/>
            </w:pPr>
            <w:r>
              <w:rPr>
                <w:sz w:val="20"/>
                <w:szCs w:val="20"/>
              </w:rPr>
              <w:t>2.7%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00ED" w14:textId="00E12938" w:rsidR="000D601A" w:rsidRDefault="004D727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</w:tr>
      <w:tr w:rsidR="000D601A" w14:paraId="040F1F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DC84" w14:textId="77777777" w:rsidR="000D601A" w:rsidRDefault="00000000">
            <w:r>
              <w:rPr>
                <w:sz w:val="20"/>
                <w:szCs w:val="20"/>
              </w:rPr>
              <w:t>Total Enrollment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BE45" w14:textId="77777777" w:rsidR="000D601A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69,749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42E6" w14:textId="77777777" w:rsidR="000D601A" w:rsidRDefault="00000000">
            <w:pPr>
              <w:jc w:val="center"/>
            </w:pPr>
            <w:r>
              <w:rPr>
                <w:sz w:val="20"/>
                <w:szCs w:val="20"/>
              </w:rPr>
              <w:t>9,008</w:t>
            </w:r>
          </w:p>
        </w:tc>
        <w:tc>
          <w:tcPr>
            <w:tcW w:w="17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1F43" w14:textId="77777777" w:rsidR="000D601A" w:rsidRDefault="00000000">
            <w:pPr>
              <w:jc w:val="center"/>
            </w:pPr>
            <w:r>
              <w:rPr>
                <w:sz w:val="20"/>
                <w:szCs w:val="20"/>
              </w:rPr>
              <w:t>Largest</w:t>
            </w:r>
          </w:p>
        </w:tc>
      </w:tr>
    </w:tbl>
    <w:p w14:paraId="5339AE93" w14:textId="77777777" w:rsidR="000D601A" w:rsidRDefault="000D601A">
      <w:pPr>
        <w:spacing w:before="240"/>
      </w:pPr>
    </w:p>
    <w:p w14:paraId="66EB1524" w14:textId="77777777" w:rsidR="000D601A" w:rsidRDefault="00000000">
      <w:pPr>
        <w:pStyle w:val="Heading1"/>
      </w:pPr>
      <w:r>
        <w:t>Recommendations for Leadership</w:t>
      </w:r>
    </w:p>
    <w:p w14:paraId="6396FAD1" w14:textId="140EEFD5" w:rsidR="000D601A" w:rsidRDefault="00000000">
      <w:pPr>
        <w:spacing w:after="120"/>
      </w:pPr>
      <w:r>
        <w:t xml:space="preserve">The data pattern </w:t>
      </w:r>
      <w:r w:rsidR="004D7270">
        <w:t>-</w:t>
      </w:r>
      <w:r>
        <w:t xml:space="preserve"> large enrollment, below-average completion, low transfer rate </w:t>
      </w:r>
      <w:r w:rsidR="004D7270">
        <w:t xml:space="preserve">- </w:t>
      </w:r>
      <w:r>
        <w:t xml:space="preserve">points toward an intervention gap rather than an access gap. Dallas College is successfully enrolling students but losing them before completion or transfer. Three targeted actions are supported by </w:t>
      </w:r>
      <w:proofErr w:type="gramStart"/>
      <w:r>
        <w:t>the evidence</w:t>
      </w:r>
      <w:proofErr w:type="gramEnd"/>
      <w:r>
        <w:t>:</w:t>
      </w:r>
    </w:p>
    <w:p w14:paraId="3220FD9E" w14:textId="77777777" w:rsidR="000D601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Early alert systems: </w:t>
      </w:r>
      <w:r>
        <w:t xml:space="preserve">Target students who enroll but show low engagement in the first 8 weeks, when </w:t>
      </w:r>
      <w:proofErr w:type="spellStart"/>
      <w:r>
        <w:t>stopout</w:t>
      </w:r>
      <w:proofErr w:type="spellEnd"/>
      <w:r>
        <w:t xml:space="preserve"> risk is highest. Counselor outreach at this threshold has the strongest evidence base for community college retention.</w:t>
      </w:r>
    </w:p>
    <w:p w14:paraId="36AE5A22" w14:textId="77777777" w:rsidR="000D601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Part-time advising pathways: </w:t>
      </w:r>
      <w:r>
        <w:t xml:space="preserve">Part-time students are the majority at Dallas College yet have near-zero measured retention. A dedicated advising track with flexible scheduling, financial aid navigation support, and milestone check-ins </w:t>
      </w:r>
      <w:proofErr w:type="gramStart"/>
      <w:r>
        <w:t>is</w:t>
      </w:r>
      <w:proofErr w:type="gramEnd"/>
      <w:r>
        <w:t xml:space="preserve"> indicated.</w:t>
      </w:r>
    </w:p>
    <w:p w14:paraId="59C4ABFB" w14:textId="77777777" w:rsidR="000D601A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Post-consolidation cohort tracking: </w:t>
      </w:r>
      <w:r>
        <w:t>As a unified institution since 2021, Dallas College should establish baseline cohort metrics by legacy campus to identify which service areas carry the largest completion gaps and target resources accordingly.</w:t>
      </w:r>
    </w:p>
    <w:p w14:paraId="6906B005" w14:textId="77777777" w:rsidR="000D601A" w:rsidRDefault="00000000">
      <w:pPr>
        <w:pBdr>
          <w:top w:val="single" w:sz="4" w:space="4" w:color="CCCCCC"/>
        </w:pBdr>
        <w:spacing w:before="200" w:after="80"/>
      </w:pPr>
      <w:r>
        <w:rPr>
          <w:b/>
          <w:bCs/>
          <w:color w:val="666666"/>
          <w:sz w:val="18"/>
          <w:szCs w:val="18"/>
        </w:rPr>
        <w:t>Data Source</w:t>
      </w:r>
    </w:p>
    <w:p w14:paraId="409BA8FA" w14:textId="77777777" w:rsidR="000D601A" w:rsidRDefault="00000000">
      <w:r>
        <w:rPr>
          <w:color w:val="666666"/>
          <w:sz w:val="18"/>
          <w:szCs w:val="18"/>
        </w:rPr>
        <w:t>IPEDS 2024 Complete Data Files: Outcome Measures (OM2024), Derived Enrollment (DRVEF2024), Institutional Characteristics (HD2024). Analysis conducted in SAS 15.4. N = 35 Texas public two-year institutions (Southwest College for the Deaf excluded as specialized institution, n = 47 students).</w:t>
      </w:r>
    </w:p>
    <w:sectPr w:rsidR="000D601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6F6B8" w14:textId="77777777" w:rsidR="00CA0516" w:rsidRDefault="00CA0516">
      <w:r>
        <w:separator/>
      </w:r>
    </w:p>
  </w:endnote>
  <w:endnote w:type="continuationSeparator" w:id="0">
    <w:p w14:paraId="0B29748E" w14:textId="77777777" w:rsidR="00CA0516" w:rsidRDefault="00CA0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548F0" w14:textId="2FB35F5D" w:rsidR="000D601A" w:rsidRDefault="00000000">
    <w:pPr>
      <w:pBdr>
        <w:top w:val="single" w:sz="6" w:space="1" w:color="2E75B6"/>
      </w:pBdr>
      <w:tabs>
        <w:tab w:val="right" w:pos="9360"/>
      </w:tabs>
      <w:spacing w:before="120"/>
    </w:pPr>
    <w:r>
      <w:rPr>
        <w:color w:val="999999"/>
        <w:sz w:val="16"/>
        <w:szCs w:val="16"/>
      </w:rPr>
      <w:t xml:space="preserve">CONFIDENTIAL </w:t>
    </w:r>
    <w:r w:rsidR="004D7270">
      <w:rPr>
        <w:color w:val="999999"/>
        <w:sz w:val="16"/>
        <w:szCs w:val="16"/>
      </w:rPr>
      <w:t>-</w:t>
    </w:r>
    <w:r>
      <w:rPr>
        <w:color w:val="999999"/>
        <w:sz w:val="16"/>
        <w:szCs w:val="16"/>
      </w:rPr>
      <w:t xml:space="preserve"> For Internal Use Only</w:t>
    </w:r>
    <w:r>
      <w:rPr>
        <w:color w:val="999999"/>
        <w:sz w:val="16"/>
        <w:szCs w:val="16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B8C33" w14:textId="77777777" w:rsidR="00CA0516" w:rsidRDefault="00CA0516">
      <w:r>
        <w:separator/>
      </w:r>
    </w:p>
  </w:footnote>
  <w:footnote w:type="continuationSeparator" w:id="0">
    <w:p w14:paraId="2BA1FF62" w14:textId="77777777" w:rsidR="00CA0516" w:rsidRDefault="00CA0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CED7D" w14:textId="77777777" w:rsidR="000D601A" w:rsidRDefault="00000000">
    <w:pPr>
      <w:pBdr>
        <w:bottom w:val="single" w:sz="6" w:space="1" w:color="2E75B6"/>
      </w:pBdr>
      <w:spacing w:after="120"/>
    </w:pPr>
    <w:r>
      <w:rPr>
        <w:color w:val="666666"/>
        <w:sz w:val="18"/>
        <w:szCs w:val="18"/>
      </w:rPr>
      <w:t xml:space="preserve">DALLAS </w:t>
    </w:r>
    <w:proofErr w:type="gramStart"/>
    <w:r>
      <w:rPr>
        <w:color w:val="666666"/>
        <w:sz w:val="18"/>
        <w:szCs w:val="18"/>
      </w:rPr>
      <w:t>COLLEGE  |</w:t>
    </w:r>
    <w:proofErr w:type="gramEnd"/>
    <w:r>
      <w:rPr>
        <w:color w:val="666666"/>
        <w:sz w:val="18"/>
        <w:szCs w:val="18"/>
      </w:rPr>
      <w:t xml:space="preserve">  Office of Institutional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8505F"/>
    <w:multiLevelType w:val="hybridMultilevel"/>
    <w:tmpl w:val="3C9A3326"/>
    <w:lvl w:ilvl="0" w:tplc="88AA6A64">
      <w:start w:val="1"/>
      <w:numFmt w:val="decimal"/>
      <w:lvlText w:val="%1."/>
      <w:lvlJc w:val="left"/>
      <w:pPr>
        <w:ind w:left="720" w:hanging="360"/>
      </w:pPr>
    </w:lvl>
    <w:lvl w:ilvl="1" w:tplc="E6445108">
      <w:numFmt w:val="decimal"/>
      <w:lvlText w:val=""/>
      <w:lvlJc w:val="left"/>
    </w:lvl>
    <w:lvl w:ilvl="2" w:tplc="08F2AC36">
      <w:numFmt w:val="decimal"/>
      <w:lvlText w:val=""/>
      <w:lvlJc w:val="left"/>
    </w:lvl>
    <w:lvl w:ilvl="3" w:tplc="3948FE2E">
      <w:numFmt w:val="decimal"/>
      <w:lvlText w:val=""/>
      <w:lvlJc w:val="left"/>
    </w:lvl>
    <w:lvl w:ilvl="4" w:tplc="D49849A8">
      <w:numFmt w:val="decimal"/>
      <w:lvlText w:val=""/>
      <w:lvlJc w:val="left"/>
    </w:lvl>
    <w:lvl w:ilvl="5" w:tplc="46E64146">
      <w:numFmt w:val="decimal"/>
      <w:lvlText w:val=""/>
      <w:lvlJc w:val="left"/>
    </w:lvl>
    <w:lvl w:ilvl="6" w:tplc="A27E3334">
      <w:numFmt w:val="decimal"/>
      <w:lvlText w:val=""/>
      <w:lvlJc w:val="left"/>
    </w:lvl>
    <w:lvl w:ilvl="7" w:tplc="DC7AD8D8">
      <w:numFmt w:val="decimal"/>
      <w:lvlText w:val=""/>
      <w:lvlJc w:val="left"/>
    </w:lvl>
    <w:lvl w:ilvl="8" w:tplc="7366AC58">
      <w:numFmt w:val="decimal"/>
      <w:lvlText w:val=""/>
      <w:lvlJc w:val="left"/>
    </w:lvl>
  </w:abstractNum>
  <w:abstractNum w:abstractNumId="1" w15:restartNumberingAfterBreak="0">
    <w:nsid w:val="2AF52101"/>
    <w:multiLevelType w:val="hybridMultilevel"/>
    <w:tmpl w:val="B036A01A"/>
    <w:lvl w:ilvl="0" w:tplc="6DACF77C">
      <w:start w:val="1"/>
      <w:numFmt w:val="bullet"/>
      <w:lvlText w:val="•"/>
      <w:lvlJc w:val="left"/>
      <w:pPr>
        <w:ind w:left="720" w:hanging="360"/>
      </w:pPr>
    </w:lvl>
    <w:lvl w:ilvl="1" w:tplc="E9D8805C">
      <w:numFmt w:val="decimal"/>
      <w:lvlText w:val=""/>
      <w:lvlJc w:val="left"/>
    </w:lvl>
    <w:lvl w:ilvl="2" w:tplc="DD16527A">
      <w:numFmt w:val="decimal"/>
      <w:lvlText w:val=""/>
      <w:lvlJc w:val="left"/>
    </w:lvl>
    <w:lvl w:ilvl="3" w:tplc="98C64C82">
      <w:numFmt w:val="decimal"/>
      <w:lvlText w:val=""/>
      <w:lvlJc w:val="left"/>
    </w:lvl>
    <w:lvl w:ilvl="4" w:tplc="A2E6E06C">
      <w:numFmt w:val="decimal"/>
      <w:lvlText w:val=""/>
      <w:lvlJc w:val="left"/>
    </w:lvl>
    <w:lvl w:ilvl="5" w:tplc="151084AE">
      <w:numFmt w:val="decimal"/>
      <w:lvlText w:val=""/>
      <w:lvlJc w:val="left"/>
    </w:lvl>
    <w:lvl w:ilvl="6" w:tplc="9AA2BD3E">
      <w:numFmt w:val="decimal"/>
      <w:lvlText w:val=""/>
      <w:lvlJc w:val="left"/>
    </w:lvl>
    <w:lvl w:ilvl="7" w:tplc="7378459C">
      <w:numFmt w:val="decimal"/>
      <w:lvlText w:val=""/>
      <w:lvlJc w:val="left"/>
    </w:lvl>
    <w:lvl w:ilvl="8" w:tplc="D9A0571E">
      <w:numFmt w:val="decimal"/>
      <w:lvlText w:val=""/>
      <w:lvlJc w:val="left"/>
    </w:lvl>
  </w:abstractNum>
  <w:abstractNum w:abstractNumId="2" w15:restartNumberingAfterBreak="0">
    <w:nsid w:val="33347FA2"/>
    <w:multiLevelType w:val="hybridMultilevel"/>
    <w:tmpl w:val="78943DB6"/>
    <w:lvl w:ilvl="0" w:tplc="F17E14C2">
      <w:start w:val="1"/>
      <w:numFmt w:val="bullet"/>
      <w:lvlText w:val="●"/>
      <w:lvlJc w:val="left"/>
      <w:pPr>
        <w:ind w:left="720" w:hanging="360"/>
      </w:pPr>
    </w:lvl>
    <w:lvl w:ilvl="1" w:tplc="DF520AE4">
      <w:start w:val="1"/>
      <w:numFmt w:val="bullet"/>
      <w:lvlText w:val="○"/>
      <w:lvlJc w:val="left"/>
      <w:pPr>
        <w:ind w:left="1440" w:hanging="360"/>
      </w:pPr>
    </w:lvl>
    <w:lvl w:ilvl="2" w:tplc="527CD43A">
      <w:start w:val="1"/>
      <w:numFmt w:val="bullet"/>
      <w:lvlText w:val="■"/>
      <w:lvlJc w:val="left"/>
      <w:pPr>
        <w:ind w:left="2160" w:hanging="360"/>
      </w:pPr>
    </w:lvl>
    <w:lvl w:ilvl="3" w:tplc="554E20BE">
      <w:start w:val="1"/>
      <w:numFmt w:val="bullet"/>
      <w:lvlText w:val="●"/>
      <w:lvlJc w:val="left"/>
      <w:pPr>
        <w:ind w:left="2880" w:hanging="360"/>
      </w:pPr>
    </w:lvl>
    <w:lvl w:ilvl="4" w:tplc="8566164E">
      <w:start w:val="1"/>
      <w:numFmt w:val="bullet"/>
      <w:lvlText w:val="○"/>
      <w:lvlJc w:val="left"/>
      <w:pPr>
        <w:ind w:left="3600" w:hanging="360"/>
      </w:pPr>
    </w:lvl>
    <w:lvl w:ilvl="5" w:tplc="34A271F8">
      <w:start w:val="1"/>
      <w:numFmt w:val="bullet"/>
      <w:lvlText w:val="■"/>
      <w:lvlJc w:val="left"/>
      <w:pPr>
        <w:ind w:left="4320" w:hanging="360"/>
      </w:pPr>
    </w:lvl>
    <w:lvl w:ilvl="6" w:tplc="C480FCCA">
      <w:start w:val="1"/>
      <w:numFmt w:val="bullet"/>
      <w:lvlText w:val="●"/>
      <w:lvlJc w:val="left"/>
      <w:pPr>
        <w:ind w:left="5040" w:hanging="360"/>
      </w:pPr>
    </w:lvl>
    <w:lvl w:ilvl="7" w:tplc="6FEC1E6A">
      <w:start w:val="1"/>
      <w:numFmt w:val="bullet"/>
      <w:lvlText w:val="●"/>
      <w:lvlJc w:val="left"/>
      <w:pPr>
        <w:ind w:left="5760" w:hanging="360"/>
      </w:pPr>
    </w:lvl>
    <w:lvl w:ilvl="8" w:tplc="4BE60AD8">
      <w:start w:val="1"/>
      <w:numFmt w:val="bullet"/>
      <w:lvlText w:val="●"/>
      <w:lvlJc w:val="left"/>
      <w:pPr>
        <w:ind w:left="6480" w:hanging="360"/>
      </w:pPr>
    </w:lvl>
  </w:abstractNum>
  <w:num w:numId="1" w16cid:durableId="1346319497">
    <w:abstractNumId w:val="2"/>
    <w:lvlOverride w:ilvl="0">
      <w:startOverride w:val="1"/>
    </w:lvlOverride>
  </w:num>
  <w:num w:numId="2" w16cid:durableId="1048590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01A"/>
    <w:rsid w:val="000D601A"/>
    <w:rsid w:val="00350C18"/>
    <w:rsid w:val="004D7270"/>
    <w:rsid w:val="00CA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B459"/>
  <w15:docId w15:val="{9ECE3E6B-6C11-409D-B0B9-0B6B37D53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Nhi Tran</cp:lastModifiedBy>
  <cp:revision>2</cp:revision>
  <dcterms:created xsi:type="dcterms:W3CDTF">2026-05-01T04:48:00Z</dcterms:created>
  <dcterms:modified xsi:type="dcterms:W3CDTF">2026-05-01T05:33:00Z</dcterms:modified>
</cp:coreProperties>
</file>