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MEMORANDUM</w:t>
      </w:r>
    </w:p>
    <w:p>
      <w:pPr>
        <w:pBdr>
          <w:bottom w:val="single" w:color="000000" w:sz="4" w:space="4"/>
        </w:pBdr>
        <w:spacing w:after="36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Student Completion Benchmarking, Texas Community Colleges 2024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TO:</w:t>
            </w:r>
          </w:p>
        </w:tc>
        <w:tc>
          <w:tcPr>
            <w:tcW w:type="dxa" w:w="7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Vice President of Student Success, Dallas College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FROM:</w:t>
            </w:r>
          </w:p>
        </w:tc>
        <w:tc>
          <w:tcPr>
            <w:tcW w:type="dxa" w:w="7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Analyst, Office of Institutional Research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DATE:</w:t>
            </w:r>
          </w:p>
        </w:tc>
        <w:tc>
          <w:tcPr>
            <w:tcW w:type="dxa" w:w="7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May 2026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RE:</w:t>
            </w:r>
          </w:p>
        </w:tc>
        <w:tc>
          <w:tcPr>
            <w:tcW w:type="dxa" w:w="792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Completion Rate Benchmarking: Dallas College vs. Texas Community College Peers</w:t>
            </w:r>
          </w:p>
        </w:tc>
      </w:tr>
    </w:tbl>
    <w:p>
      <w:pPr>
        <w:spacing w:after="0" w:before="280"/>
      </w:pP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Key Finding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Dallas College's three-year completion rate (68.1%) falls below the Texas community college peer average (70.3%), placing it 24th out of 35 comparable institutions. This gap persists despite Dallas College serving nearly eight times the average enrollment of peer institutions (69,749 vs. 9,008 students).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What the Data Shows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Analysis of 2024 IPEDS Outcome Measures and Derived Enrollment data across 35 Texas public two-year institutions reveals three patterns.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Institutional size does not explain the completion gap.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Correlation analysis shows no significant relationship between total enrollment and completion rate (r = 0.04, p = 0.82). Dallas College cannot attribute its lower performance to the complexity of operating at scale.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Part-time retention is low across the sector.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Part-time retention rates average 2.7% across Texas community colleges. Dallas College's rate of 7% is above average, but the broader pattern points to a structural challenge with part-time student persistence that is not unique to this institution.</w:t>
      </w:r>
    </w:p>
    <w:p>
      <w:pPr>
        <w:spacing w:after="200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The transfer-out rate suggests stopout risk.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Dallas College's transfer-out rate (18%) sits well below the peer average (25.7%). When students are neither completing nor transferring, the most likely explanation is stopout: full disengagement without a credential or a next step.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Benchmarking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187"/>
        <w:gridCol w:w="1687"/>
        <w:gridCol w:w="1686"/>
      </w:tblGrid>
      <w:tr>
        <w:trPr>
          <w:tblHeader/>
        </w:trP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Metric</w:t>
            </w:r>
          </w:p>
        </w:tc>
        <w:tc>
          <w:tcPr>
            <w:tcW w:type="dxa" w:w="21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Dallas College</w:t>
            </w:r>
          </w:p>
        </w:tc>
        <w:tc>
          <w:tcPr>
            <w:tcW w:type="dxa" w:w="16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TX Peer Avg</w:t>
            </w:r>
          </w:p>
        </w:tc>
        <w:tc>
          <w:tcPr>
            <w:tcW w:type="dxa" w:w="1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Peer Rank</w:t>
            </w:r>
          </w:p>
        </w:tc>
      </w:tr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Completion Rate (150% time)</w:t>
            </w:r>
          </w:p>
        </w:tc>
        <w:tc>
          <w:tcPr>
            <w:tcW w:type="dxa" w:w="21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68.1%</w:t>
            </w:r>
          </w:p>
        </w:tc>
        <w:tc>
          <w:tcPr>
            <w:tcW w:type="dxa" w:w="16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70.3%</w:t>
            </w:r>
          </w:p>
        </w:tc>
        <w:tc>
          <w:tcPr>
            <w:tcW w:type="dxa" w:w="1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 of 35</w:t>
            </w:r>
          </w:p>
        </w:tc>
      </w:tr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Transfer-Out Rate</w:t>
            </w:r>
          </w:p>
        </w:tc>
        <w:tc>
          <w:tcPr>
            <w:tcW w:type="dxa" w:w="21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18%</w:t>
            </w:r>
          </w:p>
        </w:tc>
        <w:tc>
          <w:tcPr>
            <w:tcW w:type="dxa" w:w="16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25.7%</w:t>
            </w:r>
          </w:p>
        </w:tc>
        <w:tc>
          <w:tcPr>
            <w:tcW w:type="dxa" w:w="1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--</w:t>
            </w:r>
          </w:p>
        </w:tc>
      </w:tr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Part-Time Retention Rate</w:t>
            </w:r>
          </w:p>
        </w:tc>
        <w:tc>
          <w:tcPr>
            <w:tcW w:type="dxa" w:w="21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7%</w:t>
            </w:r>
          </w:p>
        </w:tc>
        <w:tc>
          <w:tcPr>
            <w:tcW w:type="dxa" w:w="16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2.7%</w:t>
            </w:r>
          </w:p>
        </w:tc>
        <w:tc>
          <w:tcPr>
            <w:tcW w:type="dxa" w:w="1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--</w:t>
            </w:r>
          </w:p>
        </w:tc>
      </w:tr>
      <w:tr>
        <w:tc>
          <w:tcPr>
            <w:tcW w:type="dxa" w:w="3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Total Enrollment</w:t>
            </w:r>
          </w:p>
        </w:tc>
        <w:tc>
          <w:tcPr>
            <w:tcW w:type="dxa" w:w="21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69,749</w:t>
            </w:r>
          </w:p>
        </w:tc>
        <w:tc>
          <w:tcPr>
            <w:tcW w:type="dxa" w:w="1687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9,008</w:t>
            </w:r>
          </w:p>
        </w:tc>
        <w:tc>
          <w:tcPr>
            <w:tcW w:type="dxa" w:w="168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Largest</w:t>
            </w:r>
          </w:p>
        </w:tc>
      </w:tr>
    </w:tbl>
    <w:p>
      <w:pPr>
        <w:spacing w:after="0" w:before="240"/>
      </w:pP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Recommendations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data point toward an intervention gap rather than an access gap. Dallas College is enrolling students at high volume but losing a disproportionate share before completion or transfer. Three actions follow from the evidence.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Early alert outreach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targeting students with low engagement in the first eight weeks of a term. Counselor contact at this stage has the strongest evidence base for community college retention.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dedicated advising track for part-time students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with flexible scheduling, financial aid navigation support, and structured milestone check-ins each semester.</w:t>
      </w:r>
    </w:p>
    <w:p>
      <w:pPr>
        <w:pStyle w:val="ListParagraph"/>
        <w:numPr>
          <w:ilvl w:val="0"/>
          <w:numId w:val="2"/>
        </w:numPr>
        <w:spacing w:after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Post-consolidation cohort tracking by legacy campus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to identify which service areas carry the largest completion gaps. As a unified institution since 2021, Dallas College does not yet have a consistent baseline for comparing outcomes across its seven former campuses.</w:t>
      </w:r>
    </w:p>
    <w:p>
      <w:pPr>
        <w:pBdr>
          <w:top w:val="single" w:color="999999" w:sz="4" w:space="4"/>
        </w:pBdr>
        <w:spacing w:after="60" w:before="160"/>
      </w:pPr>
      <w:r>
        <w:rPr>
          <w:rFonts w:ascii="Times New Roman" w:cs="Times New Roman" w:eastAsia="Times New Roman" w:hAnsi="Times New Roman"/>
          <w:b/>
          <w:bCs/>
          <w:color w:val="444444"/>
          <w:sz w:val="20"/>
          <w:szCs w:val="20"/>
        </w:rPr>
        <w:t xml:space="preserve">Data Source</w:t>
      </w:r>
    </w:p>
    <w:p>
      <w:r>
        <w:rPr>
          <w:rFonts w:ascii="Times New Roman" w:cs="Times New Roman" w:eastAsia="Times New Roman" w:hAnsi="Times New Roman"/>
          <w:color w:val="444444"/>
          <w:sz w:val="20"/>
          <w:szCs w:val="20"/>
        </w:rPr>
        <w:t xml:space="preserve">IPEDS 2024 Complete Data Files: Outcome Measures (OM2024), Derived Enrollment (DRVEF2024), Institutional Characteristics (HD2024). Analysis conducted in SAS 15.4. N = 35 Texas public two-year institutions. Southwest College for the Deaf excluded as a specialized institution (n = 47).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0000" w:sz="4" w:space="1"/>
      </w:pBdr>
      <w:spacing w:before="100"/>
    </w:pPr>
    <w:r>
      <w:rPr>
        <w:rFonts w:ascii="Times New Roman" w:cs="Times New Roman" w:eastAsia="Times New Roman" w:hAnsi="Times New Roman"/>
        <w:color w:val="666666"/>
        <w:sz w:val="18"/>
        <w:szCs w:val="18"/>
      </w:rPr>
      <w:t xml:space="preserve">For Internal Use Only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0000" w:sz="4" w:space="1"/>
      </w:pBdr>
      <w:spacing w:after="100"/>
    </w:pPr>
    <w:r>
      <w:rPr>
        <w:rFonts w:ascii="Times New Roman" w:cs="Times New Roman" w:eastAsia="Times New Roman" w:hAnsi="Times New Roman"/>
        <w:color w:val="333333"/>
        <w:sz w:val="20"/>
        <w:szCs w:val="20"/>
      </w:rPr>
      <w:t xml:space="preserve">Office of Institutional Research  |  Dallas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24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spacing w:after="60" w:before="180"/>
      <w:outlineLvl w:val="1"/>
    </w:pPr>
    <w:rPr>
      <w:rFonts w:ascii="Times New Roman" w:cs="Times New Roman" w:eastAsia="Times New Roman" w:hAnsi="Times New Roman"/>
      <w:b/>
      <w:bCs/>
      <w:i/>
      <w:i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2026-05-01T05:46:10.337Z</dcterms:created>
  <dcterms:modified xsi:type="dcterms:W3CDTF">2026-05-01T05:46:10.358Z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