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02 Preprocessing — Choices at a Glance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sz w:val="20"/>
          <w:szCs w:val="20"/>
        </w:rPr>
        <w:t xml:space="preserve">CRMLS sold listings, single-family homes, Dec 2025 – May 2026 · goal: model-ready data for predicting ClosePrice</w:t>
      </w:r>
    </w:p>
    <w:p>
      <w:pPr>
        <w:pStyle w:val="Heading2"/>
      </w:pPr>
      <w:r>
        <w:t xml:space="preserve">1. Load &amp; filter</w:t>
      </w:r>
    </w:p>
    <w:p>
      <w:pPr>
        <w:spacing w:after="120"/>
      </w:pPr>
      <w:r>
        <w:t xml:space="preserve">Concatenated the six monthly extracts (124k rows) and kept only single-family residential sales (61.7k rows), matching notebook 01. One consistent segment keeps the price model from mixing condos, land and multi-family, which behave differently.</w:t>
      </w:r>
    </w:p>
    <w:p>
      <w:pPr>
        <w:pStyle w:val="Heading2"/>
      </w:pPr>
      <w:r>
        <w:t xml:space="preserve">2. Column selection</w:t>
      </w:r>
    </w:p>
    <w:p>
      <w:pPr>
        <w:spacing w:after="120"/>
      </w:pPr>
      <w:r>
        <w:t xml:space="preserve">Started from the feature screening in notebook 01 (correlations, amenity price premiums, location η, mutual information). Kept 13 numerics (size, rooms, year, fees, coordinates), 5 amenity flags, 5 location fields and Levels. Dropped </w:t>
      </w:r>
      <w:r>
        <w:rPr>
          <w:b/>
          <w:bCs/>
        </w:rPr>
        <w:t xml:space="preserve">ListPrice/OriginalListPrice</w:t>
      </w:r>
      <w:r>
        <w:t xml:space="preserve"> (leakage — they essentially are the answer) and 7 columns that are ≥90% empty in this segment (no signal).</w:t>
      </w:r>
    </w:p>
    <w:p>
      <w:pPr>
        <w:pStyle w:val="Heading2"/>
      </w:pPr>
      <w:r>
        <w:t xml:space="preserve">3. Missing values</w:t>
      </w:r>
    </w:p>
    <w:p>
      <w:pPr>
        <w:spacing w:after="120"/>
      </w:pPr>
      <w:r>
        <w:t xml:space="preserve">Policy decided per column instead of one blanket rule: rows missing essentials (price, living area, date) are </w:t>
      </w:r>
      <w:r>
        <w:rPr>
          <w:b/>
          <w:bCs/>
        </w:rPr>
        <w:t xml:space="preserve">dropped</w:t>
      </w:r>
      <w:r>
        <w:t xml:space="preserve">; a missing AssociationFee means no HOA, so it is </w:t>
      </w:r>
      <w:r>
        <w:rPr>
          <w:b/>
          <w:bCs/>
        </w:rPr>
        <w:t xml:space="preserve">imputed as 0 with a HasHOA flag</w:t>
      </w:r>
      <w:r>
        <w:t xml:space="preserve">; other numerics get the </w:t>
      </w:r>
      <w:r>
        <w:rPr>
          <w:b/>
          <w:bCs/>
        </w:rPr>
        <w:t xml:space="preserve">training-set median</w:t>
      </w:r>
      <w:r>
        <w:t xml:space="preserve">; unreported amenity flags are treated as absent; categoricals get their own “missing” bucket. Rationale: drop only when the row is unusable, otherwise keep the data and encode the missingness.</w:t>
      </w:r>
    </w:p>
    <w:p>
      <w:pPr>
        <w:pStyle w:val="Heading2"/>
      </w:pPr>
      <w:r>
        <w:t xml:space="preserve">4. Quality filters &amp; corrections</w:t>
      </w:r>
    </w:p>
    <w:p>
      <w:pPr>
        <w:spacing w:after="120"/>
      </w:pPr>
      <w:r>
        <w:t xml:space="preserve">Sanity bounds on essentials (price $50k–$30M, 200–20,000 sqft, plausible bed/bath counts) remove clearly bad records — e.g. a $796M “sale” and 0-sqft homes — costing only ~0.2% of rows. Impossible values in non-essential fields (YearBuilt 1801, coordinates outside California, negative days-on-market) are set to missing and imputed rather than losing the whole row.</w:t>
      </w:r>
    </w:p>
    <w:p>
      <w:pPr>
        <w:pStyle w:val="Heading2"/>
      </w:pPr>
      <w:r>
        <w:t xml:space="preserve">5. Encoding categoricals</w:t>
      </w:r>
    </w:p>
    <w:p>
      <w:pPr>
        <w:spacing w:after="120"/>
      </w:pPr>
      <w:r>
        <w:t xml:space="preserve">Yes/no flags → 0/1. Levels (One/Two/…) → one-hot, since it has few categories. Location fields (up to ~1,600 ZIP codes) can’t be one-hot encoded for a linear model, so each is replaced by a </w:t>
      </w:r>
      <w:r>
        <w:rPr>
          <w:b/>
          <w:bCs/>
        </w:rPr>
        <w:t xml:space="preserve">smoothed target encoding</w:t>
      </w:r>
      <w:r>
        <w:t xml:space="preserve">: the average log-price of training sales in that ZIP/city/county, shrunk toward the overall average for thin categories (m = 20). Fit on the training window only, so no test information leaks in.</w:t>
      </w:r>
    </w:p>
    <w:p>
      <w:pPr>
        <w:pStyle w:val="Heading2"/>
      </w:pPr>
      <w:r>
        <w:t xml:space="preserve">6. Normalization</w:t>
      </w:r>
    </w:p>
    <w:p>
      <w:pPr>
        <w:spacing w:after="120"/>
      </w:pPr>
      <w:r>
        <w:t xml:space="preserve">Prices and sizes are heavily right-skewed, and the reference model is linear regression, so: target → log(ClosePrice); skewed features (living area, lot size, HOA fee, days on market) → log1p; then </w:t>
      </w:r>
      <w:r>
        <w:rPr>
          <w:b/>
          <w:bCs/>
        </w:rPr>
        <w:t xml:space="preserve">StandardScaler</w:t>
      </w:r>
      <w:r>
        <w:t xml:space="preserve"> (mean 0, sd 1) on all features, fit on train only. This makes coefficients comparable and keeps outliers from dominating the fit.</w:t>
      </w:r>
    </w:p>
    <w:p>
      <w:pPr>
        <w:pStyle w:val="Heading2"/>
      </w:pPr>
      <w:r>
        <w:t xml:space="preserve">7. Train/test split &amp; choosing X</w:t>
      </w:r>
    </w:p>
    <w:p>
      <w:pPr>
        <w:spacing w:after="120"/>
      </w:pPr>
      <w:r>
        <w:t xml:space="preserve">Test set = the most recent month (May 2026, ~12k sales); training set = the X months before it. X was </w:t>
      </w:r>
      <w:r>
        <w:rPr>
          <w:b/>
          <w:bCs/>
        </w:rPr>
        <w:t xml:space="preserve">tuned, not assumed</w:t>
      </w:r>
      <w:r>
        <w:t xml:space="preserve">: for each X = 1–5 the entire pipeline (imputation, encoding, scaling) was refit on that window and a linear regression scored on the fixed test month.</w:t>
      </w:r>
    </w:p>
    <w:p>
      <w:pPr>
        <w:spacing w:after="120"/>
      </w:pPr>
      <w:r>
        <w:t xml:space="preserve">Result: every metric improves as the window grows — more comparable sales outweigh market drift over this span — with diminishing returns after X ≈ 3–4. </w:t>
      </w:r>
      <w:r>
        <w:rPr>
          <w:b/>
          <w:bCs/>
        </w:rPr>
        <w:t xml:space="preserve">X = 5 is optimal</w:t>
      </w:r>
      <w:r>
        <w:t xml:space="preserve"> (median abs. error ≈ 13.3%, R² on log price ≈ 0.86). Worth re-testing when more history is available, as drift may eventually reverse the trend.</w:t>
      </w:r>
    </w:p>
    <w:p>
      <w:pPr>
        <w:pStyle w:val="Heading2"/>
      </w:pPr>
      <w:r>
        <w:t xml:space="preserve">8. Deliverables</w:t>
      </w:r>
    </w:p>
    <w:p>
      <w:pPr>
        <w:spacing w:after="120"/>
      </w:pPr>
      <w:r>
        <w:rPr>
          <w:b/>
          <w:bCs/>
        </w:rPr>
        <w:t xml:space="preserve">sfr_cleaned.csv</w:t>
      </w:r>
      <w:r>
        <w:t xml:space="preserve"> — 61,603 cleaned rows with original categorical labels and a train/test split column (reusable by any downstream model); plus fully numeric, scaled </w:t>
      </w:r>
      <w:r>
        <w:rPr>
          <w:b/>
          <w:bCs/>
        </w:rPr>
        <w:t xml:space="preserve">train/test model-ready CSVs</w:t>
      </w:r>
      <w:r>
        <w:t xml:space="preserve"> exactly as used in the experiment. All produced by 02_preprocessing.ipynb, runnable top to bottom.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2026-07-06T17:52:56.534Z</dcterms:created>
  <dcterms:modified xsi:type="dcterms:W3CDTF">2026-07-06T17:52:56.534Z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