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0539B"/>
          <w:sz w:val="40"/>
          <w:szCs w:val="40"/>
        </w:rPr>
        <w:t xml:space="preserve">DoodyCalls — Legal &amp; Policy Reference</w:t>
      </w:r>
    </w:p>
    <w:p>
      <w:pPr>
        <w:spacing w:after="300"/>
      </w:pPr>
      <w:r>
        <w:rPr>
          <w:i/>
          <w:iCs/>
          <w:color w:val="5A6B7C"/>
          <w:sz w:val="21"/>
          <w:szCs w:val="21"/>
        </w:rPr>
        <w:t xml:space="preserve">Competitor research for Pet Waste Wagon · compiled 2026-07-19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1D9" w:val="clear"/>
            <w:tcMar>
              <w:top w:type="dxa" w:w="200"/>
              <w:left w:type="dxa" w:w="200"/>
              <w:bottom w:type="dxa" w:w="200"/>
              <w:right w:type="dxa" w:w="200"/>
            </w:tcMar>
          </w:tcPr>
          <w:p>
            <w:pPr>
              <w:spacing w:after="80"/>
            </w:pPr>
            <w:r>
              <w:rPr>
                <w:b/>
                <w:bCs/>
                <w:color w:val="5A4413"/>
              </w:rPr>
              <w:t xml:space="preserve">Not legal advice.</w:t>
            </w:r>
          </w:p>
          <w:p>
            <w:pPr>
              <w:spacing w:after="0"/>
            </w:pPr>
            <w:r>
              <w:rPr>
                <w:b w:val="false"/>
                <w:bCs w:val="false"/>
                <w:color w:val="5A4413"/>
              </w:rPr>
              <w:t xml:space="preserve">This document summarizes what a competitor (DoodyCalls, an Authority Brands franchise) publishes publicly on its own site. It is research, not a template to copy verbatim — some of it (arbitration clauses, franchise disclaimers, multi-state privacy law citations) only makes sense for a large franchised company with in-house counsel. Before publishing any legal page on the Pet Waste Wagon site, have an actual attorney draft or review it — this is especially true for anything involving liability, insurance claims, or entering someone’s private property, none of which this document should be treated as authoritative on.</w:t>
            </w:r>
          </w:p>
        </w:tc>
      </w:tr>
    </w:tbl>
    <w:p>
      <w:pPr>
        <w:spacing w:after="200"/>
      </w:pPr>
    </w:p>
    <w:p>
      <w:pPr>
        <w:pStyle w:val="Heading1"/>
        <w:spacing w:after="200" w:before="400"/>
      </w:pPr>
      <w:r>
        <w:t xml:space="preserve">What DoodyCalls Publishes</w:t>
      </w:r>
    </w:p>
    <w:p>
      <w:pPr>
        <w:spacing w:after="160"/>
      </w:pPr>
      <w:r>
        <w:t xml:space="preserve">Four public legal/policy pages, linked from their site footer. DoodyCalls is a nationwide franchise (Authority Brands), so several of these are scaled for that structure — noted throughout where that matters for a single-owner Charlotte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00539B" w:val="clear"/>
            <w:tcMar>
              <w:top w:type="dxa" w:w="100"/>
              <w:left w:type="dxa" w:w="120"/>
              <w:bottom w:type="dxa" w:w="100"/>
              <w:right w:type="dxa" w:w="120"/>
            </w:tcMar>
          </w:tcPr>
          <w:p>
            <w:r>
              <w:rPr>
                <w:b/>
                <w:bCs/>
                <w:color w:val="FFFFFF"/>
                <w:sz w:val="21"/>
                <w:szCs w:val="21"/>
              </w:rPr>
              <w:t xml:space="preserve">Document</w:t>
            </w:r>
          </w:p>
        </w:tc>
        <w:tc>
          <w:tcPr>
            <w:tcW w:type="dxa" w:w="6160"/>
            <w:shd w:fill="00539B" w:val="clear"/>
            <w:tcMar>
              <w:top w:type="dxa" w:w="100"/>
              <w:left w:type="dxa" w:w="120"/>
              <w:bottom w:type="dxa" w:w="100"/>
              <w:right w:type="dxa" w:w="120"/>
            </w:tcMar>
          </w:tcPr>
          <w:p>
            <w:r>
              <w:rPr>
                <w:b/>
                <w:bCs/>
                <w:color w:val="FFFFFF"/>
                <w:sz w:val="21"/>
                <w:szCs w:val="21"/>
              </w:rPr>
              <w:t xml:space="preserve">What it covers</w:t>
            </w:r>
          </w:p>
        </w:tc>
      </w:tr>
      <w:tr>
        <w:tc>
          <w:tcPr>
            <w:tcW w:type="dxa" w:w="3200"/>
            <w:shd w:fill="FFFFFF" w:val="clear"/>
            <w:tcMar>
              <w:top w:type="dxa" w:w="100"/>
              <w:left w:type="dxa" w:w="120"/>
              <w:bottom w:type="dxa" w:w="100"/>
              <w:right w:type="dxa" w:w="120"/>
            </w:tcMar>
          </w:tcPr>
          <w:p>
            <w:r>
              <w:rPr>
                <w:b w:val="false"/>
                <w:bCs w:val="false"/>
                <w:color w:val="16202B"/>
                <w:sz w:val="21"/>
                <w:szCs w:val="21"/>
              </w:rPr>
              <w:t xml:space="preserve">Privacy Policy</w:t>
            </w:r>
          </w:p>
        </w:tc>
        <w:tc>
          <w:tcPr>
            <w:tcW w:type="dxa" w:w="6160"/>
            <w:shd w:fill="FFFFFF" w:val="clear"/>
            <w:tcMar>
              <w:top w:type="dxa" w:w="100"/>
              <w:left w:type="dxa" w:w="120"/>
              <w:bottom w:type="dxa" w:w="100"/>
              <w:right w:type="dxa" w:w="120"/>
            </w:tcMar>
          </w:tcPr>
          <w:p>
            <w:r>
              <w:rPr>
                <w:b w:val="false"/>
                <w:bCs w:val="false"/>
                <w:color w:val="16202B"/>
                <w:sz w:val="21"/>
                <w:szCs w:val="21"/>
              </w:rPr>
              <w:t xml:space="preserve">Data collection, use, sharing, cookies, state privacy rights, retention</w:t>
            </w:r>
          </w:p>
        </w:tc>
      </w:tr>
      <w:tr>
        <w:tc>
          <w:tcPr>
            <w:tcW w:type="dxa" w:w="3200"/>
            <w:shd w:fill="EFF6FD" w:val="clear"/>
            <w:tcMar>
              <w:top w:type="dxa" w:w="100"/>
              <w:left w:type="dxa" w:w="120"/>
              <w:bottom w:type="dxa" w:w="100"/>
              <w:right w:type="dxa" w:w="120"/>
            </w:tcMar>
          </w:tcPr>
          <w:p>
            <w:r>
              <w:rPr>
                <w:b w:val="false"/>
                <w:bCs w:val="false"/>
                <w:color w:val="16202B"/>
                <w:sz w:val="21"/>
                <w:szCs w:val="21"/>
              </w:rPr>
              <w:t xml:space="preserve">Terms of Service</w:t>
            </w:r>
          </w:p>
        </w:tc>
        <w:tc>
          <w:tcPr>
            <w:tcW w:type="dxa" w:w="6160"/>
            <w:shd w:fill="EFF6FD" w:val="clear"/>
            <w:tcMar>
              <w:top w:type="dxa" w:w="100"/>
              <w:left w:type="dxa" w:w="120"/>
              <w:bottom w:type="dxa" w:w="100"/>
              <w:right w:type="dxa" w:w="120"/>
            </w:tcMar>
          </w:tcPr>
          <w:p>
            <w:r>
              <w:rPr>
                <w:b w:val="false"/>
                <w:bCs w:val="false"/>
                <w:color w:val="16202B"/>
                <w:sz w:val="21"/>
                <w:szCs w:val="21"/>
              </w:rPr>
              <w:t xml:space="preserve">Cancellation, payment, liability, insurance, dispute resolution, franchise disclaimer</w:t>
            </w:r>
          </w:p>
        </w:tc>
      </w:tr>
      <w:tr>
        <w:tc>
          <w:tcPr>
            <w:tcW w:type="dxa" w:w="3200"/>
            <w:shd w:fill="FFFFFF" w:val="clear"/>
            <w:tcMar>
              <w:top w:type="dxa" w:w="100"/>
              <w:left w:type="dxa" w:w="120"/>
              <w:bottom w:type="dxa" w:w="100"/>
              <w:right w:type="dxa" w:w="120"/>
            </w:tcMar>
          </w:tcPr>
          <w:p>
            <w:r>
              <w:rPr>
                <w:b w:val="false"/>
                <w:bCs w:val="false"/>
                <w:color w:val="16202B"/>
                <w:sz w:val="21"/>
                <w:szCs w:val="21"/>
              </w:rPr>
              <w:t xml:space="preserve">ADA Notice</w:t>
            </w:r>
          </w:p>
        </w:tc>
        <w:tc>
          <w:tcPr>
            <w:tcW w:type="dxa" w:w="6160"/>
            <w:shd w:fill="FFFFFF" w:val="clear"/>
            <w:tcMar>
              <w:top w:type="dxa" w:w="100"/>
              <w:left w:type="dxa" w:w="120"/>
              <w:bottom w:type="dxa" w:w="100"/>
              <w:right w:type="dxa" w:w="120"/>
            </w:tcMar>
          </w:tcPr>
          <w:p>
            <w:r>
              <w:rPr>
                <w:b w:val="false"/>
                <w:bCs w:val="false"/>
                <w:color w:val="16202B"/>
                <w:sz w:val="21"/>
                <w:szCs w:val="21"/>
              </w:rPr>
              <w:t xml:space="preserve">Website accessibility commitment (thin — see gap noted below)</w:t>
            </w:r>
          </w:p>
        </w:tc>
      </w:tr>
      <w:tr>
        <w:tc>
          <w:tcPr>
            <w:tcW w:type="dxa" w:w="3200"/>
            <w:shd w:fill="EFF6FD" w:val="clear"/>
            <w:tcMar>
              <w:top w:type="dxa" w:w="100"/>
              <w:left w:type="dxa" w:w="120"/>
              <w:bottom w:type="dxa" w:w="100"/>
              <w:right w:type="dxa" w:w="120"/>
            </w:tcMar>
          </w:tcPr>
          <w:p>
            <w:r>
              <w:rPr>
                <w:b w:val="false"/>
                <w:bCs w:val="false"/>
                <w:color w:val="16202B"/>
                <w:sz w:val="21"/>
                <w:szCs w:val="21"/>
              </w:rPr>
              <w:t xml:space="preserve">Your Privacy Choices</w:t>
            </w:r>
          </w:p>
        </w:tc>
        <w:tc>
          <w:tcPr>
            <w:tcW w:type="dxa" w:w="6160"/>
            <w:shd w:fill="EFF6FD" w:val="clear"/>
            <w:tcMar>
              <w:top w:type="dxa" w:w="100"/>
              <w:left w:type="dxa" w:w="120"/>
              <w:bottom w:type="dxa" w:w="100"/>
              <w:right w:type="dxa" w:w="120"/>
            </w:tcMar>
          </w:tcPr>
          <w:p>
            <w:r>
              <w:rPr>
                <w:b w:val="false"/>
                <w:bCs w:val="false"/>
                <w:color w:val="16202B"/>
                <w:sz w:val="21"/>
                <w:szCs w:val="21"/>
              </w:rPr>
              <w:t xml:space="preserve">CCPA/CPRA-style opt-out request form for CA/CO/CT/UT/VA residents</w:t>
            </w:r>
          </w:p>
        </w:tc>
      </w:tr>
    </w:tbl>
    <w:p>
      <w:pPr>
        <w:pStyle w:val="Heading1"/>
        <w:spacing w:after="200" w:before="400"/>
      </w:pPr>
      <w:r>
        <w:t xml:space="preserve">1. Privacy Policy</w:t>
      </w:r>
    </w:p>
    <w:p>
      <w:pPr>
        <w:spacing w:after="160"/>
      </w:pPr>
      <w:r>
        <w:t xml:space="preserve">Effective date: September 22, 2025. Applies across all DoodyCalls locations (franchised), not just one city.</w:t>
      </w:r>
    </w:p>
    <w:p>
      <w:pPr>
        <w:pStyle w:val="Heading2"/>
        <w:spacing w:after="150" w:before="300"/>
      </w:pPr>
      <w:r>
        <w:t xml:space="preserve">What they collect</w:t>
      </w:r>
    </w:p>
    <w:p>
      <w:pPr>
        <w:pStyle w:val="ListParagraph"/>
        <w:numPr>
          <w:ilvl w:val="0"/>
          <w:numId w:val="2"/>
        </w:numPr>
        <w:spacing w:after="90"/>
      </w:pPr>
      <w:r>
        <w:t xml:space="preserve">Directly from users: name, email, phone, state, and service details submitted on quote requests; contest entries and any submitted photos/videos.</w:t>
      </w:r>
    </w:p>
    <w:p>
      <w:pPr>
        <w:pStyle w:val="ListParagraph"/>
        <w:numPr>
          <w:ilvl w:val="0"/>
          <w:numId w:val="2"/>
        </w:numPr>
        <w:spacing w:after="90"/>
      </w:pPr>
      <w:r>
        <w:t xml:space="preserve">From other sources: franchisees, marketing/advertising partners, analytics providers, financial institutions, and social media tags during contests.</w:t>
      </w:r>
    </w:p>
    <w:p>
      <w:pPr>
        <w:pStyle w:val="ListParagraph"/>
        <w:numPr>
          <w:ilvl w:val="0"/>
          <w:numId w:val="2"/>
        </w:numPr>
        <w:spacing w:after="90"/>
      </w:pPr>
      <w:r>
        <w:t xml:space="preserve">Automatically: cookies, IP address, device info, referring URL, time on site.</w:t>
      </w:r>
    </w:p>
    <w:p>
      <w:pPr>
        <w:pStyle w:val="Heading2"/>
        <w:spacing w:after="150" w:before="300"/>
      </w:pPr>
      <w:r>
        <w:t xml:space="preserve">How they use it</w:t>
      </w:r>
    </w:p>
    <w:p>
      <w:pPr>
        <w:pStyle w:val="ListParagraph"/>
        <w:numPr>
          <w:ilvl w:val="0"/>
          <w:numId w:val="2"/>
        </w:numPr>
        <w:spacing w:after="90"/>
      </w:pPr>
      <w:r>
        <w:t xml:space="preserve">Providing the service and customizing the site experience.</w:t>
      </w:r>
    </w:p>
    <w:p>
      <w:pPr>
        <w:pStyle w:val="ListParagraph"/>
        <w:numPr>
          <w:ilvl w:val="0"/>
          <w:numId w:val="2"/>
        </w:numPr>
        <w:spacing w:after="90"/>
      </w:pPr>
      <w:r>
        <w:t xml:space="preserve">Customer service, marketing emails/texts, contest administration, ad targeting, fraud prevention, legal compliance.</w:t>
      </w:r>
    </w:p>
    <w:p>
      <w:pPr>
        <w:pStyle w:val="Heading2"/>
        <w:spacing w:after="150" w:before="300"/>
      </w:pPr>
      <w:r>
        <w:t xml:space="preserve">Sharing</w:t>
      </w:r>
    </w:p>
    <w:p>
      <w:pPr>
        <w:pStyle w:val="ListParagraph"/>
        <w:numPr>
          <w:ilvl w:val="0"/>
          <w:numId w:val="2"/>
        </w:numPr>
        <w:spacing w:after="90"/>
      </w:pPr>
      <w:r>
        <w:t xml:space="preserve">Service providers, franchisees, "family of companies" (Authority Brands’ other brands) for marketing, ad/analytics networks, social platforms.</w:t>
      </w:r>
    </w:p>
    <w:p>
      <w:pPr>
        <w:pStyle w:val="Heading2"/>
        <w:spacing w:after="150" w:before="300"/>
      </w:pPr>
      <w:r>
        <w:t xml:space="preserve">Cookies &amp; tracking</w:t>
      </w:r>
    </w:p>
    <w:p>
      <w:pPr>
        <w:pStyle w:val="ListParagraph"/>
        <w:numPr>
          <w:ilvl w:val="0"/>
          <w:numId w:val="2"/>
        </w:numPr>
        <w:spacing w:after="90"/>
      </w:pPr>
      <w:r>
        <w:t xml:space="preserve">Session + persistent cookies; Google Analytics with a browser opt-out add-on; users can disable cookies in-browser at the cost of some site functionality.</w:t>
      </w:r>
    </w:p>
    <w:p>
      <w:pPr>
        <w:pStyle w:val="Heading2"/>
        <w:spacing w:after="150" w:before="300"/>
      </w:pPr>
      <w:r>
        <w:t xml:space="preserve">State privacy rights (CA, CO, CT, UT, VA)</w:t>
      </w:r>
    </w:p>
    <w:p>
      <w:pPr>
        <w:pStyle w:val="ListParagraph"/>
        <w:numPr>
          <w:ilvl w:val="0"/>
          <w:numId w:val="2"/>
        </w:numPr>
        <w:spacing w:after="90"/>
      </w:pPr>
      <w:r>
        <w:t xml:space="preserve">Right to access, delete, correct, and opt out of sale/sharing of personal data.</w:t>
      </w:r>
    </w:p>
    <w:p>
      <w:pPr>
        <w:pStyle w:val="ListParagraph"/>
        <w:numPr>
          <w:ilvl w:val="0"/>
          <w:numId w:val="2"/>
        </w:numPr>
        <w:spacing w:after="90"/>
      </w:pPr>
      <w:r>
        <w:t xml:space="preserve">12-month waiting period before re-requesting after an opt-out.</w:t>
      </w:r>
    </w:p>
    <w:p>
      <w:pPr>
        <w:pStyle w:val="ListParagraph"/>
        <w:numPr>
          <w:ilvl w:val="0"/>
          <w:numId w:val="2"/>
        </w:numPr>
        <w:spacing w:after="90"/>
      </w:pPr>
      <w:r>
        <w:t xml:space="preserve">Under-16 data is not knowingly sold or shared.</w:t>
      </w:r>
    </w:p>
    <w:p>
      <w:pPr>
        <w:pStyle w:val="ListParagraph"/>
        <w:numPr>
          <w:ilvl w:val="0"/>
          <w:numId w:val="2"/>
        </w:numPr>
        <w:spacing w:after="90"/>
      </w:pPr>
      <w:r>
        <w:t xml:space="preserve">Separate, lighter provisions for Nevada residents and Canadian users (age 14 cutoff there, not 13).</w:t>
      </w:r>
    </w:p>
    <w:p>
      <w:pPr>
        <w:pStyle w:val="Heading2"/>
        <w:spacing w:after="150" w:before="300"/>
      </w:pPr>
      <w:r>
        <w:t xml:space="preserve">Retention</w:t>
      </w:r>
    </w:p>
    <w:p>
      <w:pPr>
        <w:spacing w:after="160"/>
      </w:pPr>
      <w:r>
        <w:t xml:space="preserve">"Only for as long as necessary" based on purpose, sensitivity, and legal obligation — no fixed retention schedule published.</w:t>
      </w:r>
    </w:p>
    <w:p>
      <w:pPr>
        <w:pStyle w:val="Heading2"/>
        <w:spacing w:after="150" w:before="300"/>
      </w:pPr>
      <w:r>
        <w:t xml:space="preserve">Contact</w:t>
      </w:r>
    </w:p>
    <w:p>
      <w:pPr>
        <w:pStyle w:val="ListParagraph"/>
        <w:numPr>
          <w:ilvl w:val="0"/>
          <w:numId w:val="2"/>
        </w:numPr>
        <w:spacing w:after="90"/>
      </w:pPr>
      <w:r>
        <w:t xml:space="preserve">General privacy questions: privacy@authoritybrandsllc.com</w:t>
      </w:r>
    </w:p>
    <w:p>
      <w:pPr>
        <w:pStyle w:val="ListParagraph"/>
        <w:numPr>
          <w:ilvl w:val="0"/>
          <w:numId w:val="2"/>
        </w:numPr>
        <w:spacing w:after="90"/>
      </w:pPr>
      <w:r>
        <w:t xml:space="preserve">Toll-free: 1-844-340-9567</w:t>
      </w:r>
    </w:p>
    <w:p>
      <w:pPr>
        <w:pStyle w:val="ListParagraph"/>
        <w:numPr>
          <w:ilvl w:val="0"/>
          <w:numId w:val="2"/>
        </w:numPr>
        <w:spacing w:after="90"/>
      </w:pPr>
      <w:r>
        <w:t xml:space="preserve">SMS opt-out: reply HELP to any text</w:t>
      </w:r>
    </w:p>
    <w:p>
      <w:pPr>
        <w:pStyle w:val="ListParagraph"/>
        <w:numPr>
          <w:ilvl w:val="0"/>
          <w:numId w:val="2"/>
        </w:numPr>
        <w:spacing w:after="90"/>
      </w:pPr>
      <w:r>
        <w:t xml:space="preserve">Formal data-subject requests: a dedicated web form (see "Your Privacy Choices" below)</w:t>
      </w:r>
    </w:p>
    <w:p>
      <w:pPr>
        <w:pStyle w:val="Heading1"/>
        <w:spacing w:after="200" w:before="400"/>
      </w:pPr>
      <w:r>
        <w:t xml:space="preserve">2. Terms of Service</w:t>
      </w:r>
    </w:p>
    <w:p>
      <w:pPr>
        <w:spacing w:after="160"/>
      </w:pPr>
      <w:r>
        <w:t xml:space="preserve">This is the most operationally useful document for a yard-service business — it covers the actual mechanics of running routes, not just legal boilerplate. Section order as published:</w:t>
      </w:r>
    </w:p>
    <w:p>
      <w:pPr>
        <w:pStyle w:val="ListParagraph"/>
        <w:numPr>
          <w:ilvl w:val="0"/>
          <w:numId w:val="2"/>
        </w:numPr>
        <w:spacing w:after="90"/>
      </w:pPr>
      <w:r>
        <w:t xml:space="preserve">Term</w:t>
      </w:r>
    </w:p>
    <w:p>
      <w:pPr>
        <w:pStyle w:val="ListParagraph"/>
        <w:numPr>
          <w:ilvl w:val="0"/>
          <w:numId w:val="2"/>
        </w:numPr>
        <w:spacing w:after="90"/>
      </w:pPr>
      <w:r>
        <w:t xml:space="preserve">Cancellation</w:t>
      </w:r>
    </w:p>
    <w:p>
      <w:pPr>
        <w:pStyle w:val="ListParagraph"/>
        <w:numPr>
          <w:ilvl w:val="0"/>
          <w:numId w:val="2"/>
        </w:numPr>
        <w:spacing w:after="90"/>
      </w:pPr>
      <w:r>
        <w:t xml:space="preserve">Fee Payment</w:t>
      </w:r>
    </w:p>
    <w:p>
      <w:pPr>
        <w:pStyle w:val="ListParagraph"/>
        <w:numPr>
          <w:ilvl w:val="0"/>
          <w:numId w:val="2"/>
        </w:numPr>
        <w:spacing w:after="90"/>
      </w:pPr>
      <w:r>
        <w:t xml:space="preserve">Payment Method</w:t>
      </w:r>
    </w:p>
    <w:p>
      <w:pPr>
        <w:pStyle w:val="ListParagraph"/>
        <w:numPr>
          <w:ilvl w:val="0"/>
          <w:numId w:val="2"/>
        </w:numPr>
        <w:spacing w:after="90"/>
      </w:pPr>
      <w:r>
        <w:t xml:space="preserve">Consent to Contact</w:t>
      </w:r>
    </w:p>
    <w:p>
      <w:pPr>
        <w:pStyle w:val="ListParagraph"/>
        <w:numPr>
          <w:ilvl w:val="0"/>
          <w:numId w:val="2"/>
        </w:numPr>
        <w:spacing w:after="90"/>
      </w:pPr>
      <w:r>
        <w:t xml:space="preserve">Refunds</w:t>
      </w:r>
    </w:p>
    <w:p>
      <w:pPr>
        <w:pStyle w:val="ListParagraph"/>
        <w:numPr>
          <w:ilvl w:val="0"/>
          <w:numId w:val="2"/>
        </w:numPr>
        <w:spacing w:after="90"/>
      </w:pPr>
      <w:r>
        <w:t xml:space="preserve">Satisfaction Guarantee</w:t>
      </w:r>
    </w:p>
    <w:p>
      <w:pPr>
        <w:pStyle w:val="ListParagraph"/>
        <w:numPr>
          <w:ilvl w:val="0"/>
          <w:numId w:val="2"/>
        </w:numPr>
        <w:spacing w:after="90"/>
      </w:pPr>
      <w:r>
        <w:t xml:space="preserve">Modifications</w:t>
      </w:r>
    </w:p>
    <w:p>
      <w:pPr>
        <w:pStyle w:val="ListParagraph"/>
        <w:numPr>
          <w:ilvl w:val="0"/>
          <w:numId w:val="2"/>
        </w:numPr>
        <w:spacing w:after="90"/>
      </w:pPr>
      <w:r>
        <w:t xml:space="preserve">Service Times / Service Days</w:t>
      </w:r>
    </w:p>
    <w:p>
      <w:pPr>
        <w:pStyle w:val="ListParagraph"/>
        <w:numPr>
          <w:ilvl w:val="0"/>
          <w:numId w:val="2"/>
        </w:numPr>
        <w:spacing w:after="90"/>
      </w:pPr>
      <w:r>
        <w:t xml:space="preserve">Performance of Services</w:t>
      </w:r>
    </w:p>
    <w:p>
      <w:pPr>
        <w:pStyle w:val="ListParagraph"/>
        <w:numPr>
          <w:ilvl w:val="0"/>
          <w:numId w:val="2"/>
        </w:numPr>
        <w:spacing w:after="90"/>
      </w:pPr>
      <w:r>
        <w:t xml:space="preserve">Aggressive Animals</w:t>
      </w:r>
    </w:p>
    <w:p>
      <w:pPr>
        <w:pStyle w:val="ListParagraph"/>
        <w:numPr>
          <w:ilvl w:val="0"/>
          <w:numId w:val="2"/>
        </w:numPr>
        <w:spacing w:after="90"/>
      </w:pPr>
      <w:r>
        <w:t xml:space="preserve">Insurance</w:t>
      </w:r>
    </w:p>
    <w:p>
      <w:pPr>
        <w:pStyle w:val="ListParagraph"/>
        <w:numPr>
          <w:ilvl w:val="0"/>
          <w:numId w:val="2"/>
        </w:numPr>
        <w:spacing w:after="90"/>
      </w:pPr>
      <w:r>
        <w:t xml:space="preserve">Service Delays and Force Majeure</w:t>
      </w:r>
    </w:p>
    <w:p>
      <w:pPr>
        <w:pStyle w:val="ListParagraph"/>
        <w:numPr>
          <w:ilvl w:val="0"/>
          <w:numId w:val="2"/>
        </w:numPr>
        <w:spacing w:after="90"/>
      </w:pPr>
      <w:r>
        <w:t xml:space="preserve">Independently Owned and Operated DoodyCalls Franchise</w:t>
      </w:r>
    </w:p>
    <w:p>
      <w:pPr>
        <w:pStyle w:val="ListParagraph"/>
        <w:numPr>
          <w:ilvl w:val="0"/>
          <w:numId w:val="2"/>
        </w:numPr>
        <w:spacing w:after="90"/>
      </w:pPr>
      <w:r>
        <w:t xml:space="preserve">Enforceability</w:t>
      </w:r>
    </w:p>
    <w:p>
      <w:pPr>
        <w:pStyle w:val="ListParagraph"/>
        <w:numPr>
          <w:ilvl w:val="0"/>
          <w:numId w:val="2"/>
        </w:numPr>
        <w:spacing w:after="90"/>
      </w:pPr>
      <w:r>
        <w:t xml:space="preserve">Disputes</w:t>
      </w:r>
    </w:p>
    <w:p>
      <w:pPr>
        <w:pStyle w:val="ListParagraph"/>
        <w:numPr>
          <w:ilvl w:val="0"/>
          <w:numId w:val="2"/>
        </w:numPr>
        <w:spacing w:after="90"/>
      </w:pPr>
      <w:r>
        <w:t xml:space="preserve">Liquidated Damages</w:t>
      </w:r>
    </w:p>
    <w:p>
      <w:pPr>
        <w:pStyle w:val="ListParagraph"/>
        <w:numPr>
          <w:ilvl w:val="0"/>
          <w:numId w:val="2"/>
        </w:numPr>
        <w:spacing w:after="90"/>
      </w:pPr>
      <w:r>
        <w:t xml:space="preserve">No Waiver of Rights</w:t>
      </w:r>
    </w:p>
    <w:p>
      <w:pPr>
        <w:pStyle w:val="ListParagraph"/>
        <w:numPr>
          <w:ilvl w:val="0"/>
          <w:numId w:val="2"/>
        </w:numPr>
        <w:spacing w:after="90"/>
      </w:pPr>
      <w:r>
        <w:t xml:space="preserve">Entire Agreement</w:t>
      </w:r>
    </w:p>
    <w:p>
      <w:pPr>
        <w:pStyle w:val="Heading2"/>
        <w:spacing w:after="150" w:before="300"/>
      </w:pPr>
      <w:r>
        <w:t xml:space="preserve">Key substance</w:t>
      </w:r>
    </w:p>
    <w:p>
      <w:pPr>
        <w:pStyle w:val="ListParagraph"/>
        <w:numPr>
          <w:ilvl w:val="0"/>
          <w:numId w:val="2"/>
        </w:numPr>
        <w:spacing w:after="90"/>
      </w:pPr>
      <w:r>
        <w:t xml:space="preserve">Cancellation: customer can cancel anytime, no penalty.</w:t>
      </w:r>
    </w:p>
    <w:p>
      <w:pPr>
        <w:pStyle w:val="ListParagraph"/>
        <w:numPr>
          <w:ilvl w:val="0"/>
          <w:numId w:val="2"/>
        </w:numPr>
        <w:spacing w:after="90"/>
      </w:pPr>
      <w:r>
        <w:t xml:space="preserve">Refunds: only issued for provider error; otherwise a case-by-case credit minus processing fees.</w:t>
      </w:r>
    </w:p>
    <w:p>
      <w:pPr>
        <w:pStyle w:val="ListParagraph"/>
        <w:numPr>
          <w:ilvl w:val="0"/>
          <w:numId w:val="2"/>
        </w:numPr>
        <w:spacing w:after="90"/>
      </w:pPr>
      <w:r>
        <w:t xml:space="preserve">Satisfaction guarantee: free re-clean within 24 hours if unhappy — matches what Pet Waste Wagon already promises in its FAQ.</w:t>
      </w:r>
    </w:p>
    <w:p>
      <w:pPr>
        <w:pStyle w:val="ListParagraph"/>
        <w:numPr>
          <w:ilvl w:val="0"/>
          <w:numId w:val="2"/>
        </w:numPr>
        <w:spacing w:after="90"/>
      </w:pPr>
      <w:r>
        <w:t xml:space="preserve">Aggressive Animals: a named clause — worth having on Pet Waste Wagon’s own terms, since techs enter yards with dogs present unsupervised.</w:t>
      </w:r>
    </w:p>
    <w:p>
      <w:pPr>
        <w:pStyle w:val="ListParagraph"/>
        <w:numPr>
          <w:ilvl w:val="0"/>
          <w:numId w:val="2"/>
        </w:numPr>
        <w:spacing w:after="90"/>
      </w:pPr>
      <w:r>
        <w:t xml:space="preserve">Insurance: discloses $1,000,000 Comprehensive General Liability coverage. A concrete, checkable number — the kind of detail that builds trust precisely because it’s specific.</w:t>
      </w:r>
    </w:p>
    <w:p>
      <w:pPr>
        <w:pStyle w:val="ListParagraph"/>
        <w:numPr>
          <w:ilvl w:val="0"/>
          <w:numId w:val="2"/>
        </w:numPr>
        <w:spacing w:after="90"/>
      </w:pPr>
      <w:r>
        <w:t xml:space="preserve">Force Majeure: weather, government action, and other circumstances beyond the provider’s control excuse missed visits — relevant given Pet Waste Wagon already tells customers it runs "rain or shine" with exceptions for severe weather.</w:t>
      </w:r>
    </w:p>
    <w:p>
      <w:pPr>
        <w:pStyle w:val="ListParagraph"/>
        <w:numPr>
          <w:ilvl w:val="0"/>
          <w:numId w:val="2"/>
        </w:numPr>
        <w:spacing w:after="90"/>
      </w:pPr>
      <w:r>
        <w:t xml:space="preserve">Disputes: mediation via the American Arbitration Association, then binding arbitration; customer waives the right to a jury trial. This is standard for a franchise wanting to avoid class actions across many locations — disproportionate for a single-city solo operation, and arguably a needless customer-trust cost this early.</w:t>
      </w:r>
    </w:p>
    <w:p>
      <w:pPr>
        <w:pStyle w:val="ListParagraph"/>
        <w:numPr>
          <w:ilvl w:val="0"/>
          <w:numId w:val="2"/>
        </w:numPr>
        <w:spacing w:after="90"/>
      </w:pPr>
      <w:r>
        <w:t xml:space="preserve">Franchise disclaimer: the parent brand explicitly disclaims responsibility for what an individual franchisee does. Not applicable to Pet Waste Wagon, which has no franchise structure.</w:t>
      </w:r>
    </w:p>
    <w:p>
      <w:pPr>
        <w:pStyle w:val="Heading1"/>
        <w:spacing w:after="200" w:before="400"/>
      </w:pPr>
      <w:r>
        <w:t xml:space="preserve">3. ADA Notice</w:t>
      </w:r>
    </w:p>
    <w:p>
      <w:pPr>
        <w:spacing w:after="160"/>
      </w:pPr>
      <w:r>
        <w:t xml:space="preserve">The shortest and thinnest of the four documents.</w:t>
      </w:r>
    </w:p>
    <w:p>
      <w:pPr>
        <w:pStyle w:val="ListParagraph"/>
        <w:numPr>
          <w:ilvl w:val="0"/>
          <w:numId w:val="2"/>
        </w:numPr>
        <w:spacing w:after="90"/>
      </w:pPr>
      <w:r>
        <w:t xml:space="preserve">States they are "in an ongoing process of improving accessibility" and "actively updating and monitoring" the site — no reference to a concrete standard like WCAG 2.1 AA.</w:t>
      </w:r>
    </w:p>
    <w:p>
      <w:pPr>
        <w:pStyle w:val="ListParagraph"/>
        <w:numPr>
          <w:ilvl w:val="0"/>
          <w:numId w:val="2"/>
        </w:numPr>
        <w:spacing w:after="90"/>
      </w:pPr>
      <w:r>
        <w:t xml:space="preserve">No accessibility-specific contact method, no way to report a barrier, no accommodation-request process — just the company’s general phone number and mailing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1D9" w:val="clear"/>
            <w:tcMar>
              <w:top w:type="dxa" w:w="200"/>
              <w:left w:type="dxa" w:w="200"/>
              <w:bottom w:type="dxa" w:w="200"/>
              <w:right w:type="dxa" w:w="200"/>
            </w:tcMar>
          </w:tcPr>
          <w:p>
            <w:pPr>
              <w:spacing w:after="80"/>
            </w:pPr>
            <w:r>
              <w:rPr>
                <w:b/>
                <w:bCs/>
                <w:color w:val="5A4413"/>
              </w:rPr>
              <w:t xml:space="preserve">A gap worth beating, not copying.</w:t>
            </w:r>
          </w:p>
          <w:p>
            <w:pPr>
              <w:spacing w:after="0"/>
            </w:pPr>
            <w:r>
              <w:rPr>
                <w:b w:val="false"/>
                <w:bCs w:val="false"/>
                <w:color w:val="5A4413"/>
              </w:rPr>
              <w:t xml:space="preserve">A one-paragraph accessibility statement that actually names a standard (e.g. "we aim to meet WCAG 2.1 Level AA") and gives one real contact channel for reporting an issue would be a genuine, low-cost improvement over what DoodyCalls itself publishes here.</w:t>
            </w:r>
          </w:p>
        </w:tc>
      </w:tr>
    </w:tbl>
    <w:p>
      <w:pPr>
        <w:pStyle w:val="Heading1"/>
        <w:spacing w:after="200" w:before="400"/>
      </w:pPr>
      <w:r>
        <w:t xml:space="preserve">4. Your Privacy Choices</w:t>
      </w:r>
    </w:p>
    <w:p>
      <w:pPr>
        <w:spacing w:after="160"/>
      </w:pPr>
      <w:r>
        <w:t xml:space="preserve">A standalone CCPA/CPRA-style request page (separate from the main Privacy Policy) for CA, CO, CT, UT, and VA residents.</w:t>
      </w:r>
    </w:p>
    <w:p>
      <w:pPr>
        <w:pStyle w:val="ListParagraph"/>
        <w:numPr>
          <w:ilvl w:val="0"/>
          <w:numId w:val="2"/>
        </w:numPr>
        <w:spacing w:after="90"/>
      </w:pPr>
      <w:r>
        <w:t xml:space="preserve">Request types: access (by category or specific data), deletion, opt-out of sale/sharing/targeted ads, correction, revoke consent for sensitive data.</w:t>
      </w:r>
    </w:p>
    <w:p>
      <w:pPr>
        <w:pStyle w:val="ListParagraph"/>
        <w:numPr>
          <w:ilvl w:val="0"/>
          <w:numId w:val="2"/>
        </w:numPr>
        <w:spacing w:after="90"/>
      </w:pPr>
      <w:r>
        <w:t xml:space="preserve">Submission channels: a web form (state, name, zip, contact info, request type, customer status), email (CCPA@doodycalls.com) for authorized agents with documentation, or phone (1-844-340-9567).</w:t>
      </w:r>
    </w:p>
    <w:p>
      <w:pPr>
        <w:pStyle w:val="ListParagraph"/>
        <w:numPr>
          <w:ilvl w:val="0"/>
          <w:numId w:val="2"/>
        </w:numPr>
        <w:spacing w:after="90"/>
      </w:pPr>
      <w:r>
        <w:t xml:space="preserve">Verification data is used only to verify identity; request records are kept 24 months; requester must attest under penalty of perjury.</w:t>
      </w:r>
    </w:p>
    <w:p>
      <w:pPr>
        <w:pStyle w:val="Heading1"/>
        <w:spacing w:after="200" w:before="400"/>
      </w:pPr>
      <w:r>
        <w:t xml:space="preserve">What This Means for Pet Waste Wagon</w:t>
      </w:r>
    </w:p>
    <w:p>
      <w:pPr>
        <w:spacing w:after="160"/>
      </w:pPr>
      <w:r>
        <w:t xml:space="preserve">Rough priority order given the business’s current stage — solo operator, pre-launch, collecting names/phone/address via the quote form, Stripe payments not yet live, no customer accounts or franchise structure:</w:t>
      </w:r>
    </w:p>
    <w:p>
      <w:pPr>
        <w:pStyle w:val="Heading2"/>
        <w:spacing w:after="150" w:before="300"/>
      </w:pPr>
      <w:r>
        <w:t xml:space="preserve">Worth having soon</w:t>
      </w:r>
    </w:p>
    <w:p>
      <w:pPr>
        <w:pStyle w:val="ListParagraph"/>
        <w:numPr>
          <w:ilvl w:val="0"/>
          <w:numId w:val="2"/>
        </w:numPr>
        <w:spacing w:after="90"/>
      </w:pPr>
      <w:r>
        <w:t xml:space="preserve">A short Privacy Policy — the quote form already collects name, phone, address, and notes. Even a simple one-page policy (what’s collected, that it’s only used to run routes and never sold, how to ask for it deleted) is worth having before the site goes live.</w:t>
      </w:r>
    </w:p>
    <w:p>
      <w:pPr>
        <w:pStyle w:val="ListParagraph"/>
        <w:numPr>
          <w:ilvl w:val="0"/>
          <w:numId w:val="2"/>
        </w:numPr>
        <w:spacing w:after="90"/>
      </w:pPr>
      <w:r>
        <w:t xml:space="preserve">A short Terms/Service Policy covering: cancellation (already "no contracts, cancel anytime" in the FAQ — just needs a formal page), the aggressive-animals situation, and what happens in bad weather (also already stated informally in the FAQ).</w:t>
      </w:r>
    </w:p>
    <w:p>
      <w:pPr>
        <w:pStyle w:val="ListParagraph"/>
        <w:numPr>
          <w:ilvl w:val="0"/>
          <w:numId w:val="2"/>
        </w:numPr>
        <w:spacing w:after="90"/>
      </w:pPr>
      <w:r>
        <w:t xml:space="preserve">Real liability insurance, and a plain statement of coverage on the site once it exists — DoodyCalls treats their $1M CGL figure as a trust signal, not just boilerplate.</w:t>
      </w:r>
    </w:p>
    <w:p>
      <w:pPr>
        <w:pStyle w:val="ListParagraph"/>
        <w:numPr>
          <w:ilvl w:val="0"/>
          <w:numId w:val="2"/>
        </w:numPr>
        <w:spacing w:after="90"/>
      </w:pPr>
      <w:r>
        <w:t xml:space="preserve">A one-paragraph accessibility statement that’s more concrete than DoodyCalls’ own (name a standard, give one real contact).</w:t>
      </w:r>
    </w:p>
    <w:p>
      <w:pPr>
        <w:pStyle w:val="Heading2"/>
        <w:spacing w:after="150" w:before="300"/>
      </w:pPr>
      <w:r>
        <w:t xml:space="preserve">Skip or defer</w:t>
      </w:r>
    </w:p>
    <w:p>
      <w:pPr>
        <w:pStyle w:val="ListParagraph"/>
        <w:numPr>
          <w:ilvl w:val="0"/>
          <w:numId w:val="2"/>
        </w:numPr>
        <w:spacing w:after="90"/>
      </w:pPr>
      <w:r>
        <w:t xml:space="preserve">Multi-state privacy law sections (CA/CO/CT/UT/VA) — only relevant once operating outside NC/SC or handling meaningfully more data than a contact form.</w:t>
      </w:r>
    </w:p>
    <w:p>
      <w:pPr>
        <w:pStyle w:val="ListParagraph"/>
        <w:numPr>
          <w:ilvl w:val="0"/>
          <w:numId w:val="2"/>
        </w:numPr>
        <w:spacing w:after="90"/>
      </w:pPr>
      <w:r>
        <w:t xml:space="preserve">Mandatory arbitration / jury-trial waiver — a franchise-scale defensive clause; likely overkill and could read as unfriendly for a small local business trying to build trust as a "founding customer" brand.</w:t>
      </w:r>
    </w:p>
    <w:p>
      <w:pPr>
        <w:pStyle w:val="ListParagraph"/>
        <w:numPr>
          <w:ilvl w:val="0"/>
          <w:numId w:val="2"/>
        </w:numPr>
        <w:spacing w:after="90"/>
      </w:pPr>
      <w:r>
        <w:t xml:space="preserve">A dedicated CCPA request portal — not required until California residency/revenue thresholds are met; a simple "email us to request your data" line covers the same intent for now.</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1D9" w:val="clear"/>
            <w:tcMar>
              <w:top w:type="dxa" w:w="200"/>
              <w:left w:type="dxa" w:w="200"/>
              <w:bottom w:type="dxa" w:w="200"/>
              <w:right w:type="dxa" w:w="200"/>
            </w:tcMar>
          </w:tcPr>
          <w:p>
            <w:pPr>
              <w:spacing w:after="80"/>
            </w:pPr>
            <w:r>
              <w:rPr>
                <w:b/>
                <w:bCs/>
                <w:color w:val="5A4413"/>
              </w:rPr>
              <w:t xml:space="preserve">Again: have a real attorney review before publishing.</w:t>
            </w:r>
          </w:p>
          <w:p>
            <w:pPr>
              <w:spacing w:after="0"/>
            </w:pPr>
            <w:r>
              <w:rPr>
                <w:b w:val="false"/>
                <w:bCs w:val="false"/>
                <w:color w:val="5A4413"/>
              </w:rPr>
              <w:t xml:space="preserve">This document tells you what exists and roughly why — it does not tell you what North Carolina/South Carolina law actually requires for a business entering people’s yards, what your specific insurance policy covers, or what liability language will actually hold up. Those are the parts an attorney needs to write, not an AI assistant.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00539B"/>
      <w:sz w:val="32"/>
      <w:szCs w:val="32"/>
    </w:rPr>
  </w:style>
  <w:style w:type="paragraph" w:styleId="Heading2">
    <w:name w:val="Heading 2"/>
    <w:basedOn w:val="Normal"/>
    <w:next w:val="Normal"/>
    <w:qFormat/>
    <w:pPr>
      <w:spacing w:after="150" w:before="300"/>
    </w:pPr>
    <w:rPr>
      <w:b/>
      <w:bCs/>
      <w:color w:val="00539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2026-07-22T02:52:51.115Z</dcterms:created>
  <dcterms:modified xsi:type="dcterms:W3CDTF">2026-07-22T02:52:51.115Z</dcterms:modified>
</cp:coreProperties>
</file>

<file path=docProps/custom.xml><?xml version="1.0" encoding="utf-8"?>
<Properties xmlns="http://schemas.openxmlformats.org/officeDocument/2006/custom-properties" xmlns:vt="http://schemas.openxmlformats.org/officeDocument/2006/docPropsVTypes"/>
</file>