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71B" w:rsidRPr="00F6371B" w:rsidRDefault="00F6371B" w:rsidP="00F6371B">
      <w:pPr>
        <w:jc w:val="center"/>
        <w:rPr>
          <w:rFonts w:ascii="Times New Roman" w:hAnsi="Times New Roman" w:cs="Times New Roman"/>
          <w:b/>
          <w:sz w:val="26"/>
          <w:szCs w:val="26"/>
        </w:rPr>
      </w:pPr>
      <w:r w:rsidRPr="00F6371B">
        <w:rPr>
          <w:rFonts w:ascii="Times New Roman" w:hAnsi="Times New Roman" w:cs="Times New Roman"/>
          <w:b/>
          <w:sz w:val="26"/>
          <w:szCs w:val="26"/>
        </w:rPr>
        <w:t>KHẢO SÁT HỌC BỔNG</w:t>
      </w:r>
    </w:p>
    <w:p w:rsidR="001D2D63" w:rsidRPr="00DF025A" w:rsidRDefault="00174E70" w:rsidP="00187604">
      <w:pPr>
        <w:pStyle w:val="Heading1"/>
        <w:rPr>
          <w:rFonts w:cs="Times New Roman"/>
          <w:szCs w:val="26"/>
        </w:rPr>
      </w:pPr>
      <w:r w:rsidRPr="00DF025A">
        <w:rPr>
          <w:rFonts w:cs="Times New Roman"/>
          <w:szCs w:val="26"/>
        </w:rPr>
        <w:t>1. Các loại học bổ</w:t>
      </w:r>
      <w:r w:rsidR="00921AB1" w:rsidRPr="00DF025A">
        <w:rPr>
          <w:rFonts w:cs="Times New Roman"/>
          <w:szCs w:val="26"/>
        </w:rPr>
        <w:t>ng</w:t>
      </w:r>
    </w:p>
    <w:p w:rsidR="00C4079B" w:rsidRPr="00F6371B" w:rsidRDefault="00DE4DF5" w:rsidP="0071430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E64C61">
        <w:rPr>
          <w:rFonts w:ascii="Times New Roman" w:hAnsi="Times New Roman" w:cs="Times New Roman"/>
          <w:sz w:val="26"/>
          <w:szCs w:val="26"/>
        </w:rPr>
        <w:t>H</w:t>
      </w:r>
      <w:r w:rsidR="008F488B">
        <w:rPr>
          <w:rFonts w:ascii="Times New Roman" w:hAnsi="Times New Roman" w:cs="Times New Roman"/>
          <w:sz w:val="26"/>
          <w:szCs w:val="26"/>
        </w:rPr>
        <w:t>ọc bổng</w:t>
      </w:r>
      <w:r w:rsidR="00C4079B" w:rsidRPr="00F6371B">
        <w:rPr>
          <w:rFonts w:ascii="Times New Roman" w:hAnsi="Times New Roman" w:cs="Times New Roman"/>
          <w:sz w:val="26"/>
          <w:szCs w:val="26"/>
        </w:rPr>
        <w:t xml:space="preserve"> xét cấp theo từng kì</w:t>
      </w:r>
      <w:r w:rsidR="00E64C61">
        <w:rPr>
          <w:rFonts w:ascii="Times New Roman" w:hAnsi="Times New Roman" w:cs="Times New Roman"/>
          <w:sz w:val="26"/>
          <w:szCs w:val="26"/>
        </w:rPr>
        <w:t>: được trích từ nguồn học phí sinh viên nộp cho trường</w:t>
      </w:r>
    </w:p>
    <w:p w:rsidR="00C4079B" w:rsidRPr="00F6371B" w:rsidRDefault="00921AB1" w:rsidP="00714305">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xml:space="preserve">- </w:t>
      </w:r>
      <w:r w:rsidR="00E5071B">
        <w:rPr>
          <w:rFonts w:ascii="Times New Roman" w:hAnsi="Times New Roman" w:cs="Times New Roman"/>
          <w:sz w:val="26"/>
          <w:szCs w:val="26"/>
        </w:rPr>
        <w:t>Học bổng t</w:t>
      </w:r>
      <w:r w:rsidR="00C4079B" w:rsidRPr="00F6371B">
        <w:rPr>
          <w:rFonts w:ascii="Times New Roman" w:hAnsi="Times New Roman" w:cs="Times New Roman"/>
          <w:sz w:val="26"/>
          <w:szCs w:val="26"/>
        </w:rPr>
        <w:t>hử thách UTE</w:t>
      </w:r>
      <w:r w:rsidR="00E5071B">
        <w:rPr>
          <w:rFonts w:ascii="Times New Roman" w:hAnsi="Times New Roman" w:cs="Times New Roman"/>
          <w:sz w:val="26"/>
          <w:szCs w:val="26"/>
        </w:rPr>
        <w:t>: học bổng</w:t>
      </w:r>
      <w:r w:rsidRPr="00F6371B">
        <w:rPr>
          <w:rFonts w:ascii="Times New Roman" w:hAnsi="Times New Roman" w:cs="Times New Roman"/>
          <w:sz w:val="26"/>
          <w:szCs w:val="26"/>
        </w:rPr>
        <w:t xml:space="preserve"> xét theo từng năm</w:t>
      </w:r>
      <w:r w:rsidR="006B6C7A">
        <w:rPr>
          <w:rFonts w:ascii="Times New Roman" w:hAnsi="Times New Roman" w:cs="Times New Roman"/>
          <w:sz w:val="26"/>
          <w:szCs w:val="26"/>
        </w:rPr>
        <w:t xml:space="preserve"> và </w:t>
      </w:r>
      <w:r w:rsidR="006B6C7A">
        <w:rPr>
          <w:rFonts w:ascii="Times New Roman" w:hAnsi="Times New Roman" w:cs="Times New Roman"/>
          <w:sz w:val="26"/>
          <w:szCs w:val="26"/>
        </w:rPr>
        <w:t>được trích từ nguồn học phí sinh viên nộp cho trường</w:t>
      </w:r>
    </w:p>
    <w:p w:rsidR="006463FC" w:rsidRPr="00F6371B" w:rsidRDefault="00E64C61" w:rsidP="00714305">
      <w:pPr>
        <w:spacing w:after="0" w:line="360" w:lineRule="auto"/>
        <w:rPr>
          <w:rFonts w:ascii="Times New Roman" w:hAnsi="Times New Roman" w:cs="Times New Roman"/>
          <w:sz w:val="26"/>
          <w:szCs w:val="26"/>
        </w:rPr>
      </w:pPr>
      <w:r>
        <w:rPr>
          <w:rFonts w:ascii="Times New Roman" w:hAnsi="Times New Roman" w:cs="Times New Roman"/>
          <w:sz w:val="26"/>
          <w:szCs w:val="26"/>
        </w:rPr>
        <w:t>- Học bổng</w:t>
      </w:r>
      <w:r w:rsidR="006463FC" w:rsidRPr="00F6371B">
        <w:rPr>
          <w:rFonts w:ascii="Times New Roman" w:hAnsi="Times New Roman" w:cs="Times New Roman"/>
          <w:sz w:val="26"/>
          <w:szCs w:val="26"/>
        </w:rPr>
        <w:t xml:space="preserve"> có nguồn từ bên ngoài: tổ chức, cơ quan, doanh nghiệp, cá nhân tài trợ</w:t>
      </w:r>
      <w:r w:rsidR="004315DB">
        <w:rPr>
          <w:rFonts w:ascii="Times New Roman" w:hAnsi="Times New Roman" w:cs="Times New Roman"/>
          <w:sz w:val="26"/>
          <w:szCs w:val="26"/>
        </w:rPr>
        <w:t>. Học bổng</w:t>
      </w:r>
      <w:r w:rsidR="00921AB1" w:rsidRPr="00F6371B">
        <w:rPr>
          <w:rFonts w:ascii="Times New Roman" w:hAnsi="Times New Roman" w:cs="Times New Roman"/>
          <w:sz w:val="26"/>
          <w:szCs w:val="26"/>
        </w:rPr>
        <w:t xml:space="preserve"> này có tiêu chí riêng theo yêu cầu của doanh nghiệp</w:t>
      </w:r>
      <w:r w:rsidR="00574F16">
        <w:rPr>
          <w:rFonts w:ascii="Times New Roman" w:hAnsi="Times New Roman" w:cs="Times New Roman"/>
          <w:sz w:val="26"/>
          <w:szCs w:val="26"/>
        </w:rPr>
        <w:t>.</w:t>
      </w:r>
    </w:p>
    <w:p w:rsidR="00BE2336" w:rsidRPr="00367D39" w:rsidRDefault="00921AB1" w:rsidP="00F46ED7">
      <w:pPr>
        <w:pStyle w:val="Heading2"/>
        <w:rPr>
          <w:rFonts w:cs="Times New Roman"/>
        </w:rPr>
      </w:pPr>
      <w:r w:rsidRPr="00367D39">
        <w:rPr>
          <w:rFonts w:cs="Times New Roman"/>
        </w:rPr>
        <w:t>1.1</w:t>
      </w:r>
      <w:r w:rsidR="00664F02" w:rsidRPr="00367D39">
        <w:rPr>
          <w:rFonts w:cs="Times New Roman"/>
        </w:rPr>
        <w:t>. Học bổng</w:t>
      </w:r>
      <w:r w:rsidR="00BE2336" w:rsidRPr="00367D39">
        <w:rPr>
          <w:rFonts w:cs="Times New Roman"/>
        </w:rPr>
        <w:t xml:space="preserve"> cấp theo từ</w:t>
      </w:r>
      <w:r w:rsidRPr="00367D39">
        <w:rPr>
          <w:rFonts w:cs="Times New Roman"/>
        </w:rPr>
        <w:t>ng kì</w:t>
      </w:r>
    </w:p>
    <w:p w:rsidR="00151B27" w:rsidRPr="00367D39" w:rsidRDefault="00921AB1" w:rsidP="00367D39">
      <w:pPr>
        <w:pStyle w:val="Heading3"/>
      </w:pPr>
      <w:r w:rsidRPr="00367D39">
        <w:t>1.1</w:t>
      </w:r>
      <w:r w:rsidR="00BE2336" w:rsidRPr="00367D39">
        <w:t xml:space="preserve">.1. </w:t>
      </w:r>
      <w:r w:rsidR="005975F7" w:rsidRPr="00367D39">
        <w:t>Tiêu chuẩn</w:t>
      </w:r>
    </w:p>
    <w:p w:rsidR="005975F7" w:rsidRPr="005975F7" w:rsidRDefault="005975F7" w:rsidP="006B1C50">
      <w:pPr>
        <w:spacing w:after="0" w:line="360" w:lineRule="auto"/>
        <w:rPr>
          <w:rFonts w:ascii="Times New Roman" w:hAnsi="Times New Roman" w:cs="Times New Roman"/>
          <w:sz w:val="26"/>
          <w:szCs w:val="26"/>
        </w:rPr>
      </w:pPr>
      <w:r w:rsidRPr="005975F7">
        <w:rPr>
          <w:rFonts w:ascii="Times New Roman" w:hAnsi="Times New Roman" w:cs="Times New Roman"/>
          <w:sz w:val="26"/>
          <w:szCs w:val="26"/>
        </w:rPr>
        <w:t xml:space="preserve">- </w:t>
      </w:r>
      <w:r w:rsidR="001A5033">
        <w:rPr>
          <w:rFonts w:ascii="Times New Roman" w:hAnsi="Times New Roman" w:cs="Times New Roman"/>
          <w:sz w:val="26"/>
          <w:szCs w:val="26"/>
        </w:rPr>
        <w:t>Về k</w:t>
      </w:r>
      <w:r w:rsidRPr="005975F7">
        <w:rPr>
          <w:rFonts w:ascii="Times New Roman" w:hAnsi="Times New Roman" w:cs="Times New Roman"/>
          <w:sz w:val="26"/>
          <w:szCs w:val="26"/>
        </w:rPr>
        <w:t>ết quả học tập</w:t>
      </w:r>
    </w:p>
    <w:p w:rsidR="00BE2336" w:rsidRPr="005975F7" w:rsidRDefault="00187604" w:rsidP="006B1C50">
      <w:pPr>
        <w:pStyle w:val="ListParagraph"/>
        <w:numPr>
          <w:ilvl w:val="0"/>
          <w:numId w:val="10"/>
        </w:numPr>
        <w:spacing w:after="0" w:line="360" w:lineRule="auto"/>
        <w:rPr>
          <w:rFonts w:ascii="Times New Roman" w:hAnsi="Times New Roman" w:cs="Times New Roman"/>
          <w:sz w:val="26"/>
          <w:szCs w:val="26"/>
        </w:rPr>
      </w:pPr>
      <w:r w:rsidRPr="005975F7">
        <w:rPr>
          <w:rFonts w:ascii="Times New Roman" w:hAnsi="Times New Roman" w:cs="Times New Roman"/>
          <w:sz w:val="26"/>
          <w:szCs w:val="26"/>
        </w:rPr>
        <w:t xml:space="preserve">Có kết quả học tập </w:t>
      </w:r>
      <w:r w:rsidR="00B229D7" w:rsidRPr="005975F7">
        <w:rPr>
          <w:rFonts w:ascii="Times New Roman" w:hAnsi="Times New Roman" w:cs="Times New Roman"/>
          <w:sz w:val="26"/>
          <w:szCs w:val="26"/>
        </w:rPr>
        <w:t>từ loại khá trở lên</w:t>
      </w:r>
      <w:r w:rsidR="00F45033" w:rsidRPr="005975F7">
        <w:rPr>
          <w:rFonts w:ascii="Times New Roman" w:hAnsi="Times New Roman" w:cs="Times New Roman"/>
          <w:sz w:val="26"/>
          <w:szCs w:val="26"/>
        </w:rPr>
        <w:t>.</w:t>
      </w:r>
    </w:p>
    <w:p w:rsidR="00095C4D" w:rsidRPr="005975F7" w:rsidRDefault="00095C4D" w:rsidP="006B1C50">
      <w:pPr>
        <w:pStyle w:val="ListParagraph"/>
        <w:numPr>
          <w:ilvl w:val="0"/>
          <w:numId w:val="10"/>
        </w:numPr>
        <w:spacing w:after="0" w:line="360" w:lineRule="auto"/>
        <w:rPr>
          <w:rFonts w:ascii="Times New Roman" w:hAnsi="Times New Roman" w:cs="Times New Roman"/>
          <w:sz w:val="26"/>
          <w:szCs w:val="26"/>
        </w:rPr>
      </w:pPr>
      <w:r w:rsidRPr="005975F7">
        <w:rPr>
          <w:rFonts w:ascii="Times New Roman" w:hAnsi="Times New Roman" w:cs="Times New Roman"/>
          <w:sz w:val="26"/>
          <w:szCs w:val="26"/>
        </w:rPr>
        <w:t>Điểm kết thúc tất cả học phần</w:t>
      </w:r>
      <w:r w:rsidR="003E3C30" w:rsidRPr="005975F7">
        <w:rPr>
          <w:rFonts w:ascii="Times New Roman" w:hAnsi="Times New Roman" w:cs="Times New Roman"/>
          <w:sz w:val="26"/>
          <w:szCs w:val="26"/>
        </w:rPr>
        <w:t xml:space="preserve"> từ điểm D trở lên</w:t>
      </w:r>
      <w:r w:rsidR="00F45033" w:rsidRPr="005975F7">
        <w:rPr>
          <w:rFonts w:ascii="Times New Roman" w:hAnsi="Times New Roman" w:cs="Times New Roman"/>
          <w:sz w:val="26"/>
          <w:szCs w:val="26"/>
        </w:rPr>
        <w:t>.</w:t>
      </w:r>
    </w:p>
    <w:p w:rsidR="008F133B" w:rsidRPr="00F6371B" w:rsidRDefault="00DA68CD" w:rsidP="006B1C5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F133B" w:rsidRPr="00DA68CD">
        <w:rPr>
          <w:rFonts w:ascii="Times New Roman" w:hAnsi="Times New Roman" w:cs="Times New Roman"/>
          <w:sz w:val="26"/>
          <w:szCs w:val="26"/>
        </w:rPr>
        <w:t>Về kết quả rèn luyệ</w:t>
      </w:r>
      <w:r w:rsidR="00766676" w:rsidRPr="00DA68CD">
        <w:rPr>
          <w:rFonts w:ascii="Times New Roman" w:hAnsi="Times New Roman" w:cs="Times New Roman"/>
          <w:sz w:val="26"/>
          <w:szCs w:val="26"/>
        </w:rPr>
        <w:t>n</w:t>
      </w:r>
      <w:r w:rsidR="007B7DB4">
        <w:rPr>
          <w:rFonts w:ascii="Times New Roman" w:hAnsi="Times New Roman" w:cs="Times New Roman"/>
          <w:sz w:val="26"/>
          <w:szCs w:val="26"/>
        </w:rPr>
        <w:t>: đ</w:t>
      </w:r>
      <w:r w:rsidR="00766676">
        <w:rPr>
          <w:rFonts w:ascii="Times New Roman" w:hAnsi="Times New Roman" w:cs="Times New Roman"/>
          <w:sz w:val="26"/>
          <w:szCs w:val="26"/>
        </w:rPr>
        <w:t xml:space="preserve">ạt </w:t>
      </w:r>
      <w:r w:rsidR="008F133B" w:rsidRPr="00F6371B">
        <w:rPr>
          <w:rFonts w:ascii="Times New Roman" w:hAnsi="Times New Roman" w:cs="Times New Roman"/>
          <w:sz w:val="26"/>
          <w:szCs w:val="26"/>
        </w:rPr>
        <w:t>loại khá trở</w:t>
      </w:r>
      <w:r w:rsidR="00766676">
        <w:rPr>
          <w:rFonts w:ascii="Times New Roman" w:hAnsi="Times New Roman" w:cs="Times New Roman"/>
          <w:sz w:val="26"/>
          <w:szCs w:val="26"/>
        </w:rPr>
        <w:t xml:space="preserve"> lên và</w:t>
      </w:r>
      <w:r w:rsidR="008F133B" w:rsidRPr="00F6371B">
        <w:rPr>
          <w:rFonts w:ascii="Times New Roman" w:hAnsi="Times New Roman" w:cs="Times New Roman"/>
          <w:sz w:val="26"/>
          <w:szCs w:val="26"/>
        </w:rPr>
        <w:t xml:space="preserve"> không bị kỉ luật từ mức khiển trách trở lên trong kỳ xét cấp học bổng</w:t>
      </w:r>
      <w:r w:rsidR="00F45033">
        <w:rPr>
          <w:rFonts w:ascii="Times New Roman" w:hAnsi="Times New Roman" w:cs="Times New Roman"/>
          <w:sz w:val="26"/>
          <w:szCs w:val="26"/>
        </w:rPr>
        <w:t>.</w:t>
      </w:r>
    </w:p>
    <w:p w:rsidR="00FE5B1D" w:rsidRPr="0061070B" w:rsidRDefault="0061070B" w:rsidP="006B1C5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E5B1D" w:rsidRPr="0061070B">
        <w:rPr>
          <w:rFonts w:ascii="Times New Roman" w:hAnsi="Times New Roman" w:cs="Times New Roman"/>
          <w:sz w:val="26"/>
          <w:szCs w:val="26"/>
        </w:rPr>
        <w:t>Về thời gian học tập</w:t>
      </w:r>
      <w:r w:rsidR="00CB63A3" w:rsidRPr="0061070B">
        <w:rPr>
          <w:rFonts w:ascii="Times New Roman" w:hAnsi="Times New Roman" w:cs="Times New Roman"/>
          <w:sz w:val="26"/>
          <w:szCs w:val="26"/>
        </w:rPr>
        <w:t xml:space="preserve"> và số tín chĩ đã tích lũy</w:t>
      </w:r>
    </w:p>
    <w:p w:rsidR="00CB63A3" w:rsidRPr="0049130F" w:rsidRDefault="001657D4" w:rsidP="006B1C50">
      <w:pPr>
        <w:pStyle w:val="ListParagraph"/>
        <w:numPr>
          <w:ilvl w:val="0"/>
          <w:numId w:val="12"/>
        </w:numPr>
        <w:spacing w:after="0" w:line="360" w:lineRule="auto"/>
        <w:rPr>
          <w:rFonts w:ascii="Times New Roman" w:hAnsi="Times New Roman" w:cs="Times New Roman"/>
          <w:sz w:val="26"/>
          <w:szCs w:val="26"/>
        </w:rPr>
      </w:pPr>
      <w:r w:rsidRPr="0049130F">
        <w:rPr>
          <w:rFonts w:ascii="Times New Roman" w:hAnsi="Times New Roman" w:cs="Times New Roman"/>
          <w:sz w:val="26"/>
          <w:szCs w:val="26"/>
        </w:rPr>
        <w:t>Đã hoàn thành từ 17 chỉ trở lên với cao đẳng và 16 tín chỉ</w:t>
      </w:r>
      <w:r w:rsidR="007B31FC">
        <w:rPr>
          <w:rFonts w:ascii="Times New Roman" w:hAnsi="Times New Roman" w:cs="Times New Roman"/>
          <w:sz w:val="26"/>
          <w:szCs w:val="26"/>
        </w:rPr>
        <w:t xml:space="preserve"> ít nhất</w:t>
      </w:r>
      <w:bookmarkStart w:id="0" w:name="_GoBack"/>
      <w:bookmarkEnd w:id="0"/>
      <w:r w:rsidRPr="0049130F">
        <w:rPr>
          <w:rFonts w:ascii="Times New Roman" w:hAnsi="Times New Roman" w:cs="Times New Roman"/>
          <w:sz w:val="26"/>
          <w:szCs w:val="26"/>
        </w:rPr>
        <w:t xml:space="preserve"> trở lên</w:t>
      </w:r>
      <w:r w:rsidR="00592CEB" w:rsidRPr="0049130F">
        <w:rPr>
          <w:rFonts w:ascii="Times New Roman" w:hAnsi="Times New Roman" w:cs="Times New Roman"/>
          <w:sz w:val="26"/>
          <w:szCs w:val="26"/>
        </w:rPr>
        <w:t xml:space="preserve"> với đại học</w:t>
      </w:r>
      <w:r w:rsidR="000F0BC2" w:rsidRPr="0049130F">
        <w:rPr>
          <w:rFonts w:ascii="Times New Roman" w:hAnsi="Times New Roman" w:cs="Times New Roman"/>
          <w:sz w:val="26"/>
          <w:szCs w:val="26"/>
        </w:rPr>
        <w:t xml:space="preserve"> trong học kì được xét học bổng</w:t>
      </w:r>
      <w:r w:rsidR="00F45033" w:rsidRPr="0049130F">
        <w:rPr>
          <w:rFonts w:ascii="Times New Roman" w:hAnsi="Times New Roman" w:cs="Times New Roman"/>
          <w:sz w:val="26"/>
          <w:szCs w:val="26"/>
        </w:rPr>
        <w:t>.</w:t>
      </w:r>
    </w:p>
    <w:p w:rsidR="000F0BC2" w:rsidRPr="0049130F" w:rsidRDefault="000F0BC2" w:rsidP="006B1C50">
      <w:pPr>
        <w:pStyle w:val="ListParagraph"/>
        <w:numPr>
          <w:ilvl w:val="0"/>
          <w:numId w:val="12"/>
        </w:numPr>
        <w:spacing w:after="0" w:line="360" w:lineRule="auto"/>
        <w:rPr>
          <w:rFonts w:ascii="Times New Roman" w:hAnsi="Times New Roman" w:cs="Times New Roman"/>
          <w:sz w:val="26"/>
          <w:szCs w:val="26"/>
        </w:rPr>
      </w:pPr>
      <w:r w:rsidRPr="0049130F">
        <w:rPr>
          <w:rFonts w:ascii="Times New Roman" w:hAnsi="Times New Roman" w:cs="Times New Roman"/>
          <w:sz w:val="26"/>
          <w:szCs w:val="26"/>
        </w:rPr>
        <w:t>Thời gian sinh viên tạm dừng hoặc kéo dài thời gian học tập không được cấp xét học bổng</w:t>
      </w:r>
      <w:r w:rsidR="00F45033" w:rsidRPr="0049130F">
        <w:rPr>
          <w:rFonts w:ascii="Times New Roman" w:hAnsi="Times New Roman" w:cs="Times New Roman"/>
          <w:sz w:val="26"/>
          <w:szCs w:val="26"/>
        </w:rPr>
        <w:t>.</w:t>
      </w:r>
    </w:p>
    <w:p w:rsidR="001E7680" w:rsidRPr="00367D39" w:rsidRDefault="000E7F30" w:rsidP="00367D39">
      <w:pPr>
        <w:pStyle w:val="Heading3"/>
      </w:pPr>
      <w:r w:rsidRPr="00367D39">
        <w:t>1.1</w:t>
      </w:r>
      <w:r w:rsidR="001E7680" w:rsidRPr="00367D39">
        <w:t>.</w:t>
      </w:r>
      <w:r w:rsidR="00441563" w:rsidRPr="00367D39">
        <w:t>2</w:t>
      </w:r>
      <w:r w:rsidRPr="00367D39">
        <w:t xml:space="preserve">. </w:t>
      </w:r>
      <w:r w:rsidR="001E7680" w:rsidRPr="00367D39">
        <w:t>Mức học bổ</w:t>
      </w:r>
      <w:r w:rsidR="00AA151A" w:rsidRPr="00367D39">
        <w:t>ng</w:t>
      </w:r>
    </w:p>
    <w:p w:rsidR="000E7F30" w:rsidRPr="00F6371B" w:rsidRDefault="000E7F30" w:rsidP="000C4E85">
      <w:pPr>
        <w:spacing w:after="0" w:line="360" w:lineRule="auto"/>
        <w:rPr>
          <w:rFonts w:ascii="Times New Roman" w:hAnsi="Times New Roman" w:cs="Times New Roman"/>
          <w:sz w:val="26"/>
          <w:szCs w:val="26"/>
        </w:rPr>
      </w:pPr>
      <w:r>
        <w:rPr>
          <w:rFonts w:ascii="Times New Roman" w:hAnsi="Times New Roman" w:cs="Times New Roman"/>
          <w:sz w:val="26"/>
          <w:szCs w:val="26"/>
        </w:rPr>
        <w:t>- Có 3 mức học bổng:</w:t>
      </w:r>
    </w:p>
    <w:p w:rsidR="001E7680" w:rsidRPr="00707A69" w:rsidRDefault="00707A69" w:rsidP="00526C01">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Mức khá bằng 15 tín chỉ nhân đơn giá một tín chỉ</w:t>
      </w:r>
    </w:p>
    <w:p w:rsidR="001E7680" w:rsidRPr="00707A69" w:rsidRDefault="00C229B9" w:rsidP="00526C01">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Mức </w:t>
      </w:r>
      <w:r w:rsidR="002D44CA">
        <w:rPr>
          <w:rFonts w:ascii="Times New Roman" w:hAnsi="Times New Roman" w:cs="Times New Roman"/>
          <w:sz w:val="26"/>
          <w:szCs w:val="26"/>
        </w:rPr>
        <w:t>g</w:t>
      </w:r>
      <w:r w:rsidR="001E7680" w:rsidRPr="00707A69">
        <w:rPr>
          <w:rFonts w:ascii="Times New Roman" w:hAnsi="Times New Roman" w:cs="Times New Roman"/>
          <w:sz w:val="26"/>
          <w:szCs w:val="26"/>
        </w:rPr>
        <w:t>iỏi: cao hơn khá 20%</w:t>
      </w:r>
    </w:p>
    <w:p w:rsidR="001E7680" w:rsidRDefault="002D44CA" w:rsidP="00526C01">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Mức s</w:t>
      </w:r>
      <w:r w:rsidR="001E7680" w:rsidRPr="00707A69">
        <w:rPr>
          <w:rFonts w:ascii="Times New Roman" w:hAnsi="Times New Roman" w:cs="Times New Roman"/>
          <w:sz w:val="26"/>
          <w:szCs w:val="26"/>
        </w:rPr>
        <w:t>uất sắc: cao hơn khá 40%</w:t>
      </w:r>
    </w:p>
    <w:p w:rsidR="002856A8" w:rsidRPr="002856A8" w:rsidRDefault="002856A8" w:rsidP="000C4E8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 Mức học bổng được xác định dựa theo kết quả học tập và rèn luyện của sinh viên đó</w:t>
      </w:r>
      <w:r w:rsidR="00F45033">
        <w:rPr>
          <w:rFonts w:ascii="Times New Roman" w:hAnsi="Times New Roman" w:cs="Times New Roman"/>
          <w:sz w:val="26"/>
          <w:szCs w:val="26"/>
        </w:rPr>
        <w:t>.</w:t>
      </w:r>
    </w:p>
    <w:p w:rsidR="000F0BC2" w:rsidRPr="00367D39" w:rsidRDefault="00441563" w:rsidP="00367D39">
      <w:pPr>
        <w:pStyle w:val="Heading3"/>
      </w:pPr>
      <w:r w:rsidRPr="00367D39">
        <w:t>1.1.3</w:t>
      </w:r>
      <w:r w:rsidR="00AA151A" w:rsidRPr="00367D39">
        <w:t>. Quy trình</w:t>
      </w:r>
    </w:p>
    <w:p w:rsidR="000F0BC2" w:rsidRDefault="000F0BC2" w:rsidP="00CE05BF">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Trong 2 tuần đầu tiên phòng CTSV triển khai kế hoạch xét cấp học bổng đối với học kỳ ngay trước đó.</w:t>
      </w:r>
    </w:p>
    <w:p w:rsidR="0061372D" w:rsidRPr="00F6371B" w:rsidRDefault="0061372D" w:rsidP="00CE05BF">
      <w:pPr>
        <w:spacing w:after="0" w:line="360" w:lineRule="auto"/>
        <w:rPr>
          <w:rFonts w:ascii="Times New Roman" w:hAnsi="Times New Roman" w:cs="Times New Roman"/>
          <w:sz w:val="26"/>
          <w:szCs w:val="26"/>
        </w:rPr>
      </w:pPr>
    </w:p>
    <w:p w:rsidR="000F0BC2" w:rsidRPr="00F6371B" w:rsidRDefault="000F0BC2" w:rsidP="00CE05BF">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lastRenderedPageBreak/>
        <w:t>- Các đơn vị liên quan:</w:t>
      </w:r>
    </w:p>
    <w:p w:rsidR="000F0BC2" w:rsidRPr="0061372D" w:rsidRDefault="000F0BC2" w:rsidP="00526C01">
      <w:pPr>
        <w:pStyle w:val="ListParagraph"/>
        <w:numPr>
          <w:ilvl w:val="0"/>
          <w:numId w:val="8"/>
        </w:numPr>
        <w:spacing w:after="0" w:line="360" w:lineRule="auto"/>
        <w:rPr>
          <w:rFonts w:ascii="Times New Roman" w:hAnsi="Times New Roman" w:cs="Times New Roman"/>
          <w:sz w:val="26"/>
          <w:szCs w:val="26"/>
        </w:rPr>
      </w:pPr>
      <w:r w:rsidRPr="0061372D">
        <w:rPr>
          <w:rFonts w:ascii="Times New Roman" w:hAnsi="Times New Roman" w:cs="Times New Roman"/>
          <w:sz w:val="26"/>
          <w:szCs w:val="26"/>
        </w:rPr>
        <w:t xml:space="preserve">Phòng </w:t>
      </w:r>
      <w:r w:rsidR="00EF0BA5" w:rsidRPr="0061372D">
        <w:rPr>
          <w:rFonts w:ascii="Times New Roman" w:hAnsi="Times New Roman" w:cs="Times New Roman"/>
          <w:sz w:val="26"/>
          <w:szCs w:val="26"/>
        </w:rPr>
        <w:t>Kế hoạch – Tài chính thông báo kinh phí học bổng được xét và mức học bổng loại Khá</w:t>
      </w:r>
      <w:r w:rsidR="00F45033">
        <w:rPr>
          <w:rFonts w:ascii="Times New Roman" w:hAnsi="Times New Roman" w:cs="Times New Roman"/>
          <w:sz w:val="26"/>
          <w:szCs w:val="26"/>
        </w:rPr>
        <w:t>.</w:t>
      </w:r>
    </w:p>
    <w:p w:rsidR="000F0BC2" w:rsidRPr="0061372D" w:rsidRDefault="000F0BC2" w:rsidP="00526C01">
      <w:pPr>
        <w:pStyle w:val="ListParagraph"/>
        <w:numPr>
          <w:ilvl w:val="0"/>
          <w:numId w:val="8"/>
        </w:numPr>
        <w:spacing w:after="0" w:line="360" w:lineRule="auto"/>
        <w:rPr>
          <w:rFonts w:ascii="Times New Roman" w:hAnsi="Times New Roman" w:cs="Times New Roman"/>
          <w:sz w:val="26"/>
          <w:szCs w:val="26"/>
        </w:rPr>
      </w:pPr>
      <w:r w:rsidRPr="0061372D">
        <w:rPr>
          <w:rFonts w:ascii="Times New Roman" w:hAnsi="Times New Roman" w:cs="Times New Roman"/>
          <w:sz w:val="26"/>
          <w:szCs w:val="26"/>
        </w:rPr>
        <w:t>P</w:t>
      </w:r>
      <w:r w:rsidR="009A5A97" w:rsidRPr="0061372D">
        <w:rPr>
          <w:rFonts w:ascii="Times New Roman" w:hAnsi="Times New Roman" w:cs="Times New Roman"/>
          <w:sz w:val="26"/>
          <w:szCs w:val="26"/>
        </w:rPr>
        <w:t>hòng Đào tạo</w:t>
      </w:r>
      <w:r w:rsidRPr="0061372D">
        <w:rPr>
          <w:rFonts w:ascii="Times New Roman" w:hAnsi="Times New Roman" w:cs="Times New Roman"/>
          <w:sz w:val="26"/>
          <w:szCs w:val="26"/>
        </w:rPr>
        <w:t xml:space="preserve"> chuyển danh sách nhữ</w:t>
      </w:r>
      <w:r w:rsidR="00931BCA" w:rsidRPr="0061372D">
        <w:rPr>
          <w:rFonts w:ascii="Times New Roman" w:hAnsi="Times New Roman" w:cs="Times New Roman"/>
          <w:sz w:val="26"/>
          <w:szCs w:val="26"/>
        </w:rPr>
        <w:t>ng sinh viên</w:t>
      </w:r>
      <w:r w:rsidRPr="0061372D">
        <w:rPr>
          <w:rFonts w:ascii="Times New Roman" w:hAnsi="Times New Roman" w:cs="Times New Roman"/>
          <w:sz w:val="26"/>
          <w:szCs w:val="26"/>
        </w:rPr>
        <w:t xml:space="preserve"> thỏ</w:t>
      </w:r>
      <w:r w:rsidR="00931BCA" w:rsidRPr="0061372D">
        <w:rPr>
          <w:rFonts w:ascii="Times New Roman" w:hAnsi="Times New Roman" w:cs="Times New Roman"/>
          <w:sz w:val="26"/>
          <w:szCs w:val="26"/>
        </w:rPr>
        <w:t>a mãn điều kiện</w:t>
      </w:r>
      <w:r w:rsidRPr="0061372D">
        <w:rPr>
          <w:rFonts w:ascii="Times New Roman" w:hAnsi="Times New Roman" w:cs="Times New Roman"/>
          <w:sz w:val="26"/>
          <w:szCs w:val="26"/>
        </w:rPr>
        <w:t xml:space="preserve"> về học tập và thố</w:t>
      </w:r>
      <w:r w:rsidR="00FC58EC" w:rsidRPr="0061372D">
        <w:rPr>
          <w:rFonts w:ascii="Times New Roman" w:hAnsi="Times New Roman" w:cs="Times New Roman"/>
          <w:sz w:val="26"/>
          <w:szCs w:val="26"/>
        </w:rPr>
        <w:t>ng kê số lượng</w:t>
      </w:r>
      <w:r w:rsidRPr="0061372D">
        <w:rPr>
          <w:rFonts w:ascii="Times New Roman" w:hAnsi="Times New Roman" w:cs="Times New Roman"/>
          <w:sz w:val="26"/>
          <w:szCs w:val="26"/>
        </w:rPr>
        <w:t xml:space="preserve"> sinh viên theo khóa, ngành</w:t>
      </w:r>
      <w:r w:rsidR="005C30E5">
        <w:rPr>
          <w:rFonts w:ascii="Times New Roman" w:hAnsi="Times New Roman" w:cs="Times New Roman"/>
          <w:sz w:val="26"/>
          <w:szCs w:val="26"/>
        </w:rPr>
        <w:t xml:space="preserve"> </w:t>
      </w:r>
      <w:r w:rsidR="00F45033">
        <w:rPr>
          <w:rFonts w:ascii="Times New Roman" w:hAnsi="Times New Roman" w:cs="Times New Roman"/>
          <w:sz w:val="26"/>
          <w:szCs w:val="26"/>
        </w:rPr>
        <w:t>.</w:t>
      </w:r>
    </w:p>
    <w:p w:rsidR="00500792" w:rsidRPr="0061372D" w:rsidRDefault="00500792" w:rsidP="00526C01">
      <w:pPr>
        <w:pStyle w:val="ListParagraph"/>
        <w:numPr>
          <w:ilvl w:val="0"/>
          <w:numId w:val="8"/>
        </w:numPr>
        <w:spacing w:after="0" w:line="360" w:lineRule="auto"/>
        <w:rPr>
          <w:rFonts w:ascii="Times New Roman" w:hAnsi="Times New Roman" w:cs="Times New Roman"/>
          <w:sz w:val="26"/>
          <w:szCs w:val="26"/>
        </w:rPr>
      </w:pPr>
      <w:r w:rsidRPr="0061372D">
        <w:rPr>
          <w:rFonts w:ascii="Times New Roman" w:hAnsi="Times New Roman" w:cs="Times New Roman"/>
          <w:sz w:val="26"/>
          <w:szCs w:val="26"/>
        </w:rPr>
        <w:t>Các Khoa chuyển d</w:t>
      </w:r>
      <w:r w:rsidR="00DF7A82" w:rsidRPr="0061372D">
        <w:rPr>
          <w:rFonts w:ascii="Times New Roman" w:hAnsi="Times New Roman" w:cs="Times New Roman"/>
          <w:sz w:val="26"/>
          <w:szCs w:val="26"/>
        </w:rPr>
        <w:t>anh sách</w:t>
      </w:r>
      <w:r w:rsidRPr="0061372D">
        <w:rPr>
          <w:rFonts w:ascii="Times New Roman" w:hAnsi="Times New Roman" w:cs="Times New Roman"/>
          <w:sz w:val="26"/>
          <w:szCs w:val="26"/>
        </w:rPr>
        <w:t xml:space="preserve"> cán bộ lớp</w:t>
      </w:r>
      <w:r w:rsidR="00F10754">
        <w:rPr>
          <w:rFonts w:ascii="Times New Roman" w:hAnsi="Times New Roman" w:cs="Times New Roman"/>
          <w:sz w:val="26"/>
          <w:szCs w:val="26"/>
        </w:rPr>
        <w:t xml:space="preserve"> và Đoàn thanh niên chuyển danh sách cán bộ đoàn</w:t>
      </w:r>
      <w:r w:rsidRPr="0061372D">
        <w:rPr>
          <w:rFonts w:ascii="Times New Roman" w:hAnsi="Times New Roman" w:cs="Times New Roman"/>
          <w:sz w:val="26"/>
          <w:szCs w:val="26"/>
        </w:rPr>
        <w:t xml:space="preserve"> kèm </w:t>
      </w:r>
      <w:r w:rsidR="0086586F" w:rsidRPr="0061372D">
        <w:rPr>
          <w:rFonts w:ascii="Times New Roman" w:hAnsi="Times New Roman" w:cs="Times New Roman"/>
          <w:sz w:val="26"/>
          <w:szCs w:val="26"/>
        </w:rPr>
        <w:t xml:space="preserve">theo </w:t>
      </w:r>
      <w:r w:rsidRPr="0061372D">
        <w:rPr>
          <w:rFonts w:ascii="Times New Roman" w:hAnsi="Times New Roman" w:cs="Times New Roman"/>
          <w:sz w:val="26"/>
          <w:szCs w:val="26"/>
        </w:rPr>
        <w:t>k</w:t>
      </w:r>
      <w:r w:rsidR="0086586F" w:rsidRPr="0061372D">
        <w:rPr>
          <w:rFonts w:ascii="Times New Roman" w:hAnsi="Times New Roman" w:cs="Times New Roman"/>
          <w:sz w:val="26"/>
          <w:szCs w:val="26"/>
        </w:rPr>
        <w:t>ết quả</w:t>
      </w:r>
      <w:r w:rsidRPr="0061372D">
        <w:rPr>
          <w:rFonts w:ascii="Times New Roman" w:hAnsi="Times New Roman" w:cs="Times New Roman"/>
          <w:sz w:val="26"/>
          <w:szCs w:val="26"/>
        </w:rPr>
        <w:t xml:space="preserve"> xem xét cộng điểm ưu tiên</w:t>
      </w:r>
      <w:r w:rsidR="00F45033">
        <w:rPr>
          <w:rFonts w:ascii="Times New Roman" w:hAnsi="Times New Roman" w:cs="Times New Roman"/>
          <w:sz w:val="26"/>
          <w:szCs w:val="26"/>
        </w:rPr>
        <w:t>.</w:t>
      </w:r>
    </w:p>
    <w:p w:rsidR="00157172" w:rsidRPr="0061372D" w:rsidRDefault="0061372D" w:rsidP="00526C01">
      <w:pPr>
        <w:pStyle w:val="ListParagraph"/>
        <w:numPr>
          <w:ilvl w:val="0"/>
          <w:numId w:val="8"/>
        </w:numPr>
        <w:spacing w:after="0" w:line="360" w:lineRule="auto"/>
        <w:rPr>
          <w:rFonts w:ascii="Times New Roman" w:hAnsi="Times New Roman" w:cs="Times New Roman"/>
          <w:sz w:val="26"/>
          <w:szCs w:val="26"/>
        </w:rPr>
      </w:pPr>
      <w:r w:rsidRPr="0061372D">
        <w:rPr>
          <w:rFonts w:ascii="Times New Roman" w:hAnsi="Times New Roman" w:cs="Times New Roman"/>
          <w:sz w:val="26"/>
          <w:szCs w:val="26"/>
        </w:rPr>
        <w:t>S</w:t>
      </w:r>
      <w:r w:rsidR="00157172" w:rsidRPr="0061372D">
        <w:rPr>
          <w:rFonts w:ascii="Times New Roman" w:hAnsi="Times New Roman" w:cs="Times New Roman"/>
          <w:sz w:val="26"/>
          <w:szCs w:val="26"/>
        </w:rPr>
        <w:t>inh viên nộp hồ sơ minh chứng về thành tích và danh hiệu khen thưởng để được xem xét cộng điểm thưởng</w:t>
      </w:r>
      <w:r w:rsidR="00F45033">
        <w:rPr>
          <w:rFonts w:ascii="Times New Roman" w:hAnsi="Times New Roman" w:cs="Times New Roman"/>
          <w:sz w:val="26"/>
          <w:szCs w:val="26"/>
        </w:rPr>
        <w:t>.</w:t>
      </w:r>
    </w:p>
    <w:p w:rsidR="004303F7" w:rsidRPr="00F6371B" w:rsidRDefault="004303F7" w:rsidP="00215223">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Phòng CTSV kiểm tra điều kiện rèn luyện của sinh viên nằ</w:t>
      </w:r>
      <w:r w:rsidR="00D81289">
        <w:rPr>
          <w:rFonts w:ascii="Times New Roman" w:hAnsi="Times New Roman" w:cs="Times New Roman"/>
          <w:sz w:val="26"/>
          <w:szCs w:val="26"/>
        </w:rPr>
        <w:t>m trong danh sách</w:t>
      </w:r>
      <w:r w:rsidRPr="00F6371B">
        <w:rPr>
          <w:rFonts w:ascii="Times New Roman" w:hAnsi="Times New Roman" w:cs="Times New Roman"/>
          <w:sz w:val="26"/>
          <w:szCs w:val="26"/>
        </w:rPr>
        <w:t xml:space="preserve"> thỏa mãn điều kiện về học tậ</w:t>
      </w:r>
      <w:r w:rsidR="002127C7">
        <w:rPr>
          <w:rFonts w:ascii="Times New Roman" w:hAnsi="Times New Roman" w:cs="Times New Roman"/>
          <w:sz w:val="26"/>
          <w:szCs w:val="26"/>
        </w:rPr>
        <w:t>p do Phòng Đào tạo</w:t>
      </w:r>
      <w:r w:rsidRPr="00F6371B">
        <w:rPr>
          <w:rFonts w:ascii="Times New Roman" w:hAnsi="Times New Roman" w:cs="Times New Roman"/>
          <w:sz w:val="26"/>
          <w:szCs w:val="26"/>
        </w:rPr>
        <w:t xml:space="preserve"> cấp, kiểm tra hồ sơ đăng ký nhận điểm thưởng của sinh viên, tổng hợp các thông tin mà các đơn vị chuyển về và chuyển về các Khoa các thông tin sau:</w:t>
      </w:r>
    </w:p>
    <w:p w:rsidR="00CB16FF" w:rsidRDefault="004303F7" w:rsidP="0058571D">
      <w:pPr>
        <w:pStyle w:val="ListParagraph"/>
        <w:numPr>
          <w:ilvl w:val="0"/>
          <w:numId w:val="7"/>
        </w:numPr>
        <w:spacing w:after="0" w:line="360" w:lineRule="auto"/>
        <w:rPr>
          <w:rFonts w:ascii="Times New Roman" w:hAnsi="Times New Roman" w:cs="Times New Roman"/>
          <w:sz w:val="26"/>
          <w:szCs w:val="26"/>
        </w:rPr>
      </w:pPr>
      <w:r w:rsidRPr="00CB16FF">
        <w:rPr>
          <w:rFonts w:ascii="Times New Roman" w:hAnsi="Times New Roman" w:cs="Times New Roman"/>
          <w:sz w:val="26"/>
          <w:szCs w:val="26"/>
        </w:rPr>
        <w:t xml:space="preserve">Kinh phí </w:t>
      </w:r>
      <w:r w:rsidR="00362989" w:rsidRPr="00CB16FF">
        <w:rPr>
          <w:rFonts w:ascii="Times New Roman" w:hAnsi="Times New Roman" w:cs="Times New Roman"/>
          <w:sz w:val="26"/>
          <w:szCs w:val="26"/>
        </w:rPr>
        <w:t>học bổng</w:t>
      </w:r>
      <w:r w:rsidRPr="00CB16FF">
        <w:rPr>
          <w:rFonts w:ascii="Times New Roman" w:hAnsi="Times New Roman" w:cs="Times New Roman"/>
          <w:sz w:val="26"/>
          <w:szCs w:val="26"/>
        </w:rPr>
        <w:t xml:space="preserve"> phân bổ cho từng khoa</w:t>
      </w:r>
      <w:r w:rsidR="00197EBA" w:rsidRPr="00CB16FF">
        <w:rPr>
          <w:rFonts w:ascii="Times New Roman" w:hAnsi="Times New Roman" w:cs="Times New Roman"/>
          <w:sz w:val="26"/>
          <w:szCs w:val="26"/>
        </w:rPr>
        <w:t>: phầ</w:t>
      </w:r>
      <w:r w:rsidR="003F4723">
        <w:rPr>
          <w:rFonts w:ascii="Times New Roman" w:hAnsi="Times New Roman" w:cs="Times New Roman"/>
          <w:sz w:val="26"/>
          <w:szCs w:val="26"/>
        </w:rPr>
        <w:t>n</w:t>
      </w:r>
      <w:r w:rsidR="00197EBA" w:rsidRPr="00CB16FF">
        <w:rPr>
          <w:rFonts w:ascii="Times New Roman" w:hAnsi="Times New Roman" w:cs="Times New Roman"/>
          <w:sz w:val="26"/>
          <w:szCs w:val="26"/>
        </w:rPr>
        <w:t xml:space="preserve"> kinh phí học bổng Khoa nhận được dựa vào tỷ lệ phần trăm</w:t>
      </w:r>
      <w:r w:rsidR="00536FFC">
        <w:rPr>
          <w:rFonts w:ascii="Times New Roman" w:hAnsi="Times New Roman" w:cs="Times New Roman"/>
          <w:sz w:val="26"/>
          <w:szCs w:val="26"/>
        </w:rPr>
        <w:t xml:space="preserve"> giữa số </w:t>
      </w:r>
      <w:r w:rsidR="00197EBA" w:rsidRPr="00CB16FF">
        <w:rPr>
          <w:rFonts w:ascii="Times New Roman" w:hAnsi="Times New Roman" w:cs="Times New Roman"/>
          <w:sz w:val="26"/>
          <w:szCs w:val="26"/>
        </w:rPr>
        <w:t xml:space="preserve"> sinh viên đang theo học ở Khoa trên tổng số sinh viên toàn trường</w:t>
      </w:r>
      <w:r w:rsidR="002175F7">
        <w:rPr>
          <w:rFonts w:ascii="Times New Roman" w:hAnsi="Times New Roman" w:cs="Times New Roman"/>
          <w:sz w:val="26"/>
          <w:szCs w:val="26"/>
        </w:rPr>
        <w:t xml:space="preserve"> trong học kỳ xét cấp học bổng</w:t>
      </w:r>
      <w:r w:rsidR="00F62342">
        <w:rPr>
          <w:rFonts w:ascii="Times New Roman" w:hAnsi="Times New Roman" w:cs="Times New Roman"/>
          <w:sz w:val="26"/>
          <w:szCs w:val="26"/>
        </w:rPr>
        <w:t>.</w:t>
      </w:r>
    </w:p>
    <w:p w:rsidR="004303F7" w:rsidRPr="00CB16FF" w:rsidRDefault="004303F7" w:rsidP="0058571D">
      <w:pPr>
        <w:pStyle w:val="ListParagraph"/>
        <w:numPr>
          <w:ilvl w:val="0"/>
          <w:numId w:val="7"/>
        </w:numPr>
        <w:spacing w:after="0" w:line="360" w:lineRule="auto"/>
        <w:rPr>
          <w:rFonts w:ascii="Times New Roman" w:hAnsi="Times New Roman" w:cs="Times New Roman"/>
          <w:sz w:val="26"/>
          <w:szCs w:val="26"/>
        </w:rPr>
      </w:pPr>
      <w:r w:rsidRPr="00CB16FF">
        <w:rPr>
          <w:rFonts w:ascii="Times New Roman" w:hAnsi="Times New Roman" w:cs="Times New Roman"/>
          <w:sz w:val="26"/>
          <w:szCs w:val="26"/>
        </w:rPr>
        <w:t>Mức học bổng loại Khá</w:t>
      </w:r>
      <w:r w:rsidR="00F45033" w:rsidRPr="00CB16FF">
        <w:rPr>
          <w:rFonts w:ascii="Times New Roman" w:hAnsi="Times New Roman" w:cs="Times New Roman"/>
          <w:sz w:val="26"/>
          <w:szCs w:val="26"/>
        </w:rPr>
        <w:t>.</w:t>
      </w:r>
    </w:p>
    <w:p w:rsidR="004303F7" w:rsidRPr="0061372D" w:rsidRDefault="004303F7" w:rsidP="00526C01">
      <w:pPr>
        <w:pStyle w:val="ListParagraph"/>
        <w:numPr>
          <w:ilvl w:val="0"/>
          <w:numId w:val="7"/>
        </w:numPr>
        <w:spacing w:after="0" w:line="360" w:lineRule="auto"/>
        <w:rPr>
          <w:rFonts w:ascii="Times New Roman" w:hAnsi="Times New Roman" w:cs="Times New Roman"/>
          <w:sz w:val="26"/>
          <w:szCs w:val="26"/>
        </w:rPr>
      </w:pPr>
      <w:r w:rsidRPr="0061372D">
        <w:rPr>
          <w:rFonts w:ascii="Times New Roman" w:hAnsi="Times New Roman" w:cs="Times New Roman"/>
          <w:sz w:val="26"/>
          <w:szCs w:val="26"/>
        </w:rPr>
        <w:t>Thống kê số lượng sinh viên theo khóa, ngành</w:t>
      </w:r>
      <w:r w:rsidR="00F45033">
        <w:rPr>
          <w:rFonts w:ascii="Times New Roman" w:hAnsi="Times New Roman" w:cs="Times New Roman"/>
          <w:sz w:val="26"/>
          <w:szCs w:val="26"/>
        </w:rPr>
        <w:t>.</w:t>
      </w:r>
    </w:p>
    <w:p w:rsidR="00584A85" w:rsidRDefault="004303F7" w:rsidP="003F45A5">
      <w:pPr>
        <w:pStyle w:val="ListParagraph"/>
        <w:numPr>
          <w:ilvl w:val="0"/>
          <w:numId w:val="7"/>
        </w:numPr>
        <w:spacing w:after="0" w:line="360" w:lineRule="auto"/>
        <w:rPr>
          <w:rFonts w:ascii="Times New Roman" w:hAnsi="Times New Roman" w:cs="Times New Roman"/>
          <w:sz w:val="26"/>
          <w:szCs w:val="26"/>
        </w:rPr>
      </w:pPr>
      <w:r w:rsidRPr="0061372D">
        <w:rPr>
          <w:rFonts w:ascii="Times New Roman" w:hAnsi="Times New Roman" w:cs="Times New Roman"/>
          <w:sz w:val="26"/>
          <w:szCs w:val="26"/>
        </w:rPr>
        <w:t>Danh sách</w:t>
      </w:r>
      <w:r w:rsidR="00362989" w:rsidRPr="0061372D">
        <w:rPr>
          <w:rFonts w:ascii="Times New Roman" w:hAnsi="Times New Roman" w:cs="Times New Roman"/>
          <w:sz w:val="26"/>
          <w:szCs w:val="26"/>
        </w:rPr>
        <w:t xml:space="preserve"> sinh viên</w:t>
      </w:r>
      <w:r w:rsidRPr="0061372D">
        <w:rPr>
          <w:rFonts w:ascii="Times New Roman" w:hAnsi="Times New Roman" w:cs="Times New Roman"/>
          <w:sz w:val="26"/>
          <w:szCs w:val="26"/>
        </w:rPr>
        <w:t xml:space="preserve"> đủ điều kiện nhận học bổng, được c</w:t>
      </w:r>
      <w:r w:rsidR="00995E42" w:rsidRPr="0061372D">
        <w:rPr>
          <w:rFonts w:ascii="Times New Roman" w:hAnsi="Times New Roman" w:cs="Times New Roman"/>
          <w:sz w:val="26"/>
          <w:szCs w:val="26"/>
        </w:rPr>
        <w:t>ộ</w:t>
      </w:r>
      <w:r w:rsidRPr="0061372D">
        <w:rPr>
          <w:rFonts w:ascii="Times New Roman" w:hAnsi="Times New Roman" w:cs="Times New Roman"/>
          <w:sz w:val="26"/>
          <w:szCs w:val="26"/>
        </w:rPr>
        <w:t>ng điể</w:t>
      </w:r>
      <w:r w:rsidR="00A31FE4" w:rsidRPr="0061372D">
        <w:rPr>
          <w:rFonts w:ascii="Times New Roman" w:hAnsi="Times New Roman" w:cs="Times New Roman"/>
          <w:sz w:val="26"/>
          <w:szCs w:val="26"/>
        </w:rPr>
        <w:t>m ưu tiên, điểm thưởng</w:t>
      </w:r>
      <w:r w:rsidR="00F45033">
        <w:rPr>
          <w:rFonts w:ascii="Times New Roman" w:hAnsi="Times New Roman" w:cs="Times New Roman"/>
          <w:sz w:val="26"/>
          <w:szCs w:val="26"/>
        </w:rPr>
        <w:t>.</w:t>
      </w:r>
    </w:p>
    <w:p w:rsidR="004303F7" w:rsidRDefault="003F45A5" w:rsidP="00584A85">
      <w:pPr>
        <w:spacing w:after="0" w:line="360" w:lineRule="auto"/>
        <w:rPr>
          <w:rFonts w:ascii="Times New Roman" w:hAnsi="Times New Roman" w:cs="Times New Roman"/>
          <w:sz w:val="26"/>
          <w:szCs w:val="26"/>
        </w:rPr>
      </w:pPr>
      <w:r w:rsidRPr="00584A85">
        <w:rPr>
          <w:rFonts w:ascii="Times New Roman" w:hAnsi="Times New Roman" w:cs="Times New Roman"/>
          <w:sz w:val="26"/>
          <w:szCs w:val="26"/>
        </w:rPr>
        <w:t xml:space="preserve">- </w:t>
      </w:r>
      <w:r w:rsidR="00C76B42" w:rsidRPr="00584A85">
        <w:rPr>
          <w:rFonts w:ascii="Times New Roman" w:hAnsi="Times New Roman" w:cs="Times New Roman"/>
          <w:sz w:val="26"/>
          <w:szCs w:val="26"/>
        </w:rPr>
        <w:t>Các K</w:t>
      </w:r>
      <w:r w:rsidR="004303F7" w:rsidRPr="00584A85">
        <w:rPr>
          <w:rFonts w:ascii="Times New Roman" w:hAnsi="Times New Roman" w:cs="Times New Roman"/>
          <w:sz w:val="26"/>
          <w:szCs w:val="26"/>
        </w:rPr>
        <w:t>hoa xem xét và lậ</w:t>
      </w:r>
      <w:r w:rsidR="00C76B42" w:rsidRPr="00584A85">
        <w:rPr>
          <w:rFonts w:ascii="Times New Roman" w:hAnsi="Times New Roman" w:cs="Times New Roman"/>
          <w:sz w:val="26"/>
          <w:szCs w:val="26"/>
        </w:rPr>
        <w:t>p danh sách sinh viên</w:t>
      </w:r>
      <w:r w:rsidR="004303F7" w:rsidRPr="00584A85">
        <w:rPr>
          <w:rFonts w:ascii="Times New Roman" w:hAnsi="Times New Roman" w:cs="Times New Roman"/>
          <w:sz w:val="26"/>
          <w:szCs w:val="26"/>
        </w:rPr>
        <w:t xml:space="preserve"> được đề nghị nhậ</w:t>
      </w:r>
      <w:r w:rsidR="00C76B42" w:rsidRPr="00584A85">
        <w:rPr>
          <w:rFonts w:ascii="Times New Roman" w:hAnsi="Times New Roman" w:cs="Times New Roman"/>
          <w:sz w:val="26"/>
          <w:szCs w:val="26"/>
        </w:rPr>
        <w:t>n học bổng</w:t>
      </w:r>
      <w:r w:rsidR="004303F7" w:rsidRPr="00584A85">
        <w:rPr>
          <w:rFonts w:ascii="Times New Roman" w:hAnsi="Times New Roman" w:cs="Times New Roman"/>
          <w:sz w:val="26"/>
          <w:szCs w:val="26"/>
        </w:rPr>
        <w:t>:</w:t>
      </w:r>
    </w:p>
    <w:p w:rsidR="00F16E5A" w:rsidRPr="00584A85" w:rsidRDefault="00F16E5A" w:rsidP="00E31512">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Khoa phân bổ đều cho các ngành thuộc Khoa dựa vào tỷ lệ sinh viên của ngành trên tổng số sinh viên toàn </w:t>
      </w:r>
      <w:r w:rsidR="00D71DA8">
        <w:rPr>
          <w:rFonts w:ascii="Times New Roman" w:hAnsi="Times New Roman" w:cs="Times New Roman"/>
          <w:sz w:val="26"/>
          <w:szCs w:val="26"/>
        </w:rPr>
        <w:t>Khoa</w:t>
      </w:r>
      <w:r>
        <w:rPr>
          <w:rFonts w:ascii="Times New Roman" w:hAnsi="Times New Roman" w:cs="Times New Roman"/>
          <w:sz w:val="26"/>
          <w:szCs w:val="26"/>
        </w:rPr>
        <w:t xml:space="preserve"> để biết ngành đó sẽ có bao nhiêu suất. </w:t>
      </w:r>
    </w:p>
    <w:p w:rsidR="004303F7" w:rsidRPr="00CC38D1" w:rsidRDefault="004303F7" w:rsidP="00526C01">
      <w:pPr>
        <w:pStyle w:val="ListParagraph"/>
        <w:numPr>
          <w:ilvl w:val="0"/>
          <w:numId w:val="7"/>
        </w:numPr>
        <w:spacing w:after="0" w:line="360" w:lineRule="auto"/>
        <w:rPr>
          <w:rFonts w:ascii="Times New Roman" w:hAnsi="Times New Roman" w:cs="Times New Roman"/>
          <w:sz w:val="26"/>
          <w:szCs w:val="26"/>
        </w:rPr>
      </w:pPr>
      <w:r w:rsidRPr="00CC38D1">
        <w:rPr>
          <w:rFonts w:ascii="Times New Roman" w:hAnsi="Times New Roman" w:cs="Times New Roman"/>
          <w:sz w:val="26"/>
          <w:szCs w:val="26"/>
        </w:rPr>
        <w:t>Sắp xế</w:t>
      </w:r>
      <w:r w:rsidR="00B326A0" w:rsidRPr="00CC38D1">
        <w:rPr>
          <w:rFonts w:ascii="Times New Roman" w:hAnsi="Times New Roman" w:cs="Times New Roman"/>
          <w:sz w:val="26"/>
          <w:szCs w:val="26"/>
        </w:rPr>
        <w:t>p sinh viên</w:t>
      </w:r>
      <w:r w:rsidRPr="00CC38D1">
        <w:rPr>
          <w:rFonts w:ascii="Times New Roman" w:hAnsi="Times New Roman" w:cs="Times New Roman"/>
          <w:sz w:val="26"/>
          <w:szCs w:val="26"/>
        </w:rPr>
        <w:t xml:space="preserve"> từ cao xuống thấp theo điểm trung bình học kì và điểm này tính theo thang 10, trường hợp điểm bằng nhau thì mới dự</w:t>
      </w:r>
      <w:r w:rsidR="002F02DA" w:rsidRPr="00CC38D1">
        <w:rPr>
          <w:rFonts w:ascii="Times New Roman" w:hAnsi="Times New Roman" w:cs="Times New Roman"/>
          <w:sz w:val="26"/>
          <w:szCs w:val="26"/>
        </w:rPr>
        <w:t>a vào điểm rèn luyện</w:t>
      </w:r>
      <w:r w:rsidRPr="00CC38D1">
        <w:rPr>
          <w:rFonts w:ascii="Times New Roman" w:hAnsi="Times New Roman" w:cs="Times New Roman"/>
          <w:sz w:val="26"/>
          <w:szCs w:val="26"/>
        </w:rPr>
        <w:t xml:space="preserve"> để xếp thứ tự</w:t>
      </w:r>
      <w:r w:rsidR="00004366" w:rsidRPr="00CC38D1">
        <w:rPr>
          <w:rFonts w:ascii="Times New Roman" w:hAnsi="Times New Roman" w:cs="Times New Roman"/>
          <w:sz w:val="26"/>
          <w:szCs w:val="26"/>
        </w:rPr>
        <w:t xml:space="preserve"> sinh viên</w:t>
      </w:r>
      <w:r w:rsidR="00F45033">
        <w:rPr>
          <w:rFonts w:ascii="Times New Roman" w:hAnsi="Times New Roman" w:cs="Times New Roman"/>
          <w:sz w:val="26"/>
          <w:szCs w:val="26"/>
        </w:rPr>
        <w:t>.</w:t>
      </w:r>
    </w:p>
    <w:p w:rsidR="004303F7" w:rsidRPr="00CC38D1" w:rsidRDefault="00853B5C" w:rsidP="00526C01">
      <w:pPr>
        <w:pStyle w:val="ListParagraph"/>
        <w:numPr>
          <w:ilvl w:val="0"/>
          <w:numId w:val="7"/>
        </w:numPr>
        <w:spacing w:after="0" w:line="360" w:lineRule="auto"/>
        <w:rPr>
          <w:rFonts w:ascii="Times New Roman" w:hAnsi="Times New Roman" w:cs="Times New Roman"/>
          <w:sz w:val="26"/>
          <w:szCs w:val="26"/>
        </w:rPr>
      </w:pPr>
      <w:r w:rsidRPr="00CC38D1">
        <w:rPr>
          <w:rFonts w:ascii="Times New Roman" w:hAnsi="Times New Roman" w:cs="Times New Roman"/>
          <w:sz w:val="26"/>
          <w:szCs w:val="26"/>
        </w:rPr>
        <w:t>Trường hợp</w:t>
      </w:r>
      <w:r w:rsidR="004303F7" w:rsidRPr="00CC38D1">
        <w:rPr>
          <w:rFonts w:ascii="Times New Roman" w:hAnsi="Times New Roman" w:cs="Times New Roman"/>
          <w:sz w:val="26"/>
          <w:szCs w:val="26"/>
        </w:rPr>
        <w:t xml:space="preserve"> khóa- ngành không đủ số</w:t>
      </w:r>
      <w:r w:rsidR="009746CA" w:rsidRPr="00CC38D1">
        <w:rPr>
          <w:rFonts w:ascii="Times New Roman" w:hAnsi="Times New Roman" w:cs="Times New Roman"/>
          <w:sz w:val="26"/>
          <w:szCs w:val="26"/>
        </w:rPr>
        <w:t xml:space="preserve"> sinh viên</w:t>
      </w:r>
      <w:r w:rsidR="004303F7" w:rsidRPr="00CC38D1">
        <w:rPr>
          <w:rFonts w:ascii="Times New Roman" w:hAnsi="Times New Roman" w:cs="Times New Roman"/>
          <w:sz w:val="26"/>
          <w:szCs w:val="26"/>
        </w:rPr>
        <w:t xml:space="preserve"> được nhận thì Khoa phân bổ</w:t>
      </w:r>
      <w:r w:rsidR="00995E42" w:rsidRPr="00CC38D1">
        <w:rPr>
          <w:rFonts w:ascii="Times New Roman" w:hAnsi="Times New Roman" w:cs="Times New Roman"/>
          <w:sz w:val="26"/>
          <w:szCs w:val="26"/>
        </w:rPr>
        <w:t xml:space="preserve"> học bổng</w:t>
      </w:r>
      <w:r w:rsidR="004303F7" w:rsidRPr="00CC38D1">
        <w:rPr>
          <w:rFonts w:ascii="Times New Roman" w:hAnsi="Times New Roman" w:cs="Times New Roman"/>
          <w:sz w:val="26"/>
          <w:szCs w:val="26"/>
        </w:rPr>
        <w:t xml:space="preserve"> thừa cho các s</w:t>
      </w:r>
      <w:r w:rsidR="00431E61">
        <w:rPr>
          <w:rFonts w:ascii="Times New Roman" w:hAnsi="Times New Roman" w:cs="Times New Roman"/>
          <w:sz w:val="26"/>
          <w:szCs w:val="26"/>
        </w:rPr>
        <w:t>inh viê</w:t>
      </w:r>
      <w:r w:rsidR="004303F7" w:rsidRPr="00CC38D1">
        <w:rPr>
          <w:rFonts w:ascii="Times New Roman" w:hAnsi="Times New Roman" w:cs="Times New Roman"/>
          <w:sz w:val="26"/>
          <w:szCs w:val="26"/>
        </w:rPr>
        <w:t xml:space="preserve">n khác theo thứ tự ưu tiên từ cao xuống thấp: (1) cùng </w:t>
      </w:r>
      <w:r w:rsidR="004303F7" w:rsidRPr="00CC38D1">
        <w:rPr>
          <w:rFonts w:ascii="Times New Roman" w:hAnsi="Times New Roman" w:cs="Times New Roman"/>
          <w:sz w:val="26"/>
          <w:szCs w:val="26"/>
        </w:rPr>
        <w:lastRenderedPageBreak/>
        <w:t>ngành, cùng khóa, (2) khác ngành cùng khóa, (3) cùng ngành, khác khóa, (4) khác ngành, khác khóa</w:t>
      </w:r>
      <w:r w:rsidR="00F45033">
        <w:rPr>
          <w:rFonts w:ascii="Times New Roman" w:hAnsi="Times New Roman" w:cs="Times New Roman"/>
          <w:sz w:val="26"/>
          <w:szCs w:val="26"/>
        </w:rPr>
        <w:t>.</w:t>
      </w:r>
    </w:p>
    <w:p w:rsidR="0046306D" w:rsidRPr="00F6371B" w:rsidRDefault="00EA4D35" w:rsidP="00CE05BF">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Sau khi hoàn tất các Khoa gởi d</w:t>
      </w:r>
      <w:r w:rsidR="002E086D">
        <w:rPr>
          <w:rFonts w:ascii="Times New Roman" w:hAnsi="Times New Roman" w:cs="Times New Roman"/>
          <w:sz w:val="26"/>
          <w:szCs w:val="26"/>
        </w:rPr>
        <w:t>anh sách</w:t>
      </w:r>
      <w:r w:rsidRPr="00F6371B">
        <w:rPr>
          <w:rFonts w:ascii="Times New Roman" w:hAnsi="Times New Roman" w:cs="Times New Roman"/>
          <w:sz w:val="26"/>
          <w:szCs w:val="26"/>
        </w:rPr>
        <w:t xml:space="preserve"> về Phòng CTSV</w:t>
      </w:r>
      <w:r w:rsidR="00717721">
        <w:rPr>
          <w:rFonts w:ascii="Times New Roman" w:hAnsi="Times New Roman" w:cs="Times New Roman"/>
          <w:sz w:val="26"/>
          <w:szCs w:val="26"/>
        </w:rPr>
        <w:t xml:space="preserve"> và </w:t>
      </w:r>
      <w:r w:rsidR="0046306D" w:rsidRPr="00F6371B">
        <w:rPr>
          <w:rFonts w:ascii="Times New Roman" w:hAnsi="Times New Roman" w:cs="Times New Roman"/>
          <w:sz w:val="26"/>
          <w:szCs w:val="26"/>
        </w:rPr>
        <w:t xml:space="preserve"> Phòng CTSV công bố d</w:t>
      </w:r>
      <w:r w:rsidR="001A1EBB">
        <w:rPr>
          <w:rFonts w:ascii="Times New Roman" w:hAnsi="Times New Roman" w:cs="Times New Roman"/>
          <w:sz w:val="26"/>
          <w:szCs w:val="26"/>
        </w:rPr>
        <w:t>anh sách sinh viên</w:t>
      </w:r>
      <w:r w:rsidR="0046306D" w:rsidRPr="00F6371B">
        <w:rPr>
          <w:rFonts w:ascii="Times New Roman" w:hAnsi="Times New Roman" w:cs="Times New Roman"/>
          <w:sz w:val="26"/>
          <w:szCs w:val="26"/>
        </w:rPr>
        <w:t xml:space="preserve"> được nhận để lấy phản hồi trong 10 ngày</w:t>
      </w:r>
      <w:r w:rsidR="00F45033">
        <w:rPr>
          <w:rFonts w:ascii="Times New Roman" w:hAnsi="Times New Roman" w:cs="Times New Roman"/>
          <w:sz w:val="26"/>
          <w:szCs w:val="26"/>
        </w:rPr>
        <w:t>.</w:t>
      </w:r>
    </w:p>
    <w:p w:rsidR="0046306D" w:rsidRPr="00F6371B" w:rsidRDefault="0046306D" w:rsidP="00CE05BF">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Sau khi kết thúc thời gian sinh viên phản hồi, phòng CTSV trình Hội đồng xét cấp h</w:t>
      </w:r>
      <w:r w:rsidR="00FD4045">
        <w:rPr>
          <w:rFonts w:ascii="Times New Roman" w:hAnsi="Times New Roman" w:cs="Times New Roman"/>
          <w:sz w:val="26"/>
          <w:szCs w:val="26"/>
        </w:rPr>
        <w:t>ọc bổ</w:t>
      </w:r>
      <w:r w:rsidRPr="00F6371B">
        <w:rPr>
          <w:rFonts w:ascii="Times New Roman" w:hAnsi="Times New Roman" w:cs="Times New Roman"/>
          <w:sz w:val="26"/>
          <w:szCs w:val="26"/>
        </w:rPr>
        <w:t>ng của trườ</w:t>
      </w:r>
      <w:r w:rsidR="002A2204">
        <w:rPr>
          <w:rFonts w:ascii="Times New Roman" w:hAnsi="Times New Roman" w:cs="Times New Roman"/>
          <w:sz w:val="26"/>
          <w:szCs w:val="26"/>
        </w:rPr>
        <w:t>ng và</w:t>
      </w:r>
      <w:r w:rsidRPr="00F6371B">
        <w:rPr>
          <w:rFonts w:ascii="Times New Roman" w:hAnsi="Times New Roman" w:cs="Times New Roman"/>
          <w:sz w:val="26"/>
          <w:szCs w:val="26"/>
        </w:rPr>
        <w:t xml:space="preserve"> họp xét duyệt và trình kết quả lên Hiệu trưởng duyệt</w:t>
      </w:r>
      <w:r w:rsidR="00F45033">
        <w:rPr>
          <w:rFonts w:ascii="Times New Roman" w:hAnsi="Times New Roman" w:cs="Times New Roman"/>
          <w:sz w:val="26"/>
          <w:szCs w:val="26"/>
        </w:rPr>
        <w:t>.</w:t>
      </w:r>
    </w:p>
    <w:p w:rsidR="0046306D" w:rsidRPr="00F6371B" w:rsidRDefault="0046306D" w:rsidP="00CE05BF">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xml:space="preserve">- </w:t>
      </w:r>
      <w:r w:rsidR="00E86EFB">
        <w:rPr>
          <w:rFonts w:ascii="Times New Roman" w:hAnsi="Times New Roman" w:cs="Times New Roman"/>
          <w:sz w:val="26"/>
          <w:szCs w:val="26"/>
        </w:rPr>
        <w:t xml:space="preserve">Phòng </w:t>
      </w:r>
      <w:r w:rsidRPr="00F6371B">
        <w:rPr>
          <w:rFonts w:ascii="Times New Roman" w:hAnsi="Times New Roman" w:cs="Times New Roman"/>
          <w:sz w:val="26"/>
          <w:szCs w:val="26"/>
        </w:rPr>
        <w:t>CTS</w:t>
      </w:r>
      <w:r w:rsidR="00F16F15">
        <w:rPr>
          <w:rFonts w:ascii="Times New Roman" w:hAnsi="Times New Roman" w:cs="Times New Roman"/>
          <w:sz w:val="26"/>
          <w:szCs w:val="26"/>
        </w:rPr>
        <w:t>V thông báo danh sách sinh viên</w:t>
      </w:r>
      <w:r w:rsidRPr="00F6371B">
        <w:rPr>
          <w:rFonts w:ascii="Times New Roman" w:hAnsi="Times New Roman" w:cs="Times New Roman"/>
          <w:sz w:val="26"/>
          <w:szCs w:val="26"/>
        </w:rPr>
        <w:t xml:space="preserve"> chính thức được nhận</w:t>
      </w:r>
      <w:r w:rsidR="00F45033">
        <w:rPr>
          <w:rFonts w:ascii="Times New Roman" w:hAnsi="Times New Roman" w:cs="Times New Roman"/>
          <w:sz w:val="26"/>
          <w:szCs w:val="26"/>
        </w:rPr>
        <w:t>.</w:t>
      </w:r>
    </w:p>
    <w:p w:rsidR="0046306D" w:rsidRPr="00F6371B" w:rsidRDefault="0046306D" w:rsidP="00CE05BF">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xml:space="preserve">- Phòng KH-TC làm thủ tục cấp tiền </w:t>
      </w:r>
      <w:r w:rsidR="00F45033">
        <w:rPr>
          <w:rFonts w:ascii="Times New Roman" w:hAnsi="Times New Roman" w:cs="Times New Roman"/>
          <w:sz w:val="26"/>
          <w:szCs w:val="26"/>
        </w:rPr>
        <w:t>.</w:t>
      </w:r>
    </w:p>
    <w:p w:rsidR="00843B19" w:rsidRPr="00F6371B" w:rsidRDefault="00921AB1" w:rsidP="00367D39">
      <w:pPr>
        <w:pStyle w:val="Heading2"/>
      </w:pPr>
      <w:r w:rsidRPr="00F6371B">
        <w:t>1.2</w:t>
      </w:r>
      <w:r w:rsidR="000775DA">
        <w:t>. Học bổng t</w:t>
      </w:r>
      <w:r w:rsidR="00843B19" w:rsidRPr="00F6371B">
        <w:t>hử</w:t>
      </w:r>
      <w:r w:rsidR="003C0BCB">
        <w:t xml:space="preserve"> thách UTE</w:t>
      </w:r>
    </w:p>
    <w:p w:rsidR="00843B19" w:rsidRPr="00F6371B" w:rsidRDefault="00065A5A" w:rsidP="00500792">
      <w:pPr>
        <w:rPr>
          <w:rFonts w:ascii="Times New Roman" w:hAnsi="Times New Roman" w:cs="Times New Roman"/>
          <w:sz w:val="26"/>
          <w:szCs w:val="26"/>
        </w:rPr>
      </w:pPr>
      <w:r w:rsidRPr="00F6371B">
        <w:rPr>
          <w:rFonts w:ascii="Times New Roman" w:hAnsi="Times New Roman" w:cs="Times New Roman"/>
          <w:sz w:val="26"/>
          <w:szCs w:val="26"/>
        </w:rPr>
        <w:t>- Kinh phí được trích từ Quỹ học bổng khuyến khích học tập của trường</w:t>
      </w:r>
      <w:r w:rsidR="00F45033">
        <w:rPr>
          <w:rFonts w:ascii="Times New Roman" w:hAnsi="Times New Roman" w:cs="Times New Roman"/>
          <w:sz w:val="26"/>
          <w:szCs w:val="26"/>
        </w:rPr>
        <w:t>.</w:t>
      </w:r>
    </w:p>
    <w:p w:rsidR="00F51278" w:rsidRPr="00367D39" w:rsidRDefault="000C4E85" w:rsidP="00367D39">
      <w:pPr>
        <w:pStyle w:val="Heading3"/>
      </w:pPr>
      <w:r w:rsidRPr="00367D39">
        <w:t>1.2</w:t>
      </w:r>
      <w:r w:rsidR="00F51278" w:rsidRPr="00367D39">
        <w:t xml:space="preserve">.1. </w:t>
      </w:r>
      <w:r w:rsidR="004374CF" w:rsidRPr="00367D39">
        <w:t>Tiêu chuẩ</w:t>
      </w:r>
      <w:r w:rsidR="003B240F" w:rsidRPr="00367D39">
        <w:t>n</w:t>
      </w:r>
    </w:p>
    <w:p w:rsidR="004374CF" w:rsidRPr="00F6371B" w:rsidRDefault="00D51008" w:rsidP="00015D4C">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Có kết quả học tập cả năm từ giỏi trở lên</w:t>
      </w:r>
      <w:r w:rsidR="00F45033">
        <w:rPr>
          <w:rFonts w:ascii="Times New Roman" w:hAnsi="Times New Roman" w:cs="Times New Roman"/>
          <w:sz w:val="26"/>
          <w:szCs w:val="26"/>
        </w:rPr>
        <w:t>.</w:t>
      </w:r>
    </w:p>
    <w:p w:rsidR="00D51008" w:rsidRPr="00F6371B" w:rsidRDefault="00D51008" w:rsidP="00015D4C">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xml:space="preserve">- Số tín </w:t>
      </w:r>
      <w:r w:rsidR="00BD4F4E">
        <w:rPr>
          <w:rFonts w:ascii="Times New Roman" w:hAnsi="Times New Roman" w:cs="Times New Roman"/>
          <w:sz w:val="26"/>
          <w:szCs w:val="26"/>
        </w:rPr>
        <w:t>chỉ đăng kí</w:t>
      </w:r>
      <w:r w:rsidRPr="00F6371B">
        <w:rPr>
          <w:rFonts w:ascii="Times New Roman" w:hAnsi="Times New Roman" w:cs="Times New Roman"/>
          <w:sz w:val="26"/>
          <w:szCs w:val="26"/>
        </w:rPr>
        <w:t xml:space="preserve"> ở mức trung bình (từ 18 chỉ/ kỳ trở lên) và kết quả kết thúc học phần tất cả các học phần phải từ loại C trở lên</w:t>
      </w:r>
      <w:r w:rsidR="00F45033">
        <w:rPr>
          <w:rFonts w:ascii="Times New Roman" w:hAnsi="Times New Roman" w:cs="Times New Roman"/>
          <w:sz w:val="26"/>
          <w:szCs w:val="26"/>
        </w:rPr>
        <w:t>.</w:t>
      </w:r>
    </w:p>
    <w:p w:rsidR="00DE38BD" w:rsidRPr="00F6371B" w:rsidRDefault="00DE38BD" w:rsidP="00015D4C">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Tích cực tham gia nghiên cứu khoa học và các hoạt động ngoạ</w:t>
      </w:r>
      <w:r w:rsidR="00F33117" w:rsidRPr="00F6371B">
        <w:rPr>
          <w:rFonts w:ascii="Times New Roman" w:hAnsi="Times New Roman" w:cs="Times New Roman"/>
          <w:sz w:val="26"/>
          <w:szCs w:val="26"/>
        </w:rPr>
        <w:t>i khóa, ưu tiên cho các nhó</w:t>
      </w:r>
      <w:r w:rsidRPr="00F6371B">
        <w:rPr>
          <w:rFonts w:ascii="Times New Roman" w:hAnsi="Times New Roman" w:cs="Times New Roman"/>
          <w:sz w:val="26"/>
          <w:szCs w:val="26"/>
        </w:rPr>
        <w:t>m và sinh viên có thành tích học tập hoặc NCKH nổi bật, cụ thể</w:t>
      </w:r>
      <w:r w:rsidR="00F45033">
        <w:rPr>
          <w:rFonts w:ascii="Times New Roman" w:hAnsi="Times New Roman" w:cs="Times New Roman"/>
          <w:sz w:val="26"/>
          <w:szCs w:val="26"/>
        </w:rPr>
        <w:t>.</w:t>
      </w:r>
    </w:p>
    <w:p w:rsidR="00EB429D" w:rsidRPr="00367D39" w:rsidRDefault="00CB30C8" w:rsidP="00367D39">
      <w:pPr>
        <w:pStyle w:val="Heading3"/>
      </w:pPr>
      <w:r w:rsidRPr="00367D39">
        <w:t>1</w:t>
      </w:r>
      <w:r w:rsidR="00EB429D" w:rsidRPr="00367D39">
        <w:t>.2.</w:t>
      </w:r>
      <w:r w:rsidRPr="00367D39">
        <w:t>2.</w:t>
      </w:r>
      <w:r w:rsidR="00EB429D" w:rsidRPr="00367D39">
        <w:t xml:space="preserve"> Mức học bổ</w:t>
      </w:r>
      <w:r w:rsidR="0039163E" w:rsidRPr="00367D39">
        <w:t>ng</w:t>
      </w:r>
      <w:r w:rsidR="00920E46" w:rsidRPr="00367D39">
        <w:t xml:space="preserve"> và số suất</w:t>
      </w:r>
    </w:p>
    <w:p w:rsidR="00EB429D" w:rsidRPr="00F6371B" w:rsidRDefault="00EB429D" w:rsidP="002B3615">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xml:space="preserve">- Sinh viên được xét </w:t>
      </w:r>
      <w:r w:rsidR="00F773F2">
        <w:rPr>
          <w:rFonts w:ascii="Times New Roman" w:hAnsi="Times New Roman" w:cs="Times New Roman"/>
          <w:sz w:val="26"/>
          <w:szCs w:val="26"/>
        </w:rPr>
        <w:t xml:space="preserve">cấp học bổng sẽ được </w:t>
      </w:r>
      <w:r w:rsidRPr="00F6371B">
        <w:rPr>
          <w:rFonts w:ascii="Times New Roman" w:hAnsi="Times New Roman" w:cs="Times New Roman"/>
          <w:sz w:val="26"/>
          <w:szCs w:val="26"/>
        </w:rPr>
        <w:t>nhận 20 triệu</w:t>
      </w:r>
      <w:r w:rsidR="000C72DC">
        <w:rPr>
          <w:rFonts w:ascii="Times New Roman" w:hAnsi="Times New Roman" w:cs="Times New Roman"/>
          <w:sz w:val="26"/>
          <w:szCs w:val="26"/>
        </w:rPr>
        <w:t xml:space="preserve"> đồng</w:t>
      </w:r>
      <w:r w:rsidRPr="00F6371B">
        <w:rPr>
          <w:rFonts w:ascii="Times New Roman" w:hAnsi="Times New Roman" w:cs="Times New Roman"/>
          <w:sz w:val="26"/>
          <w:szCs w:val="26"/>
        </w:rPr>
        <w:t xml:space="preserve"> trong năm</w:t>
      </w:r>
      <w:r w:rsidR="00E715A6">
        <w:rPr>
          <w:rFonts w:ascii="Times New Roman" w:hAnsi="Times New Roman" w:cs="Times New Roman"/>
          <w:sz w:val="26"/>
          <w:szCs w:val="26"/>
        </w:rPr>
        <w:t xml:space="preserve"> học</w:t>
      </w:r>
      <w:r w:rsidRPr="00F6371B">
        <w:rPr>
          <w:rFonts w:ascii="Times New Roman" w:hAnsi="Times New Roman" w:cs="Times New Roman"/>
          <w:sz w:val="26"/>
          <w:szCs w:val="26"/>
        </w:rPr>
        <w:t xml:space="preserve"> được xét</w:t>
      </w:r>
      <w:r w:rsidR="00F45033">
        <w:rPr>
          <w:rFonts w:ascii="Times New Roman" w:hAnsi="Times New Roman" w:cs="Times New Roman"/>
          <w:sz w:val="26"/>
          <w:szCs w:val="26"/>
        </w:rPr>
        <w:t>.</w:t>
      </w:r>
    </w:p>
    <w:p w:rsidR="00F17472" w:rsidRPr="00F6371B" w:rsidRDefault="00F17472" w:rsidP="002B3615">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Có tối đa 20 suất được trao trong toàn trường mỗi năm</w:t>
      </w:r>
      <w:r w:rsidR="00F45033">
        <w:rPr>
          <w:rFonts w:ascii="Times New Roman" w:hAnsi="Times New Roman" w:cs="Times New Roman"/>
          <w:sz w:val="26"/>
          <w:szCs w:val="26"/>
        </w:rPr>
        <w:t>.</w:t>
      </w:r>
    </w:p>
    <w:p w:rsidR="008E4D38" w:rsidRPr="00367D39" w:rsidRDefault="001B5319" w:rsidP="00367D39">
      <w:pPr>
        <w:pStyle w:val="Heading3"/>
      </w:pPr>
      <w:r w:rsidRPr="00367D39">
        <w:t>1.2</w:t>
      </w:r>
      <w:r w:rsidR="008E4D38" w:rsidRPr="00367D39">
        <w:t>.</w:t>
      </w:r>
      <w:r w:rsidRPr="00367D39">
        <w:t>3.</w:t>
      </w:r>
      <w:r w:rsidR="00017BE6" w:rsidRPr="00367D39">
        <w:t xml:space="preserve"> Quy trình và hồ sơ</w:t>
      </w:r>
    </w:p>
    <w:p w:rsidR="005A4327" w:rsidRPr="00367D39" w:rsidRDefault="00A95D2A" w:rsidP="00367D39">
      <w:pPr>
        <w:pStyle w:val="Heading4"/>
      </w:pPr>
      <w:r w:rsidRPr="00367D39">
        <w:t>1.2.3</w:t>
      </w:r>
      <w:r w:rsidR="005A4327" w:rsidRPr="00367D39">
        <w:t>.</w:t>
      </w:r>
      <w:r w:rsidRPr="00367D39">
        <w:t>1.</w:t>
      </w:r>
      <w:r w:rsidR="005A4327" w:rsidRPr="00367D39">
        <w:t xml:space="preserve"> Hồ sơ</w:t>
      </w:r>
    </w:p>
    <w:p w:rsidR="008E4D38" w:rsidRDefault="008E4D38" w:rsidP="00DB4D1E">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Phiếu đăng kí dự tuyển học bổng có giới thiệu của GVCN và 2 giảng viên trực tiếp giảng dạy</w:t>
      </w:r>
    </w:p>
    <w:p w:rsidR="006540FC" w:rsidRPr="00F6371B" w:rsidRDefault="006540FC" w:rsidP="00DB4D1E">
      <w:pPr>
        <w:spacing w:after="0" w:line="360" w:lineRule="auto"/>
        <w:rPr>
          <w:rFonts w:ascii="Times New Roman" w:hAnsi="Times New Roman" w:cs="Times New Roman"/>
          <w:sz w:val="26"/>
          <w:szCs w:val="26"/>
        </w:rPr>
      </w:pPr>
      <w:r>
        <w:rPr>
          <w:rFonts w:ascii="Times New Roman" w:hAnsi="Times New Roman" w:cs="Times New Roman"/>
          <w:sz w:val="26"/>
          <w:szCs w:val="26"/>
        </w:rPr>
        <w:t>- Bài tự luận viết tay chủ đề: Tại sao bạn chọn học bổng Thử thách UTE và bạn có xứng đáng nhận học bổng này không?</w:t>
      </w:r>
    </w:p>
    <w:p w:rsidR="008E4D38" w:rsidRPr="00F6371B" w:rsidRDefault="008E4D38" w:rsidP="00DB4D1E">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Bảng điểm kết quả học tập và rèn luyện trong năm học xét cấp học bổng</w:t>
      </w:r>
    </w:p>
    <w:p w:rsidR="008E4D38" w:rsidRPr="00F6371B" w:rsidRDefault="008E4D38" w:rsidP="00DB4D1E">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w:t>
      </w:r>
      <w:r w:rsidR="00AE190C" w:rsidRPr="00F6371B">
        <w:rPr>
          <w:rFonts w:ascii="Times New Roman" w:hAnsi="Times New Roman" w:cs="Times New Roman"/>
          <w:sz w:val="26"/>
          <w:szCs w:val="26"/>
        </w:rPr>
        <w:t xml:space="preserve"> Các minh chứng về thành tích học tập, NCKH và kết quả tham gia các hoạt động ngoại khóa trong năm được xét cấp học bổng</w:t>
      </w:r>
      <w:r w:rsidR="00F45033">
        <w:rPr>
          <w:rFonts w:ascii="Times New Roman" w:hAnsi="Times New Roman" w:cs="Times New Roman"/>
          <w:sz w:val="26"/>
          <w:szCs w:val="26"/>
        </w:rPr>
        <w:t>.</w:t>
      </w:r>
    </w:p>
    <w:p w:rsidR="003A3B9F" w:rsidRPr="00367D39" w:rsidRDefault="005D3045" w:rsidP="00367D39">
      <w:pPr>
        <w:pStyle w:val="Heading4"/>
      </w:pPr>
      <w:r w:rsidRPr="00367D39">
        <w:lastRenderedPageBreak/>
        <w:t>1.2.3.2. Quy trình</w:t>
      </w:r>
    </w:p>
    <w:p w:rsidR="003A3B9F" w:rsidRPr="00F6371B" w:rsidRDefault="003A3B9F" w:rsidP="00B477F4">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Vào đầu năm học, phòng CTSV thông báo xét cấp cho năm học trước đó, tiếp nhận và kiểm tra</w:t>
      </w:r>
      <w:r w:rsidR="00EF10EC">
        <w:rPr>
          <w:rFonts w:ascii="Times New Roman" w:hAnsi="Times New Roman" w:cs="Times New Roman"/>
          <w:sz w:val="26"/>
          <w:szCs w:val="26"/>
        </w:rPr>
        <w:t xml:space="preserve"> sơ bộ</w:t>
      </w:r>
      <w:r w:rsidRPr="00F6371B">
        <w:rPr>
          <w:rFonts w:ascii="Times New Roman" w:hAnsi="Times New Roman" w:cs="Times New Roman"/>
          <w:sz w:val="26"/>
          <w:szCs w:val="26"/>
        </w:rPr>
        <w:t xml:space="preserve"> các bộ hồ sơ xét cấp</w:t>
      </w:r>
      <w:r w:rsidR="00A04136">
        <w:rPr>
          <w:rFonts w:ascii="Times New Roman" w:hAnsi="Times New Roman" w:cs="Times New Roman"/>
          <w:sz w:val="26"/>
          <w:szCs w:val="26"/>
        </w:rPr>
        <w:t xml:space="preserve"> học bổng của sinh viên</w:t>
      </w:r>
      <w:r w:rsidR="00576648">
        <w:rPr>
          <w:rFonts w:ascii="Times New Roman" w:hAnsi="Times New Roman" w:cs="Times New Roman"/>
          <w:sz w:val="26"/>
          <w:szCs w:val="26"/>
        </w:rPr>
        <w:t>.</w:t>
      </w:r>
    </w:p>
    <w:p w:rsidR="003A3B9F" w:rsidRPr="00F6371B" w:rsidRDefault="003A3B9F" w:rsidP="00B477F4">
      <w:pPr>
        <w:spacing w:after="0" w:line="360" w:lineRule="auto"/>
        <w:rPr>
          <w:rFonts w:ascii="Times New Roman" w:hAnsi="Times New Roman" w:cs="Times New Roman"/>
          <w:sz w:val="26"/>
          <w:szCs w:val="26"/>
        </w:rPr>
      </w:pPr>
      <w:r w:rsidRPr="00E5514A">
        <w:rPr>
          <w:rFonts w:ascii="Times New Roman" w:hAnsi="Times New Roman" w:cs="Times New Roman"/>
          <w:sz w:val="26"/>
          <w:szCs w:val="26"/>
        </w:rPr>
        <w:t>- Hội đồng xét họp</w:t>
      </w:r>
      <w:r w:rsidRPr="00F6371B">
        <w:rPr>
          <w:rFonts w:ascii="Times New Roman" w:hAnsi="Times New Roman" w:cs="Times New Roman"/>
          <w:sz w:val="26"/>
          <w:szCs w:val="26"/>
        </w:rPr>
        <w:t xml:space="preserve"> phiên thứ nhất, xem xét các hồ sơ và đề xuất sơ bộ</w:t>
      </w:r>
      <w:r w:rsidR="00DE7910">
        <w:rPr>
          <w:rFonts w:ascii="Times New Roman" w:hAnsi="Times New Roman" w:cs="Times New Roman"/>
          <w:sz w:val="26"/>
          <w:szCs w:val="26"/>
        </w:rPr>
        <w:t xml:space="preserve"> danh sách</w:t>
      </w:r>
      <w:r w:rsidRPr="00F6371B">
        <w:rPr>
          <w:rFonts w:ascii="Times New Roman" w:hAnsi="Times New Roman" w:cs="Times New Roman"/>
          <w:sz w:val="26"/>
          <w:szCs w:val="26"/>
        </w:rPr>
        <w:t xml:space="preserve"> được nhận</w:t>
      </w:r>
      <w:r w:rsidR="008F39AF">
        <w:rPr>
          <w:rFonts w:ascii="Times New Roman" w:hAnsi="Times New Roman" w:cs="Times New Roman"/>
          <w:sz w:val="26"/>
          <w:szCs w:val="26"/>
        </w:rPr>
        <w:t>.</w:t>
      </w:r>
    </w:p>
    <w:p w:rsidR="003A3B9F" w:rsidRPr="00F6371B" w:rsidRDefault="003A3B9F" w:rsidP="00B477F4">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xml:space="preserve">- </w:t>
      </w:r>
      <w:r w:rsidR="007150BF">
        <w:rPr>
          <w:rFonts w:ascii="Times New Roman" w:hAnsi="Times New Roman" w:cs="Times New Roman"/>
          <w:sz w:val="26"/>
          <w:szCs w:val="26"/>
        </w:rPr>
        <w:t xml:space="preserve">Phòng </w:t>
      </w:r>
      <w:r w:rsidRPr="00F6371B">
        <w:rPr>
          <w:rFonts w:ascii="Times New Roman" w:hAnsi="Times New Roman" w:cs="Times New Roman"/>
          <w:sz w:val="26"/>
          <w:szCs w:val="26"/>
        </w:rPr>
        <w:t>CTSV thông báo d</w:t>
      </w:r>
      <w:r w:rsidR="00F65770">
        <w:rPr>
          <w:rFonts w:ascii="Times New Roman" w:hAnsi="Times New Roman" w:cs="Times New Roman"/>
          <w:sz w:val="26"/>
          <w:szCs w:val="26"/>
        </w:rPr>
        <w:t xml:space="preserve">anh sách </w:t>
      </w:r>
      <w:r w:rsidRPr="00F6371B">
        <w:rPr>
          <w:rFonts w:ascii="Times New Roman" w:hAnsi="Times New Roman" w:cs="Times New Roman"/>
          <w:sz w:val="26"/>
          <w:szCs w:val="26"/>
        </w:rPr>
        <w:t>nói trên lên trang web để lấy ý kiến phản hồi trong 10 ngày</w:t>
      </w:r>
    </w:p>
    <w:p w:rsidR="00FB519A" w:rsidRPr="00F6371B" w:rsidRDefault="00FB519A" w:rsidP="00B477F4">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Hội đồng xét họp phiên thứ 2 tiếp tục xem xét sau khi có ý kiến phản hồi của sinh viên, xác định danh sách chính thức được nhận lên hiệu trưởng duyệt</w:t>
      </w:r>
    </w:p>
    <w:p w:rsidR="00C9597B" w:rsidRDefault="00FB519A" w:rsidP="00B477F4">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xml:space="preserve">- </w:t>
      </w:r>
      <w:r w:rsidR="007150BF">
        <w:rPr>
          <w:rFonts w:ascii="Times New Roman" w:hAnsi="Times New Roman" w:cs="Times New Roman"/>
          <w:sz w:val="26"/>
          <w:szCs w:val="26"/>
        </w:rPr>
        <w:t xml:space="preserve">Phòng </w:t>
      </w:r>
      <w:r w:rsidRPr="00F6371B">
        <w:rPr>
          <w:rFonts w:ascii="Times New Roman" w:hAnsi="Times New Roman" w:cs="Times New Roman"/>
          <w:sz w:val="26"/>
          <w:szCs w:val="26"/>
        </w:rPr>
        <w:t xml:space="preserve">CTSV thông báo lên web và tổ chức </w:t>
      </w:r>
      <w:r w:rsidR="00EC3914">
        <w:rPr>
          <w:rFonts w:ascii="Times New Roman" w:hAnsi="Times New Roman" w:cs="Times New Roman"/>
          <w:sz w:val="26"/>
          <w:szCs w:val="26"/>
        </w:rPr>
        <w:t xml:space="preserve">lễ </w:t>
      </w:r>
      <w:r w:rsidR="00CB512B">
        <w:rPr>
          <w:rFonts w:ascii="Times New Roman" w:hAnsi="Times New Roman" w:cs="Times New Roman"/>
          <w:sz w:val="26"/>
          <w:szCs w:val="26"/>
        </w:rPr>
        <w:t>trao học bổng</w:t>
      </w:r>
      <w:r w:rsidRPr="00F6371B">
        <w:rPr>
          <w:rFonts w:ascii="Times New Roman" w:hAnsi="Times New Roman" w:cs="Times New Roman"/>
          <w:sz w:val="26"/>
          <w:szCs w:val="26"/>
        </w:rPr>
        <w:t xml:space="preserve">. </w:t>
      </w:r>
    </w:p>
    <w:p w:rsidR="004D04E8" w:rsidRPr="00F6371B" w:rsidRDefault="00C9597B" w:rsidP="00B477F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47F91">
        <w:rPr>
          <w:rFonts w:ascii="Times New Roman" w:hAnsi="Times New Roman" w:cs="Times New Roman"/>
          <w:sz w:val="26"/>
          <w:szCs w:val="26"/>
        </w:rPr>
        <w:t>Phòng Tài chính Kế hoạch</w:t>
      </w:r>
      <w:r w:rsidR="00FB519A" w:rsidRPr="00F6371B">
        <w:rPr>
          <w:rFonts w:ascii="Times New Roman" w:hAnsi="Times New Roman" w:cs="Times New Roman"/>
          <w:sz w:val="26"/>
          <w:szCs w:val="26"/>
        </w:rPr>
        <w:t xml:space="preserve"> làm thủ tục cấp tiền</w:t>
      </w:r>
    </w:p>
    <w:p w:rsidR="00500792" w:rsidRPr="00367D39" w:rsidRDefault="00921AB1" w:rsidP="00367D39">
      <w:pPr>
        <w:pStyle w:val="Heading2"/>
      </w:pPr>
      <w:r w:rsidRPr="00367D39">
        <w:t>1.3</w:t>
      </w:r>
      <w:r w:rsidR="00D1109F" w:rsidRPr="00367D39">
        <w:t>. Học bổng nguồn từ</w:t>
      </w:r>
      <w:r w:rsidR="0037585B" w:rsidRPr="00367D39">
        <w:t xml:space="preserve"> bên ngoài</w:t>
      </w:r>
    </w:p>
    <w:p w:rsidR="008F133B" w:rsidRPr="00F6371B" w:rsidRDefault="00D1109F" w:rsidP="00C22152">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Không được trích ra từ bất kỳ nguồn kinh phí nào của trường</w:t>
      </w:r>
    </w:p>
    <w:p w:rsidR="00D1109F" w:rsidRPr="00F6371B" w:rsidRDefault="00D1109F" w:rsidP="00C22152">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Các tổ chức, cơ quan, đơn vị, doanh nghiệp hoặc cá nhân tài trợ được gọi là nhà tài trợ</w:t>
      </w:r>
    </w:p>
    <w:p w:rsidR="00D1109F" w:rsidRPr="00F6371B" w:rsidRDefault="00D1109F" w:rsidP="00C22152">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Học b</w:t>
      </w:r>
      <w:r w:rsidR="00C03B79">
        <w:rPr>
          <w:rFonts w:ascii="Times New Roman" w:hAnsi="Times New Roman" w:cs="Times New Roman"/>
          <w:sz w:val="26"/>
          <w:szCs w:val="26"/>
        </w:rPr>
        <w:t>ổ</w:t>
      </w:r>
      <w:r w:rsidR="001534C4">
        <w:rPr>
          <w:rFonts w:ascii="Times New Roman" w:hAnsi="Times New Roman" w:cs="Times New Roman"/>
          <w:sz w:val="26"/>
          <w:szCs w:val="26"/>
        </w:rPr>
        <w:t>ng</w:t>
      </w:r>
      <w:r w:rsidRPr="00F6371B">
        <w:rPr>
          <w:rFonts w:ascii="Times New Roman" w:hAnsi="Times New Roman" w:cs="Times New Roman"/>
          <w:sz w:val="26"/>
          <w:szCs w:val="26"/>
        </w:rPr>
        <w:t xml:space="preserve"> có nguồn bên ngoài được gọi là học bổng tài trợ</w:t>
      </w:r>
    </w:p>
    <w:p w:rsidR="00224E31" w:rsidRPr="00367D39" w:rsidRDefault="0037585B" w:rsidP="00367D39">
      <w:pPr>
        <w:pStyle w:val="Heading3"/>
      </w:pPr>
      <w:r w:rsidRPr="00367D39">
        <w:t>1.3</w:t>
      </w:r>
      <w:r w:rsidR="00224E31" w:rsidRPr="00367D39">
        <w:t>.</w:t>
      </w:r>
      <w:r w:rsidRPr="00367D39">
        <w:t>1.</w:t>
      </w:r>
      <w:r w:rsidR="00224E31" w:rsidRPr="00367D39">
        <w:t xml:space="preserve"> Tiêu chuẩ</w:t>
      </w:r>
      <w:r w:rsidR="004829CE" w:rsidRPr="00367D39">
        <w:t>n</w:t>
      </w:r>
    </w:p>
    <w:p w:rsidR="00224E31" w:rsidRPr="00F6371B" w:rsidRDefault="006D5A24">
      <w:pPr>
        <w:rPr>
          <w:rFonts w:ascii="Times New Roman" w:hAnsi="Times New Roman" w:cs="Times New Roman"/>
          <w:sz w:val="26"/>
          <w:szCs w:val="26"/>
        </w:rPr>
      </w:pPr>
      <w:r w:rsidRPr="00F6371B">
        <w:rPr>
          <w:rFonts w:ascii="Times New Roman" w:hAnsi="Times New Roman" w:cs="Times New Roman"/>
          <w:sz w:val="26"/>
          <w:szCs w:val="26"/>
        </w:rPr>
        <w:t>- Không bị kỉ luật từ mức khiển trách trở lên tính đến thời điểm xét cấp học bổng</w:t>
      </w:r>
    </w:p>
    <w:p w:rsidR="006D5A24" w:rsidRPr="00F6371B" w:rsidRDefault="006D5A24">
      <w:pPr>
        <w:rPr>
          <w:rFonts w:ascii="Times New Roman" w:hAnsi="Times New Roman" w:cs="Times New Roman"/>
          <w:sz w:val="26"/>
          <w:szCs w:val="26"/>
        </w:rPr>
      </w:pPr>
      <w:r w:rsidRPr="00F6371B">
        <w:rPr>
          <w:rFonts w:ascii="Times New Roman" w:hAnsi="Times New Roman" w:cs="Times New Roman"/>
          <w:sz w:val="26"/>
          <w:szCs w:val="26"/>
        </w:rPr>
        <w:t>- Các tiêu chuẩn khác do nhà tài trợ quy định</w:t>
      </w:r>
    </w:p>
    <w:p w:rsidR="004F62BD" w:rsidRPr="00367D39" w:rsidRDefault="001D617C" w:rsidP="00367D39">
      <w:pPr>
        <w:pStyle w:val="Heading3"/>
      </w:pPr>
      <w:r w:rsidRPr="00367D39">
        <w:t>1.3</w:t>
      </w:r>
      <w:r w:rsidR="004F62BD" w:rsidRPr="00367D39">
        <w:t>.</w:t>
      </w:r>
      <w:r w:rsidRPr="00367D39">
        <w:t>2.</w:t>
      </w:r>
      <w:r w:rsidR="004F62BD" w:rsidRPr="00367D39">
        <w:t xml:space="preserve"> Số suất học bổng và mức học bổ</w:t>
      </w:r>
      <w:r w:rsidRPr="00367D39">
        <w:t>ng</w:t>
      </w:r>
    </w:p>
    <w:p w:rsidR="004F62BD" w:rsidRDefault="004F62BD" w:rsidP="004F59B6">
      <w:pPr>
        <w:spacing w:after="0" w:line="360" w:lineRule="auto"/>
        <w:rPr>
          <w:rFonts w:ascii="Times New Roman" w:hAnsi="Times New Roman" w:cs="Times New Roman"/>
          <w:sz w:val="26"/>
          <w:szCs w:val="26"/>
        </w:rPr>
      </w:pPr>
      <w:r w:rsidRPr="00F6371B">
        <w:rPr>
          <w:rFonts w:ascii="Times New Roman" w:hAnsi="Times New Roman" w:cs="Times New Roman"/>
          <w:sz w:val="26"/>
          <w:szCs w:val="26"/>
        </w:rPr>
        <w:t>- Do nhà tài trợ quy định hoặc do Hội đồng xét duyệ</w:t>
      </w:r>
      <w:r w:rsidR="00795E96">
        <w:rPr>
          <w:rFonts w:ascii="Times New Roman" w:hAnsi="Times New Roman" w:cs="Times New Roman"/>
          <w:sz w:val="26"/>
          <w:szCs w:val="26"/>
        </w:rPr>
        <w:t>t học bổng</w:t>
      </w:r>
      <w:r w:rsidRPr="00F6371B">
        <w:rPr>
          <w:rFonts w:ascii="Times New Roman" w:hAnsi="Times New Roman" w:cs="Times New Roman"/>
          <w:sz w:val="26"/>
          <w:szCs w:val="26"/>
        </w:rPr>
        <w:t xml:space="preserve"> của trường quyết định trong trường hợp nhà tài trợ ủy quyền cho nhà trường</w:t>
      </w:r>
      <w:r w:rsidR="00795E96">
        <w:rPr>
          <w:rFonts w:ascii="Times New Roman" w:hAnsi="Times New Roman" w:cs="Times New Roman"/>
          <w:sz w:val="26"/>
          <w:szCs w:val="26"/>
        </w:rPr>
        <w:t>.</w:t>
      </w:r>
    </w:p>
    <w:p w:rsidR="002B4749" w:rsidRPr="00367D39" w:rsidRDefault="002B4749" w:rsidP="00367D39">
      <w:pPr>
        <w:pStyle w:val="Heading3"/>
      </w:pPr>
      <w:r w:rsidRPr="00367D39">
        <w:t>1.3.3. Tiếp nhận thông tin học bổng tài trợ</w:t>
      </w:r>
    </w:p>
    <w:p w:rsidR="00976044" w:rsidRDefault="00BB30F6" w:rsidP="004F59B6">
      <w:pPr>
        <w:spacing w:after="0" w:line="360" w:lineRule="auto"/>
        <w:rPr>
          <w:rFonts w:ascii="Times New Roman" w:hAnsi="Times New Roman" w:cs="Times New Roman"/>
          <w:sz w:val="26"/>
          <w:szCs w:val="26"/>
        </w:rPr>
      </w:pPr>
      <w:r w:rsidRPr="00BB30F6">
        <w:rPr>
          <w:rFonts w:ascii="Times New Roman" w:hAnsi="Times New Roman" w:cs="Times New Roman"/>
          <w:sz w:val="26"/>
          <w:szCs w:val="26"/>
        </w:rPr>
        <w:t>- Sau khi nhận được thông tin học bổng tài trợ</w:t>
      </w:r>
      <w:r w:rsidR="00795E96">
        <w:rPr>
          <w:rFonts w:ascii="Times New Roman" w:hAnsi="Times New Roman" w:cs="Times New Roman"/>
          <w:sz w:val="26"/>
          <w:szCs w:val="26"/>
        </w:rPr>
        <w:t xml:space="preserve"> cho sinh viên nhà trường, kể cả học bổng dành riêng cho một ngành hay một Khoa nào đó, đơn vị hoặc cán bộ tiếp nhận thông tin có trách nhiệm thông báo cho nhà trường được biết thông qua phòng CTSV và phòng Kế ho</w:t>
      </w:r>
      <w:r w:rsidR="005F78F7">
        <w:rPr>
          <w:rFonts w:ascii="Times New Roman" w:hAnsi="Times New Roman" w:cs="Times New Roman"/>
          <w:sz w:val="26"/>
          <w:szCs w:val="26"/>
        </w:rPr>
        <w:t>ặ</w:t>
      </w:r>
      <w:r w:rsidR="00795E96">
        <w:rPr>
          <w:rFonts w:ascii="Times New Roman" w:hAnsi="Times New Roman" w:cs="Times New Roman"/>
          <w:sz w:val="26"/>
          <w:szCs w:val="26"/>
        </w:rPr>
        <w:t>c Tài chính (trong trường hợp nhà tài trợ chuyển tiền học bổng về trường)</w:t>
      </w:r>
      <w:r w:rsidR="00E4483D">
        <w:rPr>
          <w:rFonts w:ascii="Times New Roman" w:hAnsi="Times New Roman" w:cs="Times New Roman"/>
          <w:sz w:val="26"/>
          <w:szCs w:val="26"/>
        </w:rPr>
        <w:t>.</w:t>
      </w:r>
    </w:p>
    <w:p w:rsidR="002B4749" w:rsidRPr="00BB30F6" w:rsidRDefault="00976044"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Tiền tài trợ được chuyển về tài khoản ngân hàng của trường do trường quản lý chung, trừ trường hợp nhà tài trợ trao học bổng trực tiếp cho sinh viên.</w:t>
      </w:r>
      <w:r w:rsidR="00795E96">
        <w:rPr>
          <w:rFonts w:ascii="Times New Roman" w:hAnsi="Times New Roman" w:cs="Times New Roman"/>
          <w:sz w:val="26"/>
          <w:szCs w:val="26"/>
        </w:rPr>
        <w:t xml:space="preserve"> </w:t>
      </w:r>
    </w:p>
    <w:p w:rsidR="00C072D9" w:rsidRPr="00977019" w:rsidRDefault="00977019" w:rsidP="00367D39">
      <w:pPr>
        <w:pStyle w:val="Heading3"/>
      </w:pPr>
      <w:r>
        <w:lastRenderedPageBreak/>
        <w:t>1</w:t>
      </w:r>
      <w:r w:rsidR="00C072D9" w:rsidRPr="00977019">
        <w:t>.3.</w:t>
      </w:r>
      <w:r w:rsidR="002B4749">
        <w:t>4</w:t>
      </w:r>
      <w:r>
        <w:t>.</w:t>
      </w:r>
      <w:r w:rsidR="00D56EE3">
        <w:t xml:space="preserve"> Quy trình</w:t>
      </w:r>
    </w:p>
    <w:p w:rsidR="00C072D9" w:rsidRDefault="003C2AC8"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Phòng CTSV </w:t>
      </w:r>
      <w:r w:rsidR="005B6181">
        <w:rPr>
          <w:rFonts w:ascii="Times New Roman" w:hAnsi="Times New Roman" w:cs="Times New Roman"/>
          <w:sz w:val="26"/>
          <w:szCs w:val="26"/>
        </w:rPr>
        <w:t>thông báo về việc cấp phát học bổng đến sinh viên, thu nhận và kiểm tra sơ bộ hồ sơ đăng kí nhận học bổng của sinh viên</w:t>
      </w:r>
      <w:r w:rsidR="00396221">
        <w:rPr>
          <w:rFonts w:ascii="Times New Roman" w:hAnsi="Times New Roman" w:cs="Times New Roman"/>
          <w:sz w:val="26"/>
          <w:szCs w:val="26"/>
        </w:rPr>
        <w:t>.</w:t>
      </w:r>
    </w:p>
    <w:p w:rsidR="005B6181" w:rsidRDefault="005B6181"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0B72DA">
        <w:rPr>
          <w:rFonts w:ascii="Times New Roman" w:hAnsi="Times New Roman" w:cs="Times New Roman"/>
          <w:sz w:val="26"/>
          <w:szCs w:val="26"/>
        </w:rPr>
        <w:t>Hội đồng xét cấp học bổng duyệt hồ</w:t>
      </w:r>
      <w:r w:rsidR="00F50F9F">
        <w:rPr>
          <w:rFonts w:ascii="Times New Roman" w:hAnsi="Times New Roman" w:cs="Times New Roman"/>
          <w:sz w:val="26"/>
          <w:szCs w:val="26"/>
        </w:rPr>
        <w:t xml:space="preserve"> sơ </w:t>
      </w:r>
      <w:r w:rsidR="000B72DA">
        <w:rPr>
          <w:rFonts w:ascii="Times New Roman" w:hAnsi="Times New Roman" w:cs="Times New Roman"/>
          <w:sz w:val="26"/>
          <w:szCs w:val="26"/>
        </w:rPr>
        <w:t>đăng kí nhận học bổng của sinh viên</w:t>
      </w:r>
      <w:r w:rsidR="00AF3909">
        <w:rPr>
          <w:rFonts w:ascii="Times New Roman" w:hAnsi="Times New Roman" w:cs="Times New Roman"/>
          <w:sz w:val="26"/>
          <w:szCs w:val="26"/>
        </w:rPr>
        <w:t>, lập danh sách sinh viên được nhận học bổng và trình Hiệu trưởng duyệt</w:t>
      </w:r>
      <w:r w:rsidR="00396221">
        <w:rPr>
          <w:rFonts w:ascii="Times New Roman" w:hAnsi="Times New Roman" w:cs="Times New Roman"/>
          <w:sz w:val="26"/>
          <w:szCs w:val="26"/>
        </w:rPr>
        <w:t>.</w:t>
      </w:r>
    </w:p>
    <w:p w:rsidR="00396221" w:rsidRDefault="00396221"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Phòng CTSV thông báo kết quả xét cấp học bổng đến sinh viên và nhà tài trợ học bổng.</w:t>
      </w:r>
    </w:p>
    <w:p w:rsidR="00396221" w:rsidRDefault="00396221"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Phòng KH-TC làm thủ tục chuyển tiền học bổng đến sinh viên.</w:t>
      </w:r>
    </w:p>
    <w:p w:rsidR="009608F0" w:rsidRDefault="009608F0">
      <w:pPr>
        <w:rPr>
          <w:rFonts w:ascii="Times New Roman" w:hAnsi="Times New Roman" w:cs="Times New Roman"/>
          <w:sz w:val="26"/>
          <w:szCs w:val="26"/>
        </w:rPr>
      </w:pPr>
      <w:r>
        <w:rPr>
          <w:rFonts w:ascii="Times New Roman" w:hAnsi="Times New Roman" w:cs="Times New Roman"/>
          <w:sz w:val="26"/>
          <w:szCs w:val="26"/>
        </w:rPr>
        <w:t>- Quy trình trên không áp dụng cho hai trường hợp sau:</w:t>
      </w:r>
    </w:p>
    <w:p w:rsidR="009608F0" w:rsidRPr="00526C01" w:rsidRDefault="00974CC5" w:rsidP="00C35E40">
      <w:pPr>
        <w:pStyle w:val="ListParagraph"/>
        <w:numPr>
          <w:ilvl w:val="0"/>
          <w:numId w:val="6"/>
        </w:numPr>
        <w:spacing w:after="0" w:line="360" w:lineRule="auto"/>
        <w:rPr>
          <w:rFonts w:ascii="Times New Roman" w:hAnsi="Times New Roman" w:cs="Times New Roman"/>
          <w:sz w:val="26"/>
          <w:szCs w:val="26"/>
        </w:rPr>
      </w:pPr>
      <w:r w:rsidRPr="00526C01">
        <w:rPr>
          <w:rFonts w:ascii="Times New Roman" w:hAnsi="Times New Roman" w:cs="Times New Roman"/>
          <w:sz w:val="26"/>
          <w:szCs w:val="26"/>
        </w:rPr>
        <w:t>Nhà tài trợ đảm nhận việc xét chọn sinh viên được nhận học bổng từ hồ sơ đăng kí nhận học bổng. Nhà trường chỉ hỗ trợ theo đề nghị của nhà tài trợ.</w:t>
      </w:r>
    </w:p>
    <w:p w:rsidR="00974CC5" w:rsidRPr="00526C01" w:rsidRDefault="00974CC5" w:rsidP="00C35E40">
      <w:pPr>
        <w:pStyle w:val="ListParagraph"/>
        <w:numPr>
          <w:ilvl w:val="0"/>
          <w:numId w:val="6"/>
        </w:numPr>
        <w:spacing w:after="0" w:line="360" w:lineRule="auto"/>
        <w:rPr>
          <w:rFonts w:ascii="Times New Roman" w:hAnsi="Times New Roman" w:cs="Times New Roman"/>
          <w:sz w:val="26"/>
          <w:szCs w:val="26"/>
        </w:rPr>
      </w:pPr>
      <w:r w:rsidRPr="00526C01">
        <w:rPr>
          <w:rFonts w:ascii="Times New Roman" w:hAnsi="Times New Roman" w:cs="Times New Roman"/>
          <w:sz w:val="26"/>
          <w:szCs w:val="26"/>
        </w:rPr>
        <w:t>Học bổng do Khoa tự liên hệ với đối tác để tài trợ riêng cho sinh viên trong Khoa, các Khoa tự tổ chức xét cấp học bổng và tự chịu trách nhiệm về kết quả xét cấp</w:t>
      </w:r>
    </w:p>
    <w:p w:rsidR="003058BC" w:rsidRPr="00367D39" w:rsidRDefault="00AC7BA9" w:rsidP="00367D39">
      <w:pPr>
        <w:pStyle w:val="Heading1"/>
      </w:pPr>
      <w:r w:rsidRPr="00367D39">
        <w:t>2. Quỹ học bổng khuyến khích học tập</w:t>
      </w:r>
    </w:p>
    <w:p w:rsidR="00506EF2" w:rsidRDefault="00506EF2"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Được bố trí từ 8% nguồn thu học phí đào tạo của nhà trường trích ra, trong đó mỗi năm dành ra 400 triệu đồng cho học bổng Thử thách UTE được xét cấp cho mỗi năm học và phần còn lại dành cho học bổng xét cấp theo kì.</w:t>
      </w:r>
    </w:p>
    <w:p w:rsidR="00506EF2" w:rsidRDefault="00506EF2"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5F7AC3">
        <w:rPr>
          <w:rFonts w:ascii="Times New Roman" w:hAnsi="Times New Roman" w:cs="Times New Roman"/>
          <w:sz w:val="26"/>
          <w:szCs w:val="26"/>
        </w:rPr>
        <w:t>Phần kinh phí xét cấp học bổng theo học kì được phân bổ cho mỗi Khoa theo tỷ lệ % giữa số sinh viên học tập tại Khoa trên tổng số sinh viên trong toàn trường đang theo học.</w:t>
      </w:r>
    </w:p>
    <w:p w:rsidR="003B5132" w:rsidRDefault="003D78EA"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Phụ trách mảng học bổng sinh viên</w:t>
      </w:r>
      <w:r w:rsidR="00676604">
        <w:rPr>
          <w:rFonts w:ascii="Times New Roman" w:hAnsi="Times New Roman" w:cs="Times New Roman"/>
          <w:sz w:val="26"/>
          <w:szCs w:val="26"/>
        </w:rPr>
        <w:t xml:space="preserve"> tại trường Đại học Sư phạm Kĩ thuật</w:t>
      </w:r>
      <w:r>
        <w:rPr>
          <w:rFonts w:ascii="Times New Roman" w:hAnsi="Times New Roman" w:cs="Times New Roman"/>
          <w:sz w:val="26"/>
          <w:szCs w:val="26"/>
        </w:rPr>
        <w:t xml:space="preserve"> do cô Thảo phòng CTSV đảm nhiệm.</w:t>
      </w:r>
    </w:p>
    <w:p w:rsidR="005124C1" w:rsidRDefault="005124C1" w:rsidP="004F59B6">
      <w:pPr>
        <w:spacing w:after="0" w:line="360" w:lineRule="auto"/>
        <w:rPr>
          <w:rFonts w:ascii="Times New Roman" w:hAnsi="Times New Roman" w:cs="Times New Roman"/>
          <w:sz w:val="26"/>
          <w:szCs w:val="26"/>
        </w:rPr>
      </w:pPr>
      <w:r>
        <w:rPr>
          <w:rFonts w:ascii="Times New Roman" w:hAnsi="Times New Roman" w:cs="Times New Roman"/>
          <w:sz w:val="26"/>
          <w:szCs w:val="26"/>
        </w:rPr>
        <w:t>- Tham gia vào việc xét duyệt học bổng</w:t>
      </w:r>
      <w:r w:rsidR="00BE3006">
        <w:rPr>
          <w:rFonts w:ascii="Times New Roman" w:hAnsi="Times New Roman" w:cs="Times New Roman"/>
          <w:sz w:val="26"/>
          <w:szCs w:val="26"/>
        </w:rPr>
        <w:t xml:space="preserve"> trong Hội đồng</w:t>
      </w:r>
      <w:r>
        <w:rPr>
          <w:rFonts w:ascii="Times New Roman" w:hAnsi="Times New Roman" w:cs="Times New Roman"/>
          <w:sz w:val="26"/>
          <w:szCs w:val="26"/>
        </w:rPr>
        <w:t xml:space="preserve"> có thầy Nguyễn Tấn Hòa – Trưởng Phòng Công tác sinh viên</w:t>
      </w:r>
    </w:p>
    <w:p w:rsidR="00AC7BA9" w:rsidRDefault="00AC7BA9">
      <w:pPr>
        <w:rPr>
          <w:rFonts w:ascii="Times New Roman" w:hAnsi="Times New Roman" w:cs="Times New Roman"/>
          <w:sz w:val="26"/>
          <w:szCs w:val="26"/>
        </w:rPr>
      </w:pPr>
    </w:p>
    <w:p w:rsidR="00F92712" w:rsidRDefault="00F92712">
      <w:pPr>
        <w:rPr>
          <w:rFonts w:ascii="Times New Roman" w:hAnsi="Times New Roman" w:cs="Times New Roman"/>
          <w:sz w:val="26"/>
          <w:szCs w:val="26"/>
        </w:rPr>
      </w:pPr>
    </w:p>
    <w:p w:rsidR="00F92712" w:rsidRDefault="00F92712">
      <w:pPr>
        <w:rPr>
          <w:rFonts w:ascii="Times New Roman" w:hAnsi="Times New Roman" w:cs="Times New Roman"/>
          <w:sz w:val="26"/>
          <w:szCs w:val="26"/>
        </w:rPr>
      </w:pPr>
    </w:p>
    <w:p w:rsidR="00F92712" w:rsidRDefault="00F92712">
      <w:pPr>
        <w:rPr>
          <w:rFonts w:ascii="Times New Roman" w:hAnsi="Times New Roman" w:cs="Times New Roman"/>
          <w:sz w:val="26"/>
          <w:szCs w:val="26"/>
        </w:rPr>
      </w:pPr>
    </w:p>
    <w:p w:rsidR="00F92712" w:rsidRDefault="00F92712">
      <w:pPr>
        <w:rPr>
          <w:rFonts w:ascii="Times New Roman" w:hAnsi="Times New Roman" w:cs="Times New Roman"/>
          <w:sz w:val="26"/>
          <w:szCs w:val="26"/>
        </w:rPr>
      </w:pPr>
    </w:p>
    <w:p w:rsidR="00F92712" w:rsidRPr="00F6371B" w:rsidRDefault="00F92712">
      <w:pPr>
        <w:rPr>
          <w:rFonts w:ascii="Times New Roman" w:hAnsi="Times New Roman" w:cs="Times New Roman"/>
          <w:sz w:val="26"/>
          <w:szCs w:val="26"/>
        </w:rPr>
      </w:pPr>
    </w:p>
    <w:p w:rsidR="00683DEA" w:rsidRPr="00F6371B" w:rsidRDefault="00683DEA">
      <w:pPr>
        <w:rPr>
          <w:rFonts w:ascii="Times New Roman" w:hAnsi="Times New Roman" w:cs="Times New Roman"/>
          <w:b/>
          <w:sz w:val="26"/>
          <w:szCs w:val="26"/>
        </w:rPr>
      </w:pPr>
    </w:p>
    <w:p w:rsidR="00683DEA" w:rsidRPr="00F6371B" w:rsidRDefault="00683DEA">
      <w:pPr>
        <w:rPr>
          <w:rFonts w:ascii="Times New Roman" w:hAnsi="Times New Roman" w:cs="Times New Roman"/>
          <w:sz w:val="26"/>
          <w:szCs w:val="26"/>
        </w:rPr>
      </w:pPr>
    </w:p>
    <w:p w:rsidR="00605F6C" w:rsidRPr="00F6371B" w:rsidRDefault="00605F6C">
      <w:pPr>
        <w:rPr>
          <w:rFonts w:ascii="Times New Roman" w:hAnsi="Times New Roman" w:cs="Times New Roman"/>
          <w:sz w:val="26"/>
          <w:szCs w:val="26"/>
        </w:rPr>
      </w:pPr>
    </w:p>
    <w:p w:rsidR="00B229D7" w:rsidRPr="00F6371B" w:rsidRDefault="00B229D7">
      <w:pPr>
        <w:rPr>
          <w:rFonts w:ascii="Times New Roman" w:hAnsi="Times New Roman" w:cs="Times New Roman"/>
          <w:sz w:val="26"/>
          <w:szCs w:val="26"/>
        </w:rPr>
      </w:pPr>
    </w:p>
    <w:sectPr w:rsidR="00B229D7" w:rsidRPr="00F63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1E8"/>
    <w:multiLevelType w:val="hybridMultilevel"/>
    <w:tmpl w:val="DE7E1BE4"/>
    <w:lvl w:ilvl="0" w:tplc="651C508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101F9"/>
    <w:multiLevelType w:val="hybridMultilevel"/>
    <w:tmpl w:val="3B26A2EA"/>
    <w:lvl w:ilvl="0" w:tplc="49B033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20B68"/>
    <w:multiLevelType w:val="hybridMultilevel"/>
    <w:tmpl w:val="B140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50EBA"/>
    <w:multiLevelType w:val="hybridMultilevel"/>
    <w:tmpl w:val="4F2C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430FF"/>
    <w:multiLevelType w:val="hybridMultilevel"/>
    <w:tmpl w:val="C2EC5A6A"/>
    <w:lvl w:ilvl="0" w:tplc="651C508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637DE"/>
    <w:multiLevelType w:val="hybridMultilevel"/>
    <w:tmpl w:val="F756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A42B1"/>
    <w:multiLevelType w:val="hybridMultilevel"/>
    <w:tmpl w:val="A56EFC18"/>
    <w:lvl w:ilvl="0" w:tplc="651C508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200326"/>
    <w:multiLevelType w:val="hybridMultilevel"/>
    <w:tmpl w:val="116A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9B7236"/>
    <w:multiLevelType w:val="hybridMultilevel"/>
    <w:tmpl w:val="2AEE74E6"/>
    <w:lvl w:ilvl="0" w:tplc="651C5082">
      <w:start w:val="1"/>
      <w:numFmt w:val="bullet"/>
      <w:lvlText w:val="•"/>
      <w:lvlJc w:val="left"/>
      <w:pPr>
        <w:ind w:left="720" w:hanging="360"/>
      </w:pPr>
      <w:rPr>
        <w:rFonts w:ascii="Times New Roman" w:hAnsi="Times New Roman" w:cs="Times New Roman" w:hint="default"/>
      </w:rPr>
    </w:lvl>
    <w:lvl w:ilvl="1" w:tplc="09F8AB7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C1F51"/>
    <w:multiLevelType w:val="hybridMultilevel"/>
    <w:tmpl w:val="1B5846F2"/>
    <w:lvl w:ilvl="0" w:tplc="651C508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510403"/>
    <w:multiLevelType w:val="hybridMultilevel"/>
    <w:tmpl w:val="27D8FC1A"/>
    <w:lvl w:ilvl="0" w:tplc="651C508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D2443D"/>
    <w:multiLevelType w:val="hybridMultilevel"/>
    <w:tmpl w:val="B12439E6"/>
    <w:lvl w:ilvl="0" w:tplc="3DCC2B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2"/>
  </w:num>
  <w:num w:numId="5">
    <w:abstractNumId w:val="5"/>
  </w:num>
  <w:num w:numId="6">
    <w:abstractNumId w:val="0"/>
  </w:num>
  <w:num w:numId="7">
    <w:abstractNumId w:val="8"/>
  </w:num>
  <w:num w:numId="8">
    <w:abstractNumId w:val="6"/>
  </w:num>
  <w:num w:numId="9">
    <w:abstractNumId w:val="9"/>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18"/>
    <w:rsid w:val="00004366"/>
    <w:rsid w:val="00015D4C"/>
    <w:rsid w:val="00017BE6"/>
    <w:rsid w:val="00065A5A"/>
    <w:rsid w:val="00076866"/>
    <w:rsid w:val="000775DA"/>
    <w:rsid w:val="000876EF"/>
    <w:rsid w:val="00095C4D"/>
    <w:rsid w:val="000B72DA"/>
    <w:rsid w:val="000C4E85"/>
    <w:rsid w:val="000C72DC"/>
    <w:rsid w:val="000E7F30"/>
    <w:rsid w:val="000F0BC2"/>
    <w:rsid w:val="000F668E"/>
    <w:rsid w:val="0011302D"/>
    <w:rsid w:val="001438E3"/>
    <w:rsid w:val="00151B27"/>
    <w:rsid w:val="001534C4"/>
    <w:rsid w:val="00157172"/>
    <w:rsid w:val="001657D4"/>
    <w:rsid w:val="00174E70"/>
    <w:rsid w:val="00187604"/>
    <w:rsid w:val="00197EBA"/>
    <w:rsid w:val="001A1EBB"/>
    <w:rsid w:val="001A5033"/>
    <w:rsid w:val="001B5319"/>
    <w:rsid w:val="001D2D63"/>
    <w:rsid w:val="001D617C"/>
    <w:rsid w:val="001E7680"/>
    <w:rsid w:val="002127C7"/>
    <w:rsid w:val="00215223"/>
    <w:rsid w:val="002175F7"/>
    <w:rsid w:val="00224E31"/>
    <w:rsid w:val="00227A5B"/>
    <w:rsid w:val="00232BE5"/>
    <w:rsid w:val="002671C3"/>
    <w:rsid w:val="002856A8"/>
    <w:rsid w:val="002955B2"/>
    <w:rsid w:val="002A2204"/>
    <w:rsid w:val="002B3615"/>
    <w:rsid w:val="002B4749"/>
    <w:rsid w:val="002C7164"/>
    <w:rsid w:val="002D44CA"/>
    <w:rsid w:val="002E086D"/>
    <w:rsid w:val="002F02DA"/>
    <w:rsid w:val="003058BC"/>
    <w:rsid w:val="00347B6A"/>
    <w:rsid w:val="00362989"/>
    <w:rsid w:val="00364E02"/>
    <w:rsid w:val="00367D39"/>
    <w:rsid w:val="0037585B"/>
    <w:rsid w:val="0039163E"/>
    <w:rsid w:val="00396221"/>
    <w:rsid w:val="003A3B9F"/>
    <w:rsid w:val="003B240F"/>
    <w:rsid w:val="003B5132"/>
    <w:rsid w:val="003C0BCB"/>
    <w:rsid w:val="003C2AC8"/>
    <w:rsid w:val="003D78EA"/>
    <w:rsid w:val="003E0155"/>
    <w:rsid w:val="003E3C30"/>
    <w:rsid w:val="003E3EC1"/>
    <w:rsid w:val="003F3DFB"/>
    <w:rsid w:val="003F45A5"/>
    <w:rsid w:val="003F4723"/>
    <w:rsid w:val="004303F7"/>
    <w:rsid w:val="004315DB"/>
    <w:rsid w:val="00431E61"/>
    <w:rsid w:val="004374CF"/>
    <w:rsid w:val="00441563"/>
    <w:rsid w:val="00447F91"/>
    <w:rsid w:val="0046306D"/>
    <w:rsid w:val="004829CE"/>
    <w:rsid w:val="0049130F"/>
    <w:rsid w:val="004D04E8"/>
    <w:rsid w:val="004F59B6"/>
    <w:rsid w:val="004F62BD"/>
    <w:rsid w:val="00500792"/>
    <w:rsid w:val="00506EF2"/>
    <w:rsid w:val="005124C1"/>
    <w:rsid w:val="00526C01"/>
    <w:rsid w:val="00536FFC"/>
    <w:rsid w:val="00574F16"/>
    <w:rsid w:val="00576648"/>
    <w:rsid w:val="00584A85"/>
    <w:rsid w:val="00592CEB"/>
    <w:rsid w:val="005975F7"/>
    <w:rsid w:val="005A4327"/>
    <w:rsid w:val="005B6181"/>
    <w:rsid w:val="005C30E5"/>
    <w:rsid w:val="005D3045"/>
    <w:rsid w:val="005F4F11"/>
    <w:rsid w:val="005F78F7"/>
    <w:rsid w:val="005F7AC3"/>
    <w:rsid w:val="006039DB"/>
    <w:rsid w:val="00605F6C"/>
    <w:rsid w:val="0061070B"/>
    <w:rsid w:val="0061372D"/>
    <w:rsid w:val="0061502B"/>
    <w:rsid w:val="006335DF"/>
    <w:rsid w:val="006463FC"/>
    <w:rsid w:val="006540FC"/>
    <w:rsid w:val="00656233"/>
    <w:rsid w:val="00664F02"/>
    <w:rsid w:val="00674FA2"/>
    <w:rsid w:val="00676604"/>
    <w:rsid w:val="00683DEA"/>
    <w:rsid w:val="00696775"/>
    <w:rsid w:val="006B1C50"/>
    <w:rsid w:val="006B6C7A"/>
    <w:rsid w:val="006D5A24"/>
    <w:rsid w:val="006F11B8"/>
    <w:rsid w:val="00707A69"/>
    <w:rsid w:val="00714305"/>
    <w:rsid w:val="007150BF"/>
    <w:rsid w:val="00717721"/>
    <w:rsid w:val="00766676"/>
    <w:rsid w:val="007808AE"/>
    <w:rsid w:val="00795E96"/>
    <w:rsid w:val="007B31FC"/>
    <w:rsid w:val="007B7DB4"/>
    <w:rsid w:val="00821B41"/>
    <w:rsid w:val="00827B22"/>
    <w:rsid w:val="00843B19"/>
    <w:rsid w:val="00853B5C"/>
    <w:rsid w:val="0086586F"/>
    <w:rsid w:val="008A7FCD"/>
    <w:rsid w:val="008E4D38"/>
    <w:rsid w:val="008F133B"/>
    <w:rsid w:val="008F39AF"/>
    <w:rsid w:val="008F488B"/>
    <w:rsid w:val="00920E46"/>
    <w:rsid w:val="00921AB1"/>
    <w:rsid w:val="00931BCA"/>
    <w:rsid w:val="00941F62"/>
    <w:rsid w:val="00953EF3"/>
    <w:rsid w:val="009608F0"/>
    <w:rsid w:val="009746CA"/>
    <w:rsid w:val="00974CC5"/>
    <w:rsid w:val="00976044"/>
    <w:rsid w:val="00977019"/>
    <w:rsid w:val="00995E42"/>
    <w:rsid w:val="009A5A97"/>
    <w:rsid w:val="009D4762"/>
    <w:rsid w:val="00A04136"/>
    <w:rsid w:val="00A31FE4"/>
    <w:rsid w:val="00A4481A"/>
    <w:rsid w:val="00A95D2A"/>
    <w:rsid w:val="00AA151A"/>
    <w:rsid w:val="00AC7BA9"/>
    <w:rsid w:val="00AE190C"/>
    <w:rsid w:val="00AF3909"/>
    <w:rsid w:val="00B17424"/>
    <w:rsid w:val="00B229D7"/>
    <w:rsid w:val="00B326A0"/>
    <w:rsid w:val="00B36FDF"/>
    <w:rsid w:val="00B477F4"/>
    <w:rsid w:val="00B85E67"/>
    <w:rsid w:val="00BB30F6"/>
    <w:rsid w:val="00BC6DE4"/>
    <w:rsid w:val="00BD4F4E"/>
    <w:rsid w:val="00BE2336"/>
    <w:rsid w:val="00BE3006"/>
    <w:rsid w:val="00C03B79"/>
    <w:rsid w:val="00C072D9"/>
    <w:rsid w:val="00C22152"/>
    <w:rsid w:val="00C229B9"/>
    <w:rsid w:val="00C35E40"/>
    <w:rsid w:val="00C4079B"/>
    <w:rsid w:val="00C52E54"/>
    <w:rsid w:val="00C5489B"/>
    <w:rsid w:val="00C76B42"/>
    <w:rsid w:val="00C922EE"/>
    <w:rsid w:val="00C9597B"/>
    <w:rsid w:val="00CB16FF"/>
    <w:rsid w:val="00CB30C8"/>
    <w:rsid w:val="00CB512B"/>
    <w:rsid w:val="00CB63A3"/>
    <w:rsid w:val="00CC38D1"/>
    <w:rsid w:val="00CE05BF"/>
    <w:rsid w:val="00D1109F"/>
    <w:rsid w:val="00D1480B"/>
    <w:rsid w:val="00D51008"/>
    <w:rsid w:val="00D56EE3"/>
    <w:rsid w:val="00D66CBC"/>
    <w:rsid w:val="00D71DA8"/>
    <w:rsid w:val="00D76BC9"/>
    <w:rsid w:val="00D81289"/>
    <w:rsid w:val="00D91D15"/>
    <w:rsid w:val="00DA68CD"/>
    <w:rsid w:val="00DB4D1E"/>
    <w:rsid w:val="00DE0C07"/>
    <w:rsid w:val="00DE38BD"/>
    <w:rsid w:val="00DE4DF5"/>
    <w:rsid w:val="00DE7910"/>
    <w:rsid w:val="00DF025A"/>
    <w:rsid w:val="00DF7A82"/>
    <w:rsid w:val="00E0355F"/>
    <w:rsid w:val="00E04150"/>
    <w:rsid w:val="00E31512"/>
    <w:rsid w:val="00E4483D"/>
    <w:rsid w:val="00E5071B"/>
    <w:rsid w:val="00E5514A"/>
    <w:rsid w:val="00E64C61"/>
    <w:rsid w:val="00E7117B"/>
    <w:rsid w:val="00E715A6"/>
    <w:rsid w:val="00E83E5F"/>
    <w:rsid w:val="00E86EFB"/>
    <w:rsid w:val="00EA4D35"/>
    <w:rsid w:val="00EB429D"/>
    <w:rsid w:val="00EC3914"/>
    <w:rsid w:val="00EC4E41"/>
    <w:rsid w:val="00EF01C5"/>
    <w:rsid w:val="00EF0BA5"/>
    <w:rsid w:val="00EF10EC"/>
    <w:rsid w:val="00EF4293"/>
    <w:rsid w:val="00F10754"/>
    <w:rsid w:val="00F14418"/>
    <w:rsid w:val="00F16E5A"/>
    <w:rsid w:val="00F16F15"/>
    <w:rsid w:val="00F17472"/>
    <w:rsid w:val="00F33117"/>
    <w:rsid w:val="00F45033"/>
    <w:rsid w:val="00F46ED7"/>
    <w:rsid w:val="00F50F9F"/>
    <w:rsid w:val="00F51278"/>
    <w:rsid w:val="00F57255"/>
    <w:rsid w:val="00F62342"/>
    <w:rsid w:val="00F6371B"/>
    <w:rsid w:val="00F65770"/>
    <w:rsid w:val="00F70C27"/>
    <w:rsid w:val="00F773F2"/>
    <w:rsid w:val="00F92712"/>
    <w:rsid w:val="00FB519A"/>
    <w:rsid w:val="00FC58EC"/>
    <w:rsid w:val="00FD4045"/>
    <w:rsid w:val="00FE168C"/>
    <w:rsid w:val="00FE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AC032-329C-4385-94E0-95658E3A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25A"/>
    <w:pPr>
      <w:keepNext/>
      <w:keepLines/>
      <w:spacing w:before="240" w:after="120" w:line="240" w:lineRule="auto"/>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367D39"/>
    <w:pPr>
      <w:keepNext/>
      <w:keepLines/>
      <w:spacing w:before="40" w:after="120" w:line="240" w:lineRule="auto"/>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367D39"/>
    <w:pPr>
      <w:keepNext/>
      <w:keepLines/>
      <w:spacing w:before="40" w:after="120" w:line="240" w:lineRule="auto"/>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367D39"/>
    <w:pPr>
      <w:keepNext/>
      <w:keepLines/>
      <w:spacing w:before="40" w:after="120" w:line="240" w:lineRule="auto"/>
      <w:outlineLvl w:val="3"/>
    </w:pPr>
    <w:rPr>
      <w:rFonts w:ascii="Times New Roman" w:eastAsiaTheme="majorEastAsia" w:hAnsi="Times New Roman"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5A"/>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367D3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67D39"/>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707A69"/>
    <w:pPr>
      <w:ind w:left="720"/>
      <w:contextualSpacing/>
    </w:pPr>
  </w:style>
  <w:style w:type="character" w:customStyle="1" w:styleId="Heading4Char">
    <w:name w:val="Heading 4 Char"/>
    <w:basedOn w:val="DefaultParagraphFont"/>
    <w:link w:val="Heading4"/>
    <w:uiPriority w:val="9"/>
    <w:rsid w:val="00367D39"/>
    <w:rPr>
      <w:rFonts w:ascii="Times New Roman" w:eastAsiaTheme="majorEastAsia" w:hAnsi="Times New Roman" w:cstheme="majorBidi"/>
      <w:b/>
      <w:iCs/>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4121</TotalTime>
  <Pages>6</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245</cp:revision>
  <dcterms:created xsi:type="dcterms:W3CDTF">2021-10-09T02:32:00Z</dcterms:created>
  <dcterms:modified xsi:type="dcterms:W3CDTF">2021-11-14T04:56:00Z</dcterms:modified>
</cp:coreProperties>
</file>