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Bán hàng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1.Đối tượng sử dụng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Khách hàng không có tài khoản: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Tìm kiếm theo tên sản phẩm hoặc nhà sản xuất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Xem tất cả, chi tiết sản phẩm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Đăng ký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Khách hàng có tài khoản: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Đầy đủ của khách hàng không có tài khoản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Đăng nhập, đăng xuất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Andika" w:cs="Andika" w:eastAsia="Andika" w:hAnsi="Andika"/>
          <w:sz w:val="28"/>
          <w:szCs w:val="28"/>
          <w:rtl w:val="0"/>
        </w:rPr>
        <w:t xml:space="preserve">Quản lý giỏ hàng (Thêm, sửa số lượng, xóa giỏ hàng)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Đặt hàng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Xem lại hoá đơn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Nhân viên: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Đăng nhập, đăng xuất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Thêm, sửa sản phẩm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Xem, hay đổi tình trạng đơn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Quản lý: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Đầy đủ tính năng của nhân viên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Quản lý nhà sản xuất (Xem, thêm, sửa)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Quản lý sản phẩm (Xem, thêm, sửa, xóa)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Quản lý nhân viên (Xem, thêm, sửa, xóa)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dika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