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0228E">
      <w:pPr>
        <w:pStyle w:val="4"/>
      </w:pPr>
      <w:bookmarkStart w:id="0" w:name="nursing-home-management-system-nhms"/>
      <w:bookmarkStart w:id="1" w:name="nhms--final-discovery-knowledge-v10"/>
      <w:bookmarkStart w:id="16" w:name="_GoBack"/>
      <w:bookmarkEnd w:id="16"/>
      <w:r>
        <w:t>Nursing Home Management System (NHMS)</w:t>
      </w:r>
    </w:p>
    <w:p w14:paraId="5A3F035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59F5D1F0">
      <w:pPr>
        <w:pStyle w:val="4"/>
      </w:pPr>
      <w:bookmarkStart w:id="2" w:name="X255fd0eb07f156f7f37432f98ccebc5dc1e54c7"/>
      <w:r>
        <w:t>1. Domain &amp; system nature</w:t>
      </w:r>
    </w:p>
    <w:p w14:paraId="1E5E48B3">
      <w:pPr>
        <w:pStyle w:val="23"/>
      </w:pPr>
      <w:r>
        <w:rPr>
          <w:b/>
          <w:bCs/>
        </w:rPr>
        <w:t>Domain:</w:t>
      </w:r>
      <w:r>
        <w:t xml:space="preserve"> Healthcare Technology / Long-Term Care (LTC) / Nursing Home Management — U.S. market.</w:t>
      </w:r>
    </w:p>
    <w:p w14:paraId="107DC60E">
      <w:pPr>
        <w:pStyle w:val="3"/>
      </w:pPr>
      <w:r>
        <w:t xml:space="preserve">NHMS is an </w:t>
      </w:r>
      <w:r>
        <w:rPr>
          <w:b/>
          <w:bCs/>
        </w:rPr>
        <w:t>integrated EHR/EMR &amp; ERP for Long-Term Care</w:t>
      </w:r>
      <w:r>
        <w:t>, not a static resident database. It manages the full care lifecycle: admission → assessment → care-level classification → care planning → daily care tasks → medication → meals → staffing → incidents → billing → family transparency.</w:t>
      </w:r>
    </w:p>
    <w:p w14:paraId="38FBF2F1">
      <w:pPr>
        <w:pStyle w:val="3"/>
      </w:pPr>
      <w:r>
        <w:rPr>
          <w:b/>
          <w:bCs/>
        </w:rPr>
        <w:t>Center of gravity:</w:t>
      </w:r>
      <w:r>
        <w:t xml:space="preserve"> the </w:t>
      </w:r>
      <w:r>
        <w:rPr>
          <w:b/>
          <w:bCs/>
        </w:rPr>
        <w:t>elderly resident</w:t>
      </w:r>
      <w:r>
        <w:t xml:space="preserve">. All data models and workflows revolve around this resident's care lifecycle. The system's value is </w:t>
      </w:r>
      <w:r>
        <w:rPr>
          <w:b/>
          <w:bCs/>
        </w:rPr>
        <w:t>connecting data across departments</w:t>
      </w:r>
      <w:r>
        <w:t xml:space="preserve"> to support active care operations, not just storage.</w:t>
      </w:r>
    </w:p>
    <w:p w14:paraId="6DF695B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7E861FC">
      <w:pPr>
        <w:pStyle w:val="4"/>
      </w:pPr>
      <w:bookmarkStart w:id="3" w:name="X16bc13b84cf3211407404dc7fdc233fb28e6159"/>
      <w:r>
        <w:t>2. Business problem &amp; pain points</w:t>
      </w:r>
    </w:p>
    <w:p w14:paraId="1FF588B3">
      <w:pPr>
        <w:pStyle w:val="23"/>
      </w:pPr>
      <w:r>
        <w:rPr>
          <w:b/>
          <w:bCs/>
        </w:rPr>
        <w:t>Problem statement:</w:t>
      </w:r>
      <w:r>
        <w:t xml:space="preserve"> A multi-facility U.S. nursing-home operator lacks a centralized system; clinical care, compliance, and billing are fragmented — driving medication errors, missed tasks, staffing-ratio violations, claim denials, and regulatory penalties.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2632"/>
        <w:gridCol w:w="5548"/>
      </w:tblGrid>
      <w:tr w14:paraId="44D9B1C5">
        <w:trPr>
          <w:tblHeader/>
        </w:trPr>
        <w:tc>
          <w:p w14:paraId="211196D6">
            <w:pPr>
              <w:pStyle w:val="24"/>
            </w:pPr>
            <w:r>
              <w:t>ID</w:t>
            </w:r>
          </w:p>
        </w:tc>
        <w:tc>
          <w:p w14:paraId="4F38A73E">
            <w:pPr>
              <w:pStyle w:val="24"/>
            </w:pPr>
            <w:r>
              <w:t>Pain point</w:t>
            </w:r>
          </w:p>
        </w:tc>
        <w:tc>
          <w:p w14:paraId="1EF2A545">
            <w:pPr>
              <w:pStyle w:val="24"/>
            </w:pPr>
            <w:r>
              <w:t>Operational &amp; financial impact</w:t>
            </w:r>
          </w:p>
        </w:tc>
      </w:tr>
      <w:tr w14:paraId="7FED9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18F56">
            <w:pPr>
              <w:pStyle w:val="24"/>
            </w:pPr>
            <w:r>
              <w:t>PP-01</w:t>
            </w:r>
          </w:p>
        </w:tc>
        <w:tc>
          <w:p w14:paraId="7285A350">
            <w:pPr>
              <w:pStyle w:val="24"/>
            </w:pPr>
            <w:r>
              <w:t>Fragmented resident data</w:t>
            </w:r>
          </w:p>
        </w:tc>
        <w:tc>
          <w:p w14:paraId="394D5276">
            <w:pPr>
              <w:pStyle w:val="24"/>
            </w:pPr>
            <w:r>
              <w:t>History, allergies, POA/DNR, financials scattered across paper/Excel → duplicate, stale, missing data</w:t>
            </w:r>
          </w:p>
        </w:tc>
      </w:tr>
      <w:tr w14:paraId="7D40A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D0649">
            <w:pPr>
              <w:pStyle w:val="24"/>
            </w:pPr>
            <w:r>
              <w:t>PP-02</w:t>
            </w:r>
          </w:p>
        </w:tc>
        <w:tc>
          <w:p w14:paraId="33BEF0AD">
            <w:pPr>
              <w:pStyle w:val="24"/>
            </w:pPr>
            <w:r>
              <w:t>Complex intake assessment</w:t>
            </w:r>
          </w:p>
        </w:tc>
        <w:tc>
          <w:p w14:paraId="01E94BA7">
            <w:pPr>
              <w:pStyle w:val="24"/>
            </w:pPr>
            <w:r>
              <w:t>Manual screening can't quickly compute clinical risk, care level, and fee tier</w:t>
            </w:r>
          </w:p>
        </w:tc>
      </w:tr>
      <w:tr w14:paraId="326D7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88BE1">
            <w:pPr>
              <w:pStyle w:val="24"/>
            </w:pPr>
            <w:r>
              <w:t>PP-03</w:t>
            </w:r>
          </w:p>
        </w:tc>
        <w:tc>
          <w:p w14:paraId="52903ED4">
            <w:pPr>
              <w:pStyle w:val="24"/>
            </w:pPr>
            <w:r>
              <w:t>Lack of care personalization</w:t>
            </w:r>
          </w:p>
        </w:tc>
        <w:tc>
          <w:p w14:paraId="5967DEC9">
            <w:pPr>
              <w:pStyle w:val="24"/>
            </w:pPr>
            <w:r>
              <w:t>Individual needs (low-sodium diet, scheduled repositioning) missed without automated triggers</w:t>
            </w:r>
          </w:p>
        </w:tc>
      </w:tr>
      <w:tr w14:paraId="3CAA6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6E50A">
            <w:pPr>
              <w:pStyle w:val="24"/>
            </w:pPr>
            <w:r>
              <w:t>PP-04</w:t>
            </w:r>
          </w:p>
        </w:tc>
        <w:tc>
          <w:p w14:paraId="0F4F5E8B">
            <w:pPr>
              <w:pStyle w:val="24"/>
            </w:pPr>
            <w:r>
              <w:t>Missed daily care tasks</w:t>
            </w:r>
          </w:p>
        </w:tc>
        <w:tc>
          <w:p w14:paraId="32A48044">
            <w:pPr>
              <w:pStyle w:val="24"/>
            </w:pPr>
            <w:r>
              <w:t>Vitals/bathing/feeding skipped when verbal or paper-based</w:t>
            </w:r>
          </w:p>
        </w:tc>
      </w:tr>
      <w:tr w14:paraId="1957D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217D8">
            <w:pPr>
              <w:pStyle w:val="24"/>
            </w:pPr>
            <w:r>
              <w:t>PP-05</w:t>
            </w:r>
          </w:p>
        </w:tc>
        <w:tc>
          <w:p w14:paraId="0A174641">
            <w:pPr>
              <w:pStyle w:val="24"/>
            </w:pPr>
            <w:r>
              <w:t>High-risk medication administration</w:t>
            </w:r>
          </w:p>
        </w:tc>
        <w:tc>
          <w:p w14:paraId="161A0D29">
            <w:pPr>
              <w:pStyle w:val="24"/>
            </w:pPr>
            <w:r>
              <w:t>Hand-written logs fail to prevent wrong dose / missed window / interactions</w:t>
            </w:r>
          </w:p>
        </w:tc>
      </w:tr>
      <w:tr w14:paraId="34F90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5CC13">
            <w:pPr>
              <w:pStyle w:val="24"/>
            </w:pPr>
            <w:r>
              <w:t>PP-06</w:t>
            </w:r>
          </w:p>
        </w:tc>
        <w:tc>
          <w:p w14:paraId="14236A2B">
            <w:pPr>
              <w:pStyle w:val="24"/>
            </w:pPr>
            <w:r>
              <w:t>Acuity-blind staff scheduling</w:t>
            </w:r>
          </w:p>
        </w:tc>
        <w:tc>
          <w:p w14:paraId="14571EEB">
            <w:pPr>
              <w:pStyle w:val="24"/>
            </w:pPr>
            <w:r>
              <w:t>Staffing not tied to care levels → understaffing, burnout, ratio violations</w:t>
            </w:r>
          </w:p>
        </w:tc>
      </w:tr>
      <w:tr w14:paraId="59411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D7949">
            <w:pPr>
              <w:pStyle w:val="24"/>
            </w:pPr>
            <w:r>
              <w:t>PP-07</w:t>
            </w:r>
          </w:p>
        </w:tc>
        <w:tc>
          <w:p w14:paraId="02B5E82F">
            <w:pPr>
              <w:pStyle w:val="24"/>
            </w:pPr>
            <w:r>
              <w:t>Disconnected billing</w:t>
            </w:r>
          </w:p>
        </w:tc>
        <w:tc>
          <w:p w14:paraId="4B4B0647">
            <w:pPr>
              <w:pStyle w:val="24"/>
            </w:pPr>
            <w:r>
              <w:t>LOC increases not reflected in invoices → revenue leakage</w:t>
            </w:r>
          </w:p>
        </w:tc>
      </w:tr>
      <w:tr w14:paraId="1A72D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BCC15">
            <w:pPr>
              <w:pStyle w:val="24"/>
            </w:pPr>
            <w:r>
              <w:t>PP-08</w:t>
            </w:r>
          </w:p>
        </w:tc>
        <w:tc>
          <w:p w14:paraId="76CA1BF4">
            <w:pPr>
              <w:pStyle w:val="24"/>
            </w:pPr>
            <w:r>
              <w:t>Lack of family transparency</w:t>
            </w:r>
          </w:p>
        </w:tc>
        <w:tc>
          <w:p w14:paraId="47C56261">
            <w:pPr>
              <w:pStyle w:val="24"/>
            </w:pPr>
            <w:r>
              <w:t>No secure channel for activities/vitals/menus → high manual inquiry volume</w:t>
            </w:r>
          </w:p>
        </w:tc>
      </w:tr>
    </w:tbl>
    <w:p w14:paraId="238E98C9">
      <w:pPr>
        <w:pStyle w:val="3"/>
      </w:pPr>
      <w:r>
        <w:rPr>
          <w:b/>
          <w:bCs/>
        </w:rPr>
        <w:t>Root cause (5-Whys):</w:t>
      </w:r>
      <w:r>
        <w:t xml:space="preserve"> absence of </w:t>
      </w:r>
      <w:r>
        <w:rPr>
          <w:b/>
          <w:bCs/>
        </w:rPr>
        <w:t>Centralized Data Integration</w:t>
      </w:r>
      <w:r>
        <w:t xml:space="preserve"> + manual processes + missing automated alerts + a broken </w:t>
      </w:r>
      <w:r>
        <w:rPr>
          <w:i/>
          <w:iCs/>
        </w:rPr>
        <w:t>assessment → care → staffing → billing</w:t>
      </w:r>
      <w:r>
        <w:t xml:space="preserve"> chain.</w:t>
      </w:r>
    </w:p>
    <w:p w14:paraId="1C2C17E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C7F3311">
      <w:pPr>
        <w:pStyle w:val="4"/>
      </w:pPr>
      <w:bookmarkStart w:id="4" w:name="X217ff9f45e28a719a70ea549349973d267522bf"/>
      <w:r>
        <w:t>3. Business goals (proposed — confirm with mentor)</w:t>
      </w:r>
    </w:p>
    <w:p w14:paraId="7E154C66">
      <w:pPr>
        <w:pStyle w:val="14"/>
      </w:pPr>
      <w:r>
        <w:t xml:space="preserve">⚠️ Measurable targets not yet set. For a simulation these are </w:t>
      </w:r>
      <w:r>
        <w:rPr>
          <w:b/>
          <w:bCs/>
        </w:rPr>
        <w:t>qualitative</w:t>
      </w:r>
      <w:r>
        <w:t>; quantify only if the mentor requires it (OI-01).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3430"/>
        <w:gridCol w:w="4636"/>
      </w:tblGrid>
      <w:tr w14:paraId="39D97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7DD3FD">
            <w:pPr>
              <w:pStyle w:val="24"/>
            </w:pPr>
            <w:r>
              <w:t>Goal</w:t>
            </w:r>
          </w:p>
        </w:tc>
        <w:tc>
          <w:p w14:paraId="1422D305">
            <w:pPr>
              <w:pStyle w:val="24"/>
            </w:pPr>
            <w:r>
              <w:t>Description</w:t>
            </w:r>
          </w:p>
        </w:tc>
        <w:tc>
          <w:p w14:paraId="5C5C4865">
            <w:pPr>
              <w:pStyle w:val="24"/>
            </w:pPr>
            <w:r>
              <w:t>Candidate KPI (optional)</w:t>
            </w:r>
          </w:p>
        </w:tc>
      </w:tr>
      <w:tr w14:paraId="6EBCC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3A659">
            <w:pPr>
              <w:pStyle w:val="24"/>
            </w:pPr>
            <w:r>
              <w:t>BG-01</w:t>
            </w:r>
          </w:p>
        </w:tc>
        <w:tc>
          <w:p w14:paraId="61091CEA">
            <w:pPr>
              <w:pStyle w:val="24"/>
            </w:pPr>
            <w:r>
              <w:t>One integrated platform / single source of truth</w:t>
            </w:r>
          </w:p>
        </w:tc>
        <w:tc>
          <w:p w14:paraId="79E0A527">
            <w:pPr>
              <w:pStyle w:val="24"/>
            </w:pPr>
            <w:r>
              <w:t>Zero duplicate data entry across modules</w:t>
            </w:r>
          </w:p>
        </w:tc>
      </w:tr>
      <w:tr w14:paraId="696D8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380138">
            <w:pPr>
              <w:pStyle w:val="24"/>
            </w:pPr>
            <w:r>
              <w:t>BG-02</w:t>
            </w:r>
          </w:p>
        </w:tc>
        <w:tc>
          <w:p w14:paraId="0427C8D6">
            <w:pPr>
              <w:pStyle w:val="24"/>
            </w:pPr>
            <w:r>
              <w:t>Compliance by design</w:t>
            </w:r>
          </w:p>
        </w:tc>
        <w:tc>
          <w:p w14:paraId="5D3AD78F">
            <w:pPr>
              <w:pStyle w:val="24"/>
            </w:pPr>
            <w:r>
              <w:t>100% incidents reported within deadline; zero staffing-ratio violations</w:t>
            </w:r>
          </w:p>
        </w:tc>
      </w:tr>
      <w:tr w14:paraId="04EA6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98DF0">
            <w:pPr>
              <w:pStyle w:val="24"/>
            </w:pPr>
            <w:r>
              <w:t>BG-03</w:t>
            </w:r>
          </w:p>
        </w:tc>
        <w:tc>
          <w:p w14:paraId="70DA526F">
            <w:pPr>
              <w:pStyle w:val="24"/>
            </w:pPr>
            <w:r>
              <w:t>Care-driven revenue accuracy</w:t>
            </w:r>
          </w:p>
        </w:tc>
        <w:tc>
          <w:p w14:paraId="15B844D5">
            <w:pPr>
              <w:pStyle w:val="24"/>
            </w:pPr>
            <w:r>
              <w:t>Invoice always reflects current LOC</w:t>
            </w:r>
          </w:p>
        </w:tc>
      </w:tr>
      <w:tr w14:paraId="0BE92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B00E3">
            <w:pPr>
              <w:pStyle w:val="24"/>
            </w:pPr>
            <w:r>
              <w:t>BG-04</w:t>
            </w:r>
          </w:p>
        </w:tc>
        <w:tc>
          <w:p w14:paraId="70924782">
            <w:pPr>
              <w:pStyle w:val="24"/>
            </w:pPr>
            <w:r>
              <w:t>Patient safety</w:t>
            </w:r>
          </w:p>
        </w:tc>
        <w:tc>
          <w:p w14:paraId="7D4B547E">
            <w:pPr>
              <w:pStyle w:val="24"/>
            </w:pPr>
            <w:r>
              <w:t>Reduced medication-error and fall incidents</w:t>
            </w:r>
          </w:p>
        </w:tc>
      </w:tr>
    </w:tbl>
    <w:p w14:paraId="1B2C740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9F268F9">
      <w:pPr>
        <w:pStyle w:val="4"/>
      </w:pPr>
      <w:bookmarkStart w:id="5" w:name="X8e44059cfcd519ece91ffc28da57da5f4800d2c"/>
      <w:r>
        <w:t>4. Stakeholders / Actor model</w:t>
      </w:r>
    </w:p>
    <w:p w14:paraId="44B62BB4">
      <w:pPr>
        <w:pStyle w:val="5"/>
      </w:pPr>
      <w:bookmarkStart w:id="6" w:name="internal-actors"/>
      <w:r>
        <w:t>Internal actors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1"/>
        <w:gridCol w:w="5975"/>
      </w:tblGrid>
      <w:tr w14:paraId="1F0D7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59C20A">
            <w:pPr>
              <w:pStyle w:val="24"/>
            </w:pPr>
            <w:r>
              <w:t>Actor</w:t>
            </w:r>
          </w:p>
        </w:tc>
        <w:tc>
          <w:p w14:paraId="267F75F2">
            <w:pPr>
              <w:pStyle w:val="24"/>
            </w:pPr>
            <w:r>
              <w:t>Core interaction</w:t>
            </w:r>
          </w:p>
        </w:tc>
      </w:tr>
      <w:tr w14:paraId="469DD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11091">
            <w:pPr>
              <w:pStyle w:val="24"/>
            </w:pPr>
            <w:r>
              <w:t>System Administrator</w:t>
            </w:r>
          </w:p>
        </w:tc>
        <w:tc>
          <w:p w14:paraId="47B70989">
            <w:pPr>
              <w:pStyle w:val="24"/>
            </w:pPr>
            <w:r>
              <w:t>Accounts, roles, permissions, configuration</w:t>
            </w:r>
          </w:p>
        </w:tc>
      </w:tr>
      <w:tr w14:paraId="4761C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988EFE">
            <w:pPr>
              <w:pStyle w:val="24"/>
            </w:pPr>
            <w:r>
              <w:t>Facility Manager</w:t>
            </w:r>
          </w:p>
        </w:tc>
        <w:tc>
          <w:p w14:paraId="6FD959EE">
            <w:pPr>
              <w:pStyle w:val="24"/>
            </w:pPr>
            <w:r>
              <w:t>Census, staffing, compliance, billing oversight, dashboards</w:t>
            </w:r>
          </w:p>
        </w:tc>
      </w:tr>
      <w:tr w14:paraId="39BF4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1A258">
            <w:pPr>
              <w:pStyle w:val="24"/>
            </w:pPr>
            <w:r>
              <w:t>Admission Staff</w:t>
            </w:r>
          </w:p>
        </w:tc>
        <w:tc>
          <w:p w14:paraId="5CAB1019">
            <w:pPr>
              <w:pStyle w:val="24"/>
            </w:pPr>
            <w:r>
              <w:t>Resident profile creation, intake coordination</w:t>
            </w:r>
          </w:p>
        </w:tc>
      </w:tr>
      <w:tr w14:paraId="251B4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6466E">
            <w:pPr>
              <w:pStyle w:val="24"/>
            </w:pPr>
            <w:r>
              <w:t>Nurse (LPN/RN)</w:t>
            </w:r>
          </w:p>
        </w:tc>
        <w:tc>
          <w:p w14:paraId="5F504DA5">
            <w:pPr>
              <w:pStyle w:val="24"/>
            </w:pPr>
            <w:r>
              <w:t>Assessments, vitals, care plans, eMAR</w:t>
            </w:r>
          </w:p>
        </w:tc>
      </w:tr>
      <w:tr w14:paraId="68BA8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1A3EF">
            <w:pPr>
              <w:pStyle w:val="24"/>
            </w:pPr>
            <w:r>
              <w:t>Caregiver (CNA)</w:t>
            </w:r>
          </w:p>
        </w:tc>
        <w:tc>
          <w:p w14:paraId="527E396C">
            <w:pPr>
              <w:pStyle w:val="24"/>
            </w:pPr>
            <w:r>
              <w:t>Daily care tasks, logging, abnormal-condition reports</w:t>
            </w:r>
          </w:p>
        </w:tc>
      </w:tr>
      <w:tr w14:paraId="6A1D5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0F912">
            <w:pPr>
              <w:pStyle w:val="24"/>
            </w:pPr>
            <w:r>
              <w:t>Doctor / Clinical Specialist</w:t>
            </w:r>
          </w:p>
        </w:tc>
        <w:tc>
          <w:p w14:paraId="276855D9">
            <w:pPr>
              <w:pStyle w:val="24"/>
            </w:pPr>
            <w:r>
              <w:t>Reviews, medication orders, high-acuity sign-off</w:t>
            </w:r>
          </w:p>
        </w:tc>
      </w:tr>
      <w:tr w14:paraId="64ECA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26772">
            <w:pPr>
              <w:pStyle w:val="24"/>
            </w:pPr>
            <w:r>
              <w:t>Nutritionist / Kitchen Staff</w:t>
            </w:r>
          </w:p>
        </w:tc>
        <w:tc>
          <w:p w14:paraId="5B5A318B">
            <w:pPr>
              <w:pStyle w:val="24"/>
            </w:pPr>
            <w:r>
              <w:t>Menus, diets, allergens, meal orders</w:t>
            </w:r>
          </w:p>
        </w:tc>
      </w:tr>
      <w:tr w14:paraId="095A0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4599E">
            <w:pPr>
              <w:pStyle w:val="24"/>
            </w:pPr>
            <w:r>
              <w:t>HR / Shift Coordinator</w:t>
            </w:r>
          </w:p>
        </w:tc>
        <w:tc>
          <w:p w14:paraId="4B5163FE">
            <w:pPr>
              <w:pStyle w:val="24"/>
            </w:pPr>
            <w:r>
              <w:t>Schedules, mandated staffing ratios, shift swaps</w:t>
            </w:r>
          </w:p>
        </w:tc>
      </w:tr>
      <w:tr w14:paraId="4E835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EBF25">
            <w:pPr>
              <w:pStyle w:val="24"/>
            </w:pPr>
            <w:r>
              <w:t>Accountant / Billing Staff</w:t>
            </w:r>
          </w:p>
        </w:tc>
        <w:tc>
          <w:p w14:paraId="73EC32E1">
            <w:pPr>
              <w:pStyle w:val="24"/>
            </w:pPr>
            <w:r>
              <w:t>Service rates, invoices, payments, debt</w:t>
            </w:r>
          </w:p>
        </w:tc>
      </w:tr>
      <w:tr w14:paraId="1CFB5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CC010">
            <w:pPr>
              <w:pStyle w:val="24"/>
            </w:pPr>
            <w:r>
              <w:t>Director of Nursing (DON)</w:t>
            </w:r>
          </w:p>
        </w:tc>
        <w:tc>
          <w:p w14:paraId="76DC477F">
            <w:pPr>
              <w:pStyle w:val="24"/>
            </w:pPr>
            <w:r>
              <w:t>Care-plan governance, acuity decisions</w:t>
            </w:r>
          </w:p>
        </w:tc>
      </w:tr>
      <w:tr w14:paraId="368B1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0EADF">
            <w:pPr>
              <w:pStyle w:val="24"/>
            </w:pPr>
            <w:r>
              <w:t>Infection Preventionist</w:t>
            </w:r>
          </w:p>
        </w:tc>
        <w:tc>
          <w:p w14:paraId="15349A54">
            <w:pPr>
              <w:pStyle w:val="24"/>
            </w:pPr>
            <w:r>
              <w:t>Infection-control protocols</w:t>
            </w:r>
          </w:p>
        </w:tc>
      </w:tr>
      <w:bookmarkEnd w:id="6"/>
    </w:tbl>
    <w:p w14:paraId="16635B00">
      <w:pPr>
        <w:pStyle w:val="5"/>
      </w:pPr>
      <w:bookmarkStart w:id="7" w:name="external-actors"/>
      <w:r>
        <w:t>External actors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3"/>
        <w:gridCol w:w="5993"/>
      </w:tblGrid>
      <w:tr w14:paraId="1C6A8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BE64CD">
            <w:pPr>
              <w:pStyle w:val="24"/>
            </w:pPr>
            <w:r>
              <w:t>Actor</w:t>
            </w:r>
          </w:p>
        </w:tc>
        <w:tc>
          <w:p w14:paraId="7EEA06B8">
            <w:pPr>
              <w:pStyle w:val="24"/>
            </w:pPr>
            <w:r>
              <w:t>Interaction</w:t>
            </w:r>
          </w:p>
        </w:tc>
      </w:tr>
      <w:tr w14:paraId="68367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9645C">
            <w:pPr>
              <w:pStyle w:val="24"/>
            </w:pPr>
            <w:r>
              <w:t>Family / Guardian</w:t>
            </w:r>
          </w:p>
        </w:tc>
        <w:tc>
          <w:p w14:paraId="3774AF93">
            <w:pPr>
              <w:pStyle w:val="24"/>
            </w:pPr>
            <w:r>
              <w:t>Health updates, menus, invoices, online payment, requests</w:t>
            </w:r>
          </w:p>
        </w:tc>
      </w:tr>
      <w:tr w14:paraId="08CE1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1B453">
            <w:pPr>
              <w:pStyle w:val="24"/>
            </w:pPr>
            <w:r>
              <w:t>Resident</w:t>
            </w:r>
          </w:p>
        </w:tc>
        <w:tc>
          <w:p w14:paraId="722C1E2E">
            <w:pPr>
              <w:pStyle w:val="24"/>
            </w:pPr>
            <w:r>
              <w:t>Subject of care; interacts indirectly via caregiver logs</w:t>
            </w:r>
          </w:p>
        </w:tc>
      </w:tr>
      <w:tr w14:paraId="17A79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3F4AE">
            <w:pPr>
              <w:pStyle w:val="24"/>
            </w:pPr>
            <w:r>
              <w:t>Customer / Facility Owner</w:t>
            </w:r>
          </w:p>
        </w:tc>
        <w:tc>
          <w:p w14:paraId="36801A81">
            <w:pPr>
              <w:pStyle w:val="24"/>
            </w:pPr>
            <w:r>
              <w:t>Requirements sponsor; reviews &amp; accepts</w:t>
            </w:r>
          </w:p>
        </w:tc>
      </w:tr>
      <w:tr w14:paraId="56AD9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18230">
            <w:pPr>
              <w:pStyle w:val="24"/>
            </w:pPr>
            <w:r>
              <w:t>External partners</w:t>
            </w:r>
          </w:p>
        </w:tc>
        <w:tc>
          <w:p w14:paraId="00D11C55">
            <w:pPr>
              <w:pStyle w:val="24"/>
            </w:pPr>
            <w:r>
              <w:t>LTC pharmacy, insurance clearinghouse, payment gateway (Phase 3)</w:t>
            </w:r>
          </w:p>
        </w:tc>
      </w:tr>
      <w:tr w14:paraId="54CF2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02CE4">
            <w:pPr>
              <w:pStyle w:val="24"/>
            </w:pPr>
            <w:r>
              <w:t>State / Federal surveyor (HHS)</w:t>
            </w:r>
          </w:p>
        </w:tc>
        <w:tc>
          <w:p w14:paraId="77215B6F">
            <w:pPr>
              <w:pStyle w:val="24"/>
            </w:pPr>
            <w:r>
              <w:t>External regulator; audits &amp; surveys</w:t>
            </w:r>
          </w:p>
        </w:tc>
      </w:tr>
    </w:tbl>
    <w:p w14:paraId="0DBB2FF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62432DE7">
      <w:pPr>
        <w:pStyle w:val="4"/>
      </w:pPr>
      <w:bookmarkStart w:id="8" w:name="X6aa09ed2e5df2e0fce0dca13fbca7cf50e66664"/>
      <w:r>
        <w:t>5. Centralized Data Integration — the backbone</w:t>
      </w:r>
    </w:p>
    <w:p w14:paraId="66137A04">
      <w:pPr>
        <w:pStyle w:val="23"/>
      </w:pPr>
      <w:r>
        <w:t>Single resident record shared across all modules. The canonical assessment-driven cascade:</w:t>
      </w:r>
    </w:p>
    <w:p w14:paraId="10297FF1">
      <w:pPr>
        <w:pStyle w:val="49"/>
      </w:pPr>
      <w:r>
        <w:rPr>
          <w:rStyle w:val="48"/>
        </w:rPr>
        <w:t>Intake Assessment metrics</w:t>
      </w:r>
      <w:r>
        <w:br w:type="textWrapping"/>
      </w:r>
      <w:r>
        <w:rPr>
          <w:rStyle w:val="48"/>
        </w:rPr>
        <w:t xml:space="preserve">   → Care Level (LOC) classification</w:t>
      </w:r>
      <w:r>
        <w:br w:type="textWrapping"/>
      </w:r>
      <w:r>
        <w:rPr>
          <w:rStyle w:val="48"/>
        </w:rPr>
        <w:t xml:space="preserve">   → Care Plan template tasks</w:t>
      </w:r>
      <w:r>
        <w:br w:type="textWrapping"/>
      </w:r>
      <w:r>
        <w:rPr>
          <w:rStyle w:val="48"/>
        </w:rPr>
        <w:t xml:space="preserve">   → Active CNA daily checklists</w:t>
      </w:r>
      <w:r>
        <w:br w:type="textWrapping"/>
      </w:r>
      <w:r>
        <w:rPr>
          <w:rStyle w:val="48"/>
        </w:rPr>
        <w:t xml:space="preserve">   → Acuity-based staffing recalculation</w:t>
      </w:r>
      <w:r>
        <w:br w:type="textWrapping"/>
      </w:r>
      <w:r>
        <w:rPr>
          <w:rStyle w:val="48"/>
        </w:rPr>
        <w:t xml:space="preserve">   → Billing / invoice at LOC rate</w:t>
      </w:r>
    </w:p>
    <w:p w14:paraId="7C56DB8F">
      <w:pPr>
        <w:pStyle w:val="23"/>
      </w:pPr>
      <w:r>
        <w:rPr>
          <w:b/>
          <w:bCs/>
        </w:rPr>
        <w:t>Worked example:</w:t>
      </w:r>
      <w:r>
        <w:t xml:space="preserve"> Nurse records mobility decline → system injects a "Transfer Assistance" task → scheduling recalibrates floor staffing for higher acuity → billing updates the invoice to the new LOC rate. </w:t>
      </w:r>
      <w:r>
        <w:rPr>
          <w:i/>
          <w:iCs/>
        </w:rPr>
        <w:t>(No data entered twice.)</w:t>
      </w:r>
    </w:p>
    <w:p w14:paraId="32C4F5B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3B7FD7F">
      <w:pPr>
        <w:pStyle w:val="4"/>
      </w:pPr>
      <w:bookmarkStart w:id="9" w:name="X1624c1f7a46ab15b647f926d09e7c5b1b53a77c"/>
      <w:r>
        <w:t>6. Canonical module map</w:t>
      </w:r>
    </w:p>
    <w:p w14:paraId="3B9F32A9">
      <w:pPr>
        <w:pStyle w:val="23"/>
      </w:pPr>
      <w:r>
        <w:t xml:space="preserve">The architecture defines </w:t>
      </w:r>
      <w:r>
        <w:rPr>
          <w:b/>
          <w:bCs/>
        </w:rPr>
        <w:t>8 modules in 4 groups</w:t>
      </w:r>
      <w:r>
        <w:t xml:space="preserve">, with an operational decomposition into </w:t>
      </w:r>
      <w:r>
        <w:rPr>
          <w:b/>
          <w:bCs/>
        </w:rPr>
        <w:t>12 functional modules</w:t>
      </w:r>
      <w:r>
        <w:t xml:space="preserve"> (headline = 8-group architecture; breakdown = 12 modules).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1985"/>
        <w:gridCol w:w="4546"/>
      </w:tblGrid>
      <w:tr w14:paraId="74969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DBDABD">
            <w:pPr>
              <w:pStyle w:val="24"/>
            </w:pPr>
            <w:r>
              <w:t>Group (architecture)</w:t>
            </w:r>
          </w:p>
        </w:tc>
        <w:tc>
          <w:p w14:paraId="1FC73E04">
            <w:pPr>
              <w:pStyle w:val="24"/>
            </w:pPr>
            <w:r>
              <w:t>8-module</w:t>
            </w:r>
          </w:p>
        </w:tc>
        <w:tc>
          <w:p w14:paraId="4ED9E981">
            <w:pPr>
              <w:pStyle w:val="24"/>
            </w:pPr>
            <w:r>
              <w:t>12-module decomposition</w:t>
            </w:r>
          </w:p>
        </w:tc>
      </w:tr>
      <w:tr w14:paraId="6A039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E732D">
            <w:pPr>
              <w:pStyle w:val="24"/>
            </w:pPr>
            <w:r>
              <w:t>I. Clinical &amp; Resident Care</w:t>
            </w:r>
          </w:p>
        </w:tc>
        <w:tc>
          <w:p w14:paraId="505CCE5F">
            <w:pPr>
              <w:pStyle w:val="24"/>
            </w:pPr>
            <w:r>
              <w:t>M1 Intake &amp; EHR</w:t>
            </w:r>
          </w:p>
        </w:tc>
        <w:tc>
          <w:p w14:paraId="4DAEFD1A">
            <w:pPr>
              <w:pStyle w:val="24"/>
            </w:pPr>
            <w:r>
              <w:t>Resident Profile · Admission &amp; Initial Assessment · Care Level Classification</w:t>
            </w:r>
          </w:p>
        </w:tc>
      </w:tr>
      <w:tr w14:paraId="0E5B0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D98D5D">
            <w:pPr>
              <w:pStyle w:val="24"/>
            </w:pPr>
          </w:p>
        </w:tc>
        <w:tc>
          <w:p w14:paraId="6EAE4246">
            <w:pPr>
              <w:pStyle w:val="24"/>
            </w:pPr>
            <w:r>
              <w:t>M2 Care Planning</w:t>
            </w:r>
          </w:p>
        </w:tc>
        <w:tc>
          <w:p w14:paraId="4C6D7E7D">
            <w:pPr>
              <w:pStyle w:val="24"/>
            </w:pPr>
            <w:r>
              <w:t>Care Plan Management · Daily Care Task Management</w:t>
            </w:r>
          </w:p>
        </w:tc>
      </w:tr>
      <w:tr w14:paraId="1FE05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1150B">
            <w:pPr>
              <w:pStyle w:val="24"/>
            </w:pPr>
          </w:p>
        </w:tc>
        <w:tc>
          <w:p w14:paraId="6BA2C0D3">
            <w:pPr>
              <w:pStyle w:val="24"/>
            </w:pPr>
            <w:r>
              <w:t>M3 eMAR</w:t>
            </w:r>
          </w:p>
        </w:tc>
        <w:tc>
          <w:p w14:paraId="0BFA3EAB">
            <w:pPr>
              <w:pStyle w:val="24"/>
            </w:pPr>
            <w:r>
              <w:t>Medication Management / eMAR</w:t>
            </w:r>
          </w:p>
        </w:tc>
      </w:tr>
      <w:tr w14:paraId="6AC32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21DCC">
            <w:pPr>
              <w:pStyle w:val="24"/>
            </w:pPr>
            <w:r>
              <w:t>II. Operations &amp; Workforce</w:t>
            </w:r>
          </w:p>
        </w:tc>
        <w:tc>
          <w:p w14:paraId="68A5E629">
            <w:pPr>
              <w:pStyle w:val="24"/>
            </w:pPr>
            <w:r>
              <w:t>M4 Staff Scheduling</w:t>
            </w:r>
          </w:p>
        </w:tc>
        <w:tc>
          <w:p w14:paraId="782AD7A1">
            <w:pPr>
              <w:pStyle w:val="24"/>
            </w:pPr>
            <w:r>
              <w:t>Staff &amp; Shift Management</w:t>
            </w:r>
          </w:p>
        </w:tc>
      </w:tr>
      <w:tr w14:paraId="523B7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9072E">
            <w:pPr>
              <w:pStyle w:val="24"/>
            </w:pPr>
          </w:p>
        </w:tc>
        <w:tc>
          <w:p w14:paraId="3C8FF1D8">
            <w:pPr>
              <w:pStyle w:val="24"/>
            </w:pPr>
            <w:r>
              <w:t>M5 Dining &amp; Dietary</w:t>
            </w:r>
          </w:p>
        </w:tc>
        <w:tc>
          <w:p w14:paraId="59DBCA65">
            <w:pPr>
              <w:pStyle w:val="24"/>
            </w:pPr>
            <w:r>
              <w:t>Meal &amp; Nutrition Management</w:t>
            </w:r>
          </w:p>
        </w:tc>
      </w:tr>
      <w:tr w14:paraId="07A3F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A174A">
            <w:pPr>
              <w:pStyle w:val="24"/>
            </w:pPr>
            <w:r>
              <w:t>III. Billing &amp; Financials</w:t>
            </w:r>
          </w:p>
        </w:tc>
        <w:tc>
          <w:p w14:paraId="468D7CAB">
            <w:pPr>
              <w:pStyle w:val="24"/>
            </w:pPr>
            <w:r>
              <w:t>M6 Billing &amp; RCM</w:t>
            </w:r>
          </w:p>
        </w:tc>
        <w:tc>
          <w:p w14:paraId="14B868FD">
            <w:pPr>
              <w:pStyle w:val="24"/>
            </w:pPr>
            <w:r>
              <w:t>Cost / Invoice / Payment Management</w:t>
            </w:r>
          </w:p>
        </w:tc>
      </w:tr>
      <w:tr w14:paraId="07B99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5C0BA">
            <w:pPr>
              <w:pStyle w:val="24"/>
            </w:pPr>
            <w:r>
              <w:t>IV. Compliance &amp; Engagement</w:t>
            </w:r>
          </w:p>
        </w:tc>
        <w:tc>
          <w:p w14:paraId="5EAC3D90">
            <w:pPr>
              <w:pStyle w:val="24"/>
            </w:pPr>
            <w:r>
              <w:t>M7 Incident &amp; Risk Mgmt</w:t>
            </w:r>
          </w:p>
        </w:tc>
        <w:tc>
          <w:p w14:paraId="1F641A94">
            <w:pPr>
              <w:pStyle w:val="24"/>
            </w:pPr>
            <w:r>
              <w:t>Incident &amp; Risk Management</w:t>
            </w:r>
          </w:p>
        </w:tc>
      </w:tr>
      <w:tr w14:paraId="4CB4A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37C32">
            <w:pPr>
              <w:pStyle w:val="24"/>
            </w:pPr>
          </w:p>
        </w:tc>
        <w:tc>
          <w:p w14:paraId="35A323BA">
            <w:pPr>
              <w:pStyle w:val="24"/>
            </w:pPr>
            <w:r>
              <w:t>M8 Family Portal</w:t>
            </w:r>
          </w:p>
        </w:tc>
        <w:tc>
          <w:p w14:paraId="5DB8036B">
            <w:pPr>
              <w:pStyle w:val="24"/>
            </w:pPr>
            <w:r>
              <w:t>Family Portal (+ Dashboard &amp; Reports as ops support)</w:t>
            </w:r>
          </w:p>
        </w:tc>
      </w:tr>
    </w:tbl>
    <w:p w14:paraId="234F213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9A2064A">
      <w:pPr>
        <w:pStyle w:val="4"/>
      </w:pPr>
      <w:bookmarkStart w:id="10" w:name="Xae1fa1a974fe670f8fef31e6469f6ac0cce44c4"/>
      <w:r>
        <w:t>7. Priority classification (calibrated for 1-month simulation)</w:t>
      </w:r>
    </w:p>
    <w:p w14:paraId="2AFB46DF">
      <w:pPr>
        <w:pStyle w:val="23"/>
      </w:pPr>
      <w:r>
        <w:rPr>
          <w:b/>
          <w:bCs/>
        </w:rPr>
        <w:t>Incident &amp; Risk is P1</w:t>
      </w:r>
      <w:r>
        <w:t xml:space="preserve"> — a regulatory hard-stop (24–48h reporting, chart-lock), not a low priority.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5106"/>
        <w:gridCol w:w="1922"/>
      </w:tblGrid>
      <w:tr w14:paraId="0C0CA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65763D">
            <w:pPr>
              <w:pStyle w:val="24"/>
            </w:pPr>
            <w:r>
              <w:t>Priority</w:t>
            </w:r>
          </w:p>
        </w:tc>
        <w:tc>
          <w:p w14:paraId="3FF5C463">
            <w:pPr>
              <w:pStyle w:val="24"/>
            </w:pPr>
            <w:r>
              <w:t>Modules</w:t>
            </w:r>
          </w:p>
        </w:tc>
        <w:tc>
          <w:p w14:paraId="5E311314">
            <w:pPr>
              <w:pStyle w:val="24"/>
            </w:pPr>
            <w:r>
              <w:t>Analysis depth for the sim</w:t>
            </w:r>
          </w:p>
        </w:tc>
      </w:tr>
      <w:tr w14:paraId="79D44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2639BC">
            <w:pPr>
              <w:pStyle w:val="24"/>
            </w:pPr>
            <w:r>
              <w:rPr>
                <w:b/>
                <w:bCs/>
              </w:rPr>
              <w:t>P1 — Critical (Must)</w:t>
            </w:r>
          </w:p>
        </w:tc>
        <w:tc>
          <w:p w14:paraId="6CF4D919">
            <w:pPr>
              <w:pStyle w:val="24"/>
            </w:pPr>
            <w:r>
              <w:t>Resident Profile · Intake &amp; Assessment · Care Level · Care Plan · Daily Care Tasks · eMAR (basic) · Incident &amp; Risk (basic)</w:t>
            </w:r>
          </w:p>
        </w:tc>
        <w:tc>
          <w:p w14:paraId="011487EA">
            <w:pPr>
              <w:pStyle w:val="24"/>
            </w:pPr>
            <w:r>
              <w:rPr>
                <w:b/>
                <w:bCs/>
              </w:rPr>
              <w:t>Deep</w:t>
            </w:r>
            <w:r>
              <w:t xml:space="preserve"> — full use cases, flows, AC</w:t>
            </w:r>
          </w:p>
        </w:tc>
      </w:tr>
      <w:tr w14:paraId="22993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9948A">
            <w:pPr>
              <w:pStyle w:val="24"/>
            </w:pPr>
            <w:r>
              <w:rPr>
                <w:b/>
                <w:bCs/>
              </w:rPr>
              <w:t>P2 — High (Should)</w:t>
            </w:r>
          </w:p>
        </w:tc>
        <w:tc>
          <w:p w14:paraId="0EA3029E">
            <w:pPr>
              <w:pStyle w:val="24"/>
            </w:pPr>
            <w:r>
              <w:t>Staff &amp; Shift (basic assignment) · Billing (LOC-based) · Meal &amp; Nutrition</w:t>
            </w:r>
          </w:p>
        </w:tc>
        <w:tc>
          <w:p w14:paraId="08366AEC">
            <w:pPr>
              <w:pStyle w:val="24"/>
            </w:pPr>
            <w:r>
              <w:rPr>
                <w:b/>
                <w:bCs/>
              </w:rPr>
              <w:t>Summary</w:t>
            </w:r>
            <w:r>
              <w:t xml:space="preserve"> — key use cases only</w:t>
            </w:r>
          </w:p>
        </w:tc>
      </w:tr>
      <w:tr w14:paraId="2DD0D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964C1">
            <w:pPr>
              <w:pStyle w:val="24"/>
            </w:pPr>
            <w:r>
              <w:rPr>
                <w:b/>
                <w:bCs/>
              </w:rPr>
              <w:t>P3 — Medium (Could)</w:t>
            </w:r>
          </w:p>
        </w:tc>
        <w:tc>
          <w:p w14:paraId="247FFE79">
            <w:pPr>
              <w:pStyle w:val="24"/>
            </w:pPr>
            <w:r>
              <w:t>Dashboard &amp; Reports · Family Portal</w:t>
            </w:r>
          </w:p>
        </w:tc>
        <w:tc>
          <w:p w14:paraId="2351D4A0">
            <w:pPr>
              <w:pStyle w:val="24"/>
            </w:pPr>
            <w:r>
              <w:rPr>
                <w:b/>
                <w:bCs/>
              </w:rPr>
              <w:t>Summary / outline</w:t>
            </w:r>
          </w:p>
        </w:tc>
      </w:tr>
      <w:tr w14:paraId="4CD88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58B0B">
            <w:pPr>
              <w:pStyle w:val="24"/>
            </w:pPr>
            <w:r>
              <w:rPr>
                <w:b/>
                <w:bCs/>
              </w:rPr>
              <w:t>Out of scope (Won't, this sim)</w:t>
            </w:r>
          </w:p>
        </w:tc>
        <w:tc>
          <w:p w14:paraId="3BF6F826">
            <w:pPr>
              <w:pStyle w:val="24"/>
            </w:pPr>
            <w:r>
              <w:t>LTC pharmacy / insurance / EDI engines · barcode hardware · IoT sensors · AI risk prediction · multi-facility analytics</w:t>
            </w:r>
          </w:p>
        </w:tc>
        <w:tc>
          <w:p w14:paraId="410D80D0">
            <w:pPr>
              <w:pStyle w:val="24"/>
            </w:pPr>
            <w:r>
              <w:t>Listed as future vision only</w:t>
            </w:r>
          </w:p>
        </w:tc>
      </w:tr>
    </w:tbl>
    <w:p w14:paraId="66C7EF74">
      <w:pPr>
        <w:pStyle w:val="3"/>
      </w:pPr>
      <w:r>
        <w:rPr>
          <w:b/>
          <w:bCs/>
        </w:rPr>
        <w:t>MVP for the 1-month simulation = the P1 core care flow</w:t>
      </w:r>
      <w:r>
        <w:t xml:space="preserve"> — the modules to analyze in depth.</w:t>
      </w:r>
    </w:p>
    <w:p w14:paraId="568C932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3E643E9A">
      <w:pPr>
        <w:pStyle w:val="4"/>
      </w:pPr>
      <w:bookmarkStart w:id="11" w:name="Xa07effd0faea6e9870fa834d8abe8c49f3a8f25"/>
      <w:r>
        <w:t>8. Business rules (testable)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8047"/>
      </w:tblGrid>
      <w:tr w14:paraId="63A64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DF9220">
            <w:pPr>
              <w:pStyle w:val="24"/>
            </w:pPr>
            <w:r>
              <w:t>ID</w:t>
            </w:r>
          </w:p>
        </w:tc>
        <w:tc>
          <w:p w14:paraId="026921EB">
            <w:pPr>
              <w:pStyle w:val="24"/>
            </w:pPr>
            <w:r>
              <w:t>Rule</w:t>
            </w:r>
          </w:p>
        </w:tc>
      </w:tr>
      <w:tr w14:paraId="549D2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906EF">
            <w:pPr>
              <w:pStyle w:val="24"/>
            </w:pPr>
            <w:r>
              <w:t>BR-01</w:t>
            </w:r>
          </w:p>
        </w:tc>
        <w:tc>
          <w:p w14:paraId="46CEBC5F">
            <w:pPr>
              <w:pStyle w:val="24"/>
            </w:pPr>
            <w:r>
              <w:t>Staffing ratio must not exceed the state-mandated maximum residents per nurse/CNA</w:t>
            </w:r>
          </w:p>
        </w:tc>
      </w:tr>
      <w:tr w14:paraId="0381D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4B070">
            <w:pPr>
              <w:pStyle w:val="24"/>
            </w:pPr>
            <w:r>
              <w:t>BR-02</w:t>
            </w:r>
          </w:p>
        </w:tc>
        <w:tc>
          <w:p w14:paraId="270D2A7E">
            <w:pPr>
              <w:pStyle w:val="24"/>
            </w:pPr>
            <w:r>
              <w:t>MDS assessment completed within 14 days of admission (SNF)</w:t>
            </w:r>
          </w:p>
        </w:tc>
      </w:tr>
      <w:tr w14:paraId="2A65F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1945D">
            <w:pPr>
              <w:pStyle w:val="24"/>
            </w:pPr>
            <w:r>
              <w:t>BR-03</w:t>
            </w:r>
          </w:p>
        </w:tc>
        <w:tc>
          <w:p w14:paraId="3D055C77">
            <w:pPr>
              <w:pStyle w:val="24"/>
            </w:pPr>
            <w:r>
              <w:t>Reassessment every 90 days or upon Significant Change in Status</w:t>
            </w:r>
          </w:p>
        </w:tc>
      </w:tr>
      <w:tr w14:paraId="02202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7B1A5">
            <w:pPr>
              <w:pStyle w:val="24"/>
            </w:pPr>
            <w:r>
              <w:t>BR-04</w:t>
            </w:r>
          </w:p>
        </w:tc>
        <w:tc>
          <w:p w14:paraId="71A5B523">
            <w:pPr>
              <w:pStyle w:val="24"/>
            </w:pPr>
            <w:r>
              <w:t>Medicare SNF coverage capped at 100 days; payer source transitions when exhausted</w:t>
            </w:r>
          </w:p>
        </w:tc>
      </w:tr>
      <w:tr w14:paraId="1ACD8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296B77">
            <w:pPr>
              <w:pStyle w:val="24"/>
            </w:pPr>
            <w:r>
              <w:t>BR-05</w:t>
            </w:r>
          </w:p>
        </w:tc>
        <w:tc>
          <w:p w14:paraId="67991D25">
            <w:pPr>
              <w:pStyle w:val="24"/>
            </w:pPr>
            <w:r>
              <w:t>Assessment data, once e-signed, cannot be altered</w:t>
            </w:r>
          </w:p>
        </w:tc>
      </w:tr>
      <w:tr w14:paraId="3EB88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50697">
            <w:pPr>
              <w:pStyle w:val="24"/>
            </w:pPr>
            <w:r>
              <w:t>BR-06</w:t>
            </w:r>
          </w:p>
        </w:tc>
        <w:tc>
          <w:p w14:paraId="3C9B2692">
            <w:pPr>
              <w:pStyle w:val="24"/>
            </w:pPr>
            <w:r>
              <w:t>Pre-admission denied if the facility cannot meet the applicant's clinical needs</w:t>
            </w:r>
          </w:p>
        </w:tc>
      </w:tr>
      <w:tr w14:paraId="6CE2B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96933">
            <w:pPr>
              <w:pStyle w:val="24"/>
            </w:pPr>
            <w:r>
              <w:t>BR-07</w:t>
            </w:r>
          </w:p>
        </w:tc>
        <w:tc>
          <w:p w14:paraId="7231D87F">
            <w:pPr>
              <w:pStyle w:val="24"/>
            </w:pPr>
            <w:r>
              <w:t>On incident entry, the resident's chart is auto-locked at that timestamp</w:t>
            </w:r>
          </w:p>
        </w:tc>
      </w:tr>
      <w:tr w14:paraId="538CF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4FFD6">
            <w:pPr>
              <w:pStyle w:val="24"/>
            </w:pPr>
            <w:r>
              <w:t>BR-08</w:t>
            </w:r>
          </w:p>
        </w:tc>
        <w:tc>
          <w:p w14:paraId="2A568DB6">
            <w:pPr>
              <w:pStyle w:val="24"/>
            </w:pPr>
            <w:r>
              <w:t>Meal orders are blocked if they violate a documented allergy/diet restriction</w:t>
            </w:r>
          </w:p>
        </w:tc>
      </w:tr>
    </w:tbl>
    <w:p w14:paraId="706FAC4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3855370">
      <w:pPr>
        <w:pStyle w:val="4"/>
      </w:pPr>
      <w:bookmarkStart w:id="12" w:name="X17526c1227c60b23f8acb6aba379792d4cbe4b3"/>
      <w:r>
        <w:t>9. Non-functional requirements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5982"/>
        <w:gridCol w:w="1971"/>
      </w:tblGrid>
      <w:tr w14:paraId="6DB9E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9287F4">
            <w:pPr>
              <w:pStyle w:val="24"/>
            </w:pPr>
            <w:r>
              <w:t>ID</w:t>
            </w:r>
          </w:p>
        </w:tc>
        <w:tc>
          <w:p w14:paraId="62796899">
            <w:pPr>
              <w:pStyle w:val="24"/>
            </w:pPr>
            <w:r>
              <w:t>Requirement</w:t>
            </w:r>
          </w:p>
        </w:tc>
        <w:tc>
          <w:p w14:paraId="650421A9">
            <w:pPr>
              <w:pStyle w:val="24"/>
            </w:pPr>
            <w:r>
              <w:t>Status</w:t>
            </w:r>
          </w:p>
        </w:tc>
      </w:tr>
      <w:tr w14:paraId="63C7D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75328">
            <w:pPr>
              <w:pStyle w:val="24"/>
            </w:pPr>
            <w:r>
              <w:t>NFR-01</w:t>
            </w:r>
          </w:p>
        </w:tc>
        <w:tc>
          <w:p w14:paraId="148BC91C">
            <w:pPr>
              <w:pStyle w:val="24"/>
            </w:pPr>
            <w:r>
              <w:t>HIPAA-aligned storage, encryption, role-based access control (RBAC)</w:t>
            </w:r>
          </w:p>
        </w:tc>
        <w:tc>
          <w:p w14:paraId="7474B7B7">
            <w:pPr>
              <w:pStyle w:val="24"/>
            </w:pPr>
            <w:r>
              <w:t>Confirmed (simulate)</w:t>
            </w:r>
          </w:p>
        </w:tc>
      </w:tr>
      <w:tr w14:paraId="641F1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399D8">
            <w:pPr>
              <w:pStyle w:val="24"/>
            </w:pPr>
            <w:r>
              <w:t>NFR-02</w:t>
            </w:r>
          </w:p>
        </w:tc>
        <w:tc>
          <w:p w14:paraId="31874257">
            <w:pPr>
              <w:pStyle w:val="24"/>
            </w:pPr>
            <w:r>
              <w:t>Immutable audit trail; e-signed data not alterable</w:t>
            </w:r>
          </w:p>
        </w:tc>
        <w:tc>
          <w:p w14:paraId="5695D4DB">
            <w:pPr>
              <w:pStyle w:val="24"/>
            </w:pPr>
            <w:r>
              <w:t>Confirmed</w:t>
            </w:r>
          </w:p>
        </w:tc>
      </w:tr>
      <w:tr w14:paraId="7A5B1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9DD08">
            <w:pPr>
              <w:pStyle w:val="24"/>
            </w:pPr>
            <w:r>
              <w:t>NFR-03</w:t>
            </w:r>
          </w:p>
        </w:tc>
        <w:tc>
          <w:p w14:paraId="4AE671D1">
            <w:pPr>
              <w:pStyle w:val="24"/>
            </w:pPr>
            <w:r>
              <w:t>Chart auto-lock at incident time</w:t>
            </w:r>
          </w:p>
        </w:tc>
        <w:tc>
          <w:p w14:paraId="1DF7301F">
            <w:pPr>
              <w:pStyle w:val="24"/>
            </w:pPr>
            <w:r>
              <w:t>Confirmed</w:t>
            </w:r>
          </w:p>
        </w:tc>
      </w:tr>
      <w:tr w14:paraId="765BC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80ED9">
            <w:pPr>
              <w:pStyle w:val="24"/>
            </w:pPr>
            <w:r>
              <w:t>NFR-04</w:t>
            </w:r>
          </w:p>
        </w:tc>
        <w:tc>
          <w:p w14:paraId="2CEF57A4">
            <w:pPr>
              <w:pStyle w:val="24"/>
            </w:pPr>
            <w:r>
              <w:t>Mobile/tablet-friendly, minimal typing, color-coded alerts (CNA adoption)</w:t>
            </w:r>
          </w:p>
        </w:tc>
        <w:tc>
          <w:p w14:paraId="32891A09">
            <w:pPr>
              <w:pStyle w:val="24"/>
            </w:pPr>
            <w:r>
              <w:t>Confirmed</w:t>
            </w:r>
          </w:p>
        </w:tc>
      </w:tr>
      <w:tr w14:paraId="60C5E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C9742D">
            <w:pPr>
              <w:pStyle w:val="24"/>
            </w:pPr>
            <w:r>
              <w:t>NFR-05</w:t>
            </w:r>
          </w:p>
        </w:tc>
        <w:tc>
          <w:p w14:paraId="4E34081F">
            <w:pPr>
              <w:pStyle w:val="24"/>
            </w:pPr>
            <w:r>
              <w:t xml:space="preserve">Standards alignment: ICD-10, MDS/PDPM, EDI 837/835 — </w:t>
            </w:r>
            <w:r>
              <w:rPr>
                <w:b/>
                <w:bCs/>
              </w:rPr>
              <w:t>simulated</w:t>
            </w:r>
            <w:r>
              <w:t xml:space="preserve"> in this project</w:t>
            </w:r>
          </w:p>
        </w:tc>
        <w:tc>
          <w:p w14:paraId="416E38C1">
            <w:pPr>
              <w:pStyle w:val="24"/>
            </w:pPr>
            <w:r>
              <w:t>Simulated</w:t>
            </w:r>
          </w:p>
        </w:tc>
      </w:tr>
      <w:tr w14:paraId="42BA5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EF0C8">
            <w:pPr>
              <w:pStyle w:val="24"/>
            </w:pPr>
            <w:r>
              <w:t>NFR-06</w:t>
            </w:r>
          </w:p>
        </w:tc>
        <w:tc>
          <w:p w14:paraId="02FEDCB9">
            <w:pPr>
              <w:pStyle w:val="24"/>
            </w:pPr>
            <w:r>
              <w:t>Regulatory reporting within 24–48h</w:t>
            </w:r>
          </w:p>
        </w:tc>
        <w:tc>
          <w:p w14:paraId="39E965CB">
            <w:pPr>
              <w:pStyle w:val="24"/>
            </w:pPr>
            <w:r>
              <w:t>Confirmed</w:t>
            </w:r>
          </w:p>
        </w:tc>
      </w:tr>
      <w:tr w14:paraId="2B81C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321D2">
            <w:pPr>
              <w:pStyle w:val="24"/>
            </w:pPr>
            <w:r>
              <w:t>NFR-07</w:t>
            </w:r>
          </w:p>
        </w:tc>
        <w:tc>
          <w:p w14:paraId="79141D64">
            <w:pPr>
              <w:pStyle w:val="24"/>
            </w:pPr>
            <w:r>
              <w:t>Uptime / concurrency / response time / retention</w:t>
            </w:r>
          </w:p>
        </w:tc>
        <w:tc>
          <w:p w14:paraId="09782D78">
            <w:pPr>
              <w:pStyle w:val="24"/>
            </w:pPr>
            <w:r>
              <w:t>⚠️ To define (OI-03)</w:t>
            </w:r>
          </w:p>
        </w:tc>
      </w:tr>
    </w:tbl>
    <w:p w14:paraId="61CF4C1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4B0F3D0E">
      <w:pPr>
        <w:pStyle w:val="4"/>
      </w:pPr>
      <w:bookmarkStart w:id="13" w:name="X0271bc845e226165aa44174408f07ccc95b2c22"/>
      <w:r>
        <w:t>10. Constraints</w:t>
      </w:r>
    </w:p>
    <w:p w14:paraId="28D0345D">
      <w:pPr>
        <w:pStyle w:val="23"/>
      </w:pPr>
      <w:r>
        <w:t xml:space="preserve">Federal + state law (state-specific rules vary) · HIPAA · anti-fraud (falsifying assessments for reimbursement is a federal offense) · mandatory standards ICD-10, PDPM, RUGs, EDI 835/837. </w:t>
      </w:r>
      <w:r>
        <w:rPr>
          <w:b/>
          <w:bCs/>
        </w:rPr>
        <w:t>Simulation note:</w:t>
      </w:r>
      <w:r>
        <w:t xml:space="preserve"> compliance frameworks are modeled with simplified logic, not production-grade engines.</w:t>
      </w:r>
    </w:p>
    <w:p w14:paraId="7EF2B60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5030334F">
      <w:pPr>
        <w:pStyle w:val="4"/>
      </w:pPr>
      <w:bookmarkStart w:id="14" w:name="Xf116fbc86816c6c367537201a88a1aef353ddb9"/>
      <w:r>
        <w:t>11. Risk register (with mitigations)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"/>
        <w:gridCol w:w="3605"/>
        <w:gridCol w:w="722"/>
        <w:gridCol w:w="919"/>
        <w:gridCol w:w="3093"/>
      </w:tblGrid>
      <w:tr w14:paraId="56BAB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13CBBB">
            <w:pPr>
              <w:pStyle w:val="24"/>
            </w:pPr>
            <w:r>
              <w:t>ID</w:t>
            </w:r>
          </w:p>
        </w:tc>
        <w:tc>
          <w:p w14:paraId="113B4BDD">
            <w:pPr>
              <w:pStyle w:val="24"/>
            </w:pPr>
            <w:r>
              <w:t>Risk</w:t>
            </w:r>
          </w:p>
        </w:tc>
        <w:tc>
          <w:p w14:paraId="3C950232">
            <w:pPr>
              <w:pStyle w:val="24"/>
            </w:pPr>
            <w:r>
              <w:t>L</w:t>
            </w:r>
          </w:p>
        </w:tc>
        <w:tc>
          <w:p w14:paraId="0E08F5DA">
            <w:pPr>
              <w:pStyle w:val="24"/>
            </w:pPr>
            <w:r>
              <w:t>I</w:t>
            </w:r>
          </w:p>
        </w:tc>
        <w:tc>
          <w:p w14:paraId="366AC1EA">
            <w:pPr>
              <w:pStyle w:val="24"/>
            </w:pPr>
            <w:r>
              <w:t>Mitigation</w:t>
            </w:r>
          </w:p>
        </w:tc>
      </w:tr>
      <w:tr w14:paraId="18E25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8ED34">
            <w:pPr>
              <w:pStyle w:val="24"/>
            </w:pPr>
            <w:r>
              <w:t>R-01</w:t>
            </w:r>
          </w:p>
        </w:tc>
        <w:tc>
          <w:p w14:paraId="72C18C3C">
            <w:pPr>
              <w:pStyle w:val="24"/>
            </w:pPr>
            <w:r>
              <w:t>Domain misunderstanding → system becomes data-entry only</w:t>
            </w:r>
          </w:p>
        </w:tc>
        <w:tc>
          <w:p w14:paraId="341C53E8">
            <w:pPr>
              <w:pStyle w:val="24"/>
            </w:pPr>
            <w:r>
              <w:t>Med</w:t>
            </w:r>
          </w:p>
        </w:tc>
        <w:tc>
          <w:p w14:paraId="7BC16AD9">
            <w:pPr>
              <w:pStyle w:val="24"/>
            </w:pPr>
            <w:r>
              <w:t>High</w:t>
            </w:r>
          </w:p>
        </w:tc>
        <w:tc>
          <w:p w14:paraId="4283F827">
            <w:pPr>
              <w:pStyle w:val="24"/>
            </w:pPr>
            <w:r>
              <w:t>Anchor requirements on active daily workflows, not static tables</w:t>
            </w:r>
          </w:p>
        </w:tc>
      </w:tr>
      <w:tr w14:paraId="5CDEF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ED836C">
            <w:pPr>
              <w:pStyle w:val="24"/>
            </w:pPr>
            <w:r>
              <w:t>R-02</w:t>
            </w:r>
          </w:p>
        </w:tc>
        <w:tc>
          <w:p w14:paraId="605052A8">
            <w:pPr>
              <w:pStyle w:val="24"/>
            </w:pPr>
            <w:r>
              <w:t>Scope creep (too many shallow modules)</w:t>
            </w:r>
          </w:p>
        </w:tc>
        <w:tc>
          <w:p w14:paraId="366EB09B">
            <w:pPr>
              <w:pStyle w:val="24"/>
            </w:pPr>
            <w:r>
              <w:t>High</w:t>
            </w:r>
          </w:p>
        </w:tc>
        <w:tc>
          <w:p w14:paraId="1CAFE525">
            <w:pPr>
              <w:pStyle w:val="24"/>
            </w:pPr>
            <w:r>
              <w:t>High</w:t>
            </w:r>
          </w:p>
        </w:tc>
        <w:tc>
          <w:p w14:paraId="0286EBC7">
            <w:pPr>
              <w:pStyle w:val="24"/>
            </w:pPr>
            <w:r>
              <w:t>Enforce MVP boundary; phase scope; confirm mandatory modules with mentor</w:t>
            </w:r>
          </w:p>
        </w:tc>
      </w:tr>
      <w:tr w14:paraId="6006F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10560">
            <w:pPr>
              <w:pStyle w:val="24"/>
            </w:pPr>
            <w:r>
              <w:t>R-03</w:t>
            </w:r>
          </w:p>
        </w:tc>
        <w:tc>
          <w:p w14:paraId="051F25C5">
            <w:pPr>
              <w:pStyle w:val="24"/>
            </w:pPr>
            <w:r>
              <w:t>Sensitive-data exposure (HIPAA)</w:t>
            </w:r>
          </w:p>
        </w:tc>
        <w:tc>
          <w:p w14:paraId="05BBAA81">
            <w:pPr>
              <w:pStyle w:val="24"/>
            </w:pPr>
            <w:r>
              <w:t>Med</w:t>
            </w:r>
          </w:p>
        </w:tc>
        <w:tc>
          <w:p w14:paraId="65D05B8E">
            <w:pPr>
              <w:pStyle w:val="24"/>
            </w:pPr>
            <w:r>
              <w:t>Severe</w:t>
            </w:r>
          </w:p>
        </w:tc>
        <w:tc>
          <w:p w14:paraId="7677E8F7">
            <w:pPr>
              <w:pStyle w:val="24"/>
            </w:pPr>
            <w:r>
              <w:t>RBAC, view limits, immutable audit logs</w:t>
            </w:r>
          </w:p>
        </w:tc>
      </w:tr>
      <w:tr w14:paraId="26ED2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556F2">
            <w:pPr>
              <w:pStyle w:val="24"/>
            </w:pPr>
            <w:r>
              <w:t>R-04</w:t>
            </w:r>
          </w:p>
        </w:tc>
        <w:tc>
          <w:p w14:paraId="739EFE2A">
            <w:pPr>
              <w:pStyle w:val="24"/>
            </w:pPr>
            <w:r>
              <w:t>Medication-safety errors</w:t>
            </w:r>
          </w:p>
        </w:tc>
        <w:tc>
          <w:p w14:paraId="6F079BD6">
            <w:pPr>
              <w:pStyle w:val="24"/>
            </w:pPr>
            <w:r>
              <w:t>Med</w:t>
            </w:r>
          </w:p>
        </w:tc>
        <w:tc>
          <w:p w14:paraId="75368483">
            <w:pPr>
              <w:pStyle w:val="24"/>
            </w:pPr>
            <w:r>
              <w:t>Severe</w:t>
            </w:r>
          </w:p>
        </w:tc>
        <w:tc>
          <w:p w14:paraId="2CE630A8">
            <w:pPr>
              <w:pStyle w:val="24"/>
            </w:pPr>
            <w:r>
              <w:t>Clear process states, missed/refused-dose logs, allergy checks</w:t>
            </w:r>
          </w:p>
        </w:tc>
      </w:tr>
      <w:tr w14:paraId="353DD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0737E">
            <w:pPr>
              <w:pStyle w:val="24"/>
            </w:pPr>
            <w:r>
              <w:t>R-05</w:t>
            </w:r>
          </w:p>
        </w:tc>
        <w:tc>
          <w:p w14:paraId="2F8C7E3A">
            <w:pPr>
              <w:pStyle w:val="24"/>
            </w:pPr>
            <w:r>
              <w:t>Low CNA adoption</w:t>
            </w:r>
          </w:p>
        </w:tc>
        <w:tc>
          <w:p w14:paraId="34AFB0D6">
            <w:pPr>
              <w:pStyle w:val="24"/>
            </w:pPr>
            <w:r>
              <w:t>Med</w:t>
            </w:r>
          </w:p>
        </w:tc>
        <w:tc>
          <w:p w14:paraId="75673C3B">
            <w:pPr>
              <w:pStyle w:val="24"/>
            </w:pPr>
            <w:r>
              <w:t>High</w:t>
            </w:r>
          </w:p>
        </w:tc>
        <w:tc>
          <w:p w14:paraId="7A1B0908">
            <w:pPr>
              <w:pStyle w:val="24"/>
            </w:pPr>
            <w:r>
              <w:t>Simple mobile UI, minimal typing, color alerts</w:t>
            </w:r>
          </w:p>
        </w:tc>
      </w:tr>
      <w:tr w14:paraId="27B17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7B848">
            <w:pPr>
              <w:pStyle w:val="24"/>
            </w:pPr>
            <w:r>
              <w:t>R-06</w:t>
            </w:r>
          </w:p>
        </w:tc>
        <w:tc>
          <w:p w14:paraId="74F322C4">
            <w:pPr>
              <w:pStyle w:val="24"/>
            </w:pPr>
            <w:r>
              <w:t>Integration complexity (pharmacy/insurance/IoT)</w:t>
            </w:r>
          </w:p>
        </w:tc>
        <w:tc>
          <w:p w14:paraId="586DE729">
            <w:pPr>
              <w:pStyle w:val="24"/>
            </w:pPr>
            <w:r>
              <w:t>Med</w:t>
            </w:r>
          </w:p>
        </w:tc>
        <w:tc>
          <w:p w14:paraId="2B4DD0C5">
            <w:pPr>
              <w:pStyle w:val="24"/>
            </w:pPr>
            <w:r>
              <w:t>High</w:t>
            </w:r>
          </w:p>
        </w:tc>
        <w:tc>
          <w:p w14:paraId="6CAD1DA3">
            <w:pPr>
              <w:pStyle w:val="24"/>
            </w:pPr>
            <w:r>
              <w:t>Defer all external integrations to Phase 3 / out-of-scope</w:t>
            </w:r>
          </w:p>
        </w:tc>
      </w:tr>
      <w:tr w14:paraId="20481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6488F">
            <w:pPr>
              <w:pStyle w:val="24"/>
            </w:pPr>
            <w:r>
              <w:t>R-07</w:t>
            </w:r>
          </w:p>
        </w:tc>
        <w:tc>
          <w:p w14:paraId="16AC3983">
            <w:pPr>
              <w:pStyle w:val="24"/>
            </w:pPr>
            <w:r>
              <w:t>Compliance / legal variance by market</w:t>
            </w:r>
          </w:p>
        </w:tc>
        <w:tc>
          <w:p w14:paraId="7089A06F">
            <w:pPr>
              <w:pStyle w:val="24"/>
            </w:pPr>
            <w:r>
              <w:t>Med</w:t>
            </w:r>
          </w:p>
        </w:tc>
        <w:tc>
          <w:p w14:paraId="4C420549">
            <w:pPr>
              <w:pStyle w:val="24"/>
            </w:pPr>
            <w:r>
              <w:t>Severe</w:t>
            </w:r>
          </w:p>
        </w:tc>
        <w:tc>
          <w:p w14:paraId="04A32FE1">
            <w:pPr>
              <w:pStyle w:val="24"/>
            </w:pPr>
            <w:r>
              <w:t>Fix target market &amp; standards before finalizing requirements</w:t>
            </w:r>
          </w:p>
        </w:tc>
      </w:tr>
      <w:tr w14:paraId="59FA0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336C2">
            <w:pPr>
              <w:pStyle w:val="24"/>
            </w:pPr>
            <w:r>
              <w:t>R-08</w:t>
            </w:r>
          </w:p>
        </w:tc>
        <w:tc>
          <w:p w14:paraId="2DDBB2F0">
            <w:pPr>
              <w:pStyle w:val="24"/>
            </w:pPr>
            <w:r>
              <w:t>Acuity-blind staffing</w:t>
            </w:r>
          </w:p>
        </w:tc>
        <w:tc>
          <w:p w14:paraId="19525755">
            <w:pPr>
              <w:pStyle w:val="24"/>
            </w:pPr>
            <w:r>
              <w:t>High</w:t>
            </w:r>
          </w:p>
        </w:tc>
        <w:tc>
          <w:p w14:paraId="6731E6BD">
            <w:pPr>
              <w:pStyle w:val="24"/>
            </w:pPr>
            <w:r>
              <w:t>Severe</w:t>
            </w:r>
          </w:p>
        </w:tc>
        <w:tc>
          <w:p w14:paraId="1982AF29">
            <w:pPr>
              <w:pStyle w:val="24"/>
            </w:pPr>
            <w:r>
              <w:t>Tie scheduling to care level / acuity</w:t>
            </w:r>
          </w:p>
        </w:tc>
      </w:tr>
    </w:tbl>
    <w:p w14:paraId="21B9BA6A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14"/>
      <w:bookmarkStart w:id="15" w:name="Xdc1aa6f91902bb0432a15233c88457c60a478b2"/>
    </w:p>
    <w:bookmarkEnd w:id="1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23740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317</Words>
  <Characters>1934</Characters>
  <Lines>12</Lines>
  <Paragraphs>8</Paragraphs>
  <TotalTime>6</TotalTime>
  <ScaleCrop>false</ScaleCrop>
  <LinksUpToDate>false</LinksUpToDate>
  <CharactersWithSpaces>2214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2026-06-27T15:28:00Z</dcterms:created>
  <dc:creator>UnkaiPC</dc:creator>
  <cp:lastModifiedBy>UnkaiPC</cp:lastModifiedBy>
  <dcterms:modified xsi:type="dcterms:W3CDTF">2026-06-27T15:30:10Z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eyJoZGlkIjoiMmQxNTA4NDY3N2ZjYWRjOTZmOGEyMjQxMzYyNmI4MGIifQ==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8922EE6B242C49B48BBB8B135AD6D32C_12</vt:lpwstr>
  </property>
</Properties>
</file>