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D42F" w14:textId="77777777" w:rsidR="00043F88" w:rsidRPr="00043F88" w:rsidRDefault="00043F88" w:rsidP="00043F88">
      <w:pPr>
        <w:rPr>
          <w:b/>
          <w:bCs/>
        </w:rPr>
      </w:pPr>
      <w:r w:rsidRPr="00043F88">
        <w:rPr>
          <w:b/>
          <w:bCs/>
        </w:rPr>
        <w:t>SUMMARY OF 4 CORE BPMN WORKFLOWS (TÓM TẮT 4 LUỒNG QUY TRÌNH CỐT LÕI)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90"/>
        <w:gridCol w:w="1607"/>
        <w:gridCol w:w="2835"/>
        <w:gridCol w:w="2830"/>
      </w:tblGrid>
      <w:tr w:rsidR="00043F88" w:rsidRPr="00043F88" w14:paraId="06D6CDD5" w14:textId="77777777" w:rsidTr="00043F88">
        <w:trPr>
          <w:tblCellSpacing w:w="15" w:type="dxa"/>
        </w:trPr>
        <w:tc>
          <w:tcPr>
            <w:tcW w:w="1745" w:type="dxa"/>
            <w:tcMar>
              <w:top w:w="90" w:type="dxa"/>
              <w:left w:w="180" w:type="dxa"/>
              <w:bottom w:w="90" w:type="dxa"/>
              <w:right w:w="180" w:type="dxa"/>
            </w:tcMar>
            <w:vAlign w:val="center"/>
            <w:hideMark/>
          </w:tcPr>
          <w:p w14:paraId="27020251" w14:textId="77777777" w:rsidR="00043F88" w:rsidRPr="00043F88" w:rsidRDefault="00043F88" w:rsidP="00043F88">
            <w:pPr>
              <w:jc w:val="center"/>
              <w:rPr>
                <w:b/>
                <w:bCs/>
              </w:rPr>
            </w:pPr>
            <w:r w:rsidRPr="00043F88">
              <w:rPr>
                <w:b/>
                <w:bCs/>
              </w:rPr>
              <w:t>BPMN Diagram</w:t>
            </w:r>
          </w:p>
        </w:tc>
        <w:tc>
          <w:tcPr>
            <w:tcW w:w="1577" w:type="dxa"/>
            <w:tcMar>
              <w:top w:w="90" w:type="dxa"/>
              <w:left w:w="180" w:type="dxa"/>
              <w:bottom w:w="90" w:type="dxa"/>
              <w:right w:w="180" w:type="dxa"/>
            </w:tcMar>
            <w:vAlign w:val="center"/>
            <w:hideMark/>
          </w:tcPr>
          <w:p w14:paraId="131F9ED7" w14:textId="77777777" w:rsidR="00043F88" w:rsidRPr="00043F88" w:rsidRDefault="00043F88" w:rsidP="00043F88">
            <w:pPr>
              <w:jc w:val="center"/>
              <w:rPr>
                <w:b/>
                <w:bCs/>
              </w:rPr>
            </w:pPr>
            <w:r w:rsidRPr="00043F88">
              <w:rPr>
                <w:b/>
                <w:bCs/>
              </w:rPr>
              <w:t>Associated Screen (Màn hình cấu hình)</w:t>
            </w:r>
          </w:p>
        </w:tc>
        <w:tc>
          <w:tcPr>
            <w:tcW w:w="2805" w:type="dxa"/>
            <w:tcMar>
              <w:top w:w="90" w:type="dxa"/>
              <w:left w:w="180" w:type="dxa"/>
              <w:bottom w:w="90" w:type="dxa"/>
              <w:right w:w="180" w:type="dxa"/>
            </w:tcMar>
            <w:vAlign w:val="center"/>
            <w:hideMark/>
          </w:tcPr>
          <w:p w14:paraId="3F1D6789" w14:textId="64CEF9FA" w:rsidR="00043F88" w:rsidRPr="00043F88" w:rsidRDefault="00043F88" w:rsidP="00043F88">
            <w:pPr>
              <w:jc w:val="center"/>
              <w:rPr>
                <w:b/>
                <w:bCs/>
              </w:rPr>
            </w:pPr>
            <w:r w:rsidRPr="00043F88">
              <w:rPr>
                <w:b/>
                <w:bCs/>
              </w:rPr>
              <w:t>Description &amp; Core Logic</w:t>
            </w:r>
          </w:p>
        </w:tc>
        <w:tc>
          <w:tcPr>
            <w:tcW w:w="2785" w:type="dxa"/>
            <w:tcMar>
              <w:top w:w="90" w:type="dxa"/>
              <w:left w:w="180" w:type="dxa"/>
              <w:bottom w:w="90" w:type="dxa"/>
              <w:right w:w="180" w:type="dxa"/>
            </w:tcMar>
            <w:vAlign w:val="center"/>
            <w:hideMark/>
          </w:tcPr>
          <w:p w14:paraId="6619CCE8" w14:textId="503C6408" w:rsidR="00043F88" w:rsidRPr="00043F88" w:rsidRDefault="00043F88" w:rsidP="00043F88">
            <w:pPr>
              <w:jc w:val="center"/>
              <w:rPr>
                <w:b/>
                <w:bCs/>
              </w:rPr>
            </w:pPr>
            <w:r w:rsidRPr="00043F88">
              <w:rPr>
                <w:b/>
                <w:bCs/>
              </w:rPr>
              <w:t>Vietnamese Version</w:t>
            </w:r>
          </w:p>
        </w:tc>
      </w:tr>
      <w:tr w:rsidR="00043F88" w:rsidRPr="00043F88" w14:paraId="23F8A40C" w14:textId="77777777" w:rsidTr="00043F88">
        <w:trPr>
          <w:tblCellSpacing w:w="15" w:type="dxa"/>
        </w:trPr>
        <w:tc>
          <w:tcPr>
            <w:tcW w:w="1745" w:type="dxa"/>
            <w:tcMar>
              <w:top w:w="90" w:type="dxa"/>
              <w:left w:w="180" w:type="dxa"/>
              <w:bottom w:w="90" w:type="dxa"/>
              <w:right w:w="180" w:type="dxa"/>
            </w:tcMar>
            <w:vAlign w:val="center"/>
            <w:hideMark/>
          </w:tcPr>
          <w:p w14:paraId="24778D93" w14:textId="77777777" w:rsidR="00043F88" w:rsidRDefault="00043F88" w:rsidP="00043F88">
            <w:pPr>
              <w:rPr>
                <w:b/>
                <w:bCs/>
              </w:rPr>
            </w:pPr>
            <w:r w:rsidRPr="00043F88">
              <w:rPr>
                <w:b/>
                <w:bCs/>
              </w:rPr>
              <w:t>BPMN 1: Resident Intake &amp; Billing Setup</w:t>
            </w:r>
          </w:p>
          <w:p w14:paraId="79A306EB" w14:textId="0E0D04A3" w:rsidR="00043F88" w:rsidRPr="00043F88" w:rsidRDefault="00043F88" w:rsidP="00043F88">
            <w:r w:rsidRPr="00043F88">
              <w:rPr>
                <w:i/>
                <w:iCs/>
              </w:rPr>
              <w:t>(Nhập viện &amp; Thiết lập Hóa đơn)</w:t>
            </w:r>
          </w:p>
        </w:tc>
        <w:tc>
          <w:tcPr>
            <w:tcW w:w="1577" w:type="dxa"/>
            <w:tcMar>
              <w:top w:w="90" w:type="dxa"/>
              <w:left w:w="180" w:type="dxa"/>
              <w:bottom w:w="90" w:type="dxa"/>
              <w:right w:w="180" w:type="dxa"/>
            </w:tcMar>
            <w:vAlign w:val="center"/>
            <w:hideMark/>
          </w:tcPr>
          <w:p w14:paraId="03920EDC" w14:textId="77777777" w:rsidR="00043F88" w:rsidRDefault="00043F88" w:rsidP="00043F88">
            <w:pPr>
              <w:rPr>
                <w:b/>
                <w:bCs/>
              </w:rPr>
            </w:pPr>
            <w:r w:rsidRPr="00043F88">
              <w:rPr>
                <w:b/>
                <w:bCs/>
              </w:rPr>
              <w:t>AD-06</w:t>
            </w:r>
          </w:p>
          <w:p w14:paraId="7E4D5B74" w14:textId="149DC4C2" w:rsidR="00043F88" w:rsidRPr="00043F88" w:rsidRDefault="00043F88" w:rsidP="00043F88">
            <w:r w:rsidRPr="00043F88">
              <w:t>(LOC Rate Table)</w:t>
            </w:r>
          </w:p>
        </w:tc>
        <w:tc>
          <w:tcPr>
            <w:tcW w:w="2805" w:type="dxa"/>
            <w:tcMar>
              <w:top w:w="90" w:type="dxa"/>
              <w:left w:w="180" w:type="dxa"/>
              <w:bottom w:w="90" w:type="dxa"/>
              <w:right w:w="180" w:type="dxa"/>
            </w:tcMar>
            <w:vAlign w:val="center"/>
            <w:hideMark/>
          </w:tcPr>
          <w:p w14:paraId="0267F272" w14:textId="77777777" w:rsidR="00043F88" w:rsidRDefault="00043F88" w:rsidP="00043F88">
            <w:r w:rsidRPr="00043F88">
              <w:rPr>
                <w:b/>
                <w:bCs/>
              </w:rPr>
              <w:t>Description:</w:t>
            </w:r>
            <w:r w:rsidRPr="00043F88">
              <w:t> Describes the end-to-end flow from receiving an admission request to the first billing cycle.</w:t>
            </w:r>
          </w:p>
          <w:p w14:paraId="78BA7B88" w14:textId="4317C832" w:rsidR="00043F88" w:rsidRPr="00043F88" w:rsidRDefault="00043F88" w:rsidP="00043F88">
            <w:r w:rsidRPr="00043F88">
              <w:rPr>
                <w:b/>
                <w:bCs/>
              </w:rPr>
              <w:t>Core Logic:</w:t>
            </w:r>
            <w:r w:rsidRPr="00043F88">
              <w:t> Once the Nurse completes the clinical assessment, the System automatically calculates the Level of Care (LOC) tier, retrieves the matching daily rate from AD-06, generates a care plan, and automatically dispatches the monthly invoice.</w:t>
            </w:r>
          </w:p>
        </w:tc>
        <w:tc>
          <w:tcPr>
            <w:tcW w:w="2785" w:type="dxa"/>
            <w:tcMar>
              <w:top w:w="90" w:type="dxa"/>
              <w:left w:w="180" w:type="dxa"/>
              <w:bottom w:w="90" w:type="dxa"/>
              <w:right w:w="180" w:type="dxa"/>
            </w:tcMar>
            <w:vAlign w:val="center"/>
            <w:hideMark/>
          </w:tcPr>
          <w:p w14:paraId="1562AF88" w14:textId="77777777" w:rsidR="00043F88" w:rsidRDefault="00043F88" w:rsidP="00043F88">
            <w:r w:rsidRPr="00043F88">
              <w:rPr>
                <w:b/>
                <w:bCs/>
              </w:rPr>
              <w:t>Mô tả:</w:t>
            </w:r>
            <w:r w:rsidRPr="00043F88">
              <w:t> Thể hiện quy trình đầu cuối từ khi tiếp nhận yêu cầu nhập viện đến chu kỳ xuất hóa đơn đầu tiên.</w:t>
            </w:r>
          </w:p>
          <w:p w14:paraId="2521FD21" w14:textId="142CCA89" w:rsidR="00043F88" w:rsidRPr="00043F88" w:rsidRDefault="00043F88" w:rsidP="00043F88">
            <w:r w:rsidRPr="00043F88">
              <w:rPr>
                <w:b/>
                <w:bCs/>
              </w:rPr>
              <w:t>Logic cốt lõi:</w:t>
            </w:r>
            <w:r w:rsidRPr="00043F88">
              <w:t> Sau khi Y tá hoàn tất đánh giá lâm sàng, Hệ thống tự động tính toán cấp độ chăm sóc (LOC), truy xuất đơn giá tương ứng từ màn hình AD-06, tạo kế hoạch chăm sóc và tự động xuất hóa đơn thanh toán hằng tháng.</w:t>
            </w:r>
          </w:p>
        </w:tc>
      </w:tr>
      <w:tr w:rsidR="00043F88" w:rsidRPr="00043F88" w14:paraId="3204824E" w14:textId="77777777" w:rsidTr="00043F88">
        <w:trPr>
          <w:tblCellSpacing w:w="15" w:type="dxa"/>
        </w:trPr>
        <w:tc>
          <w:tcPr>
            <w:tcW w:w="1745" w:type="dxa"/>
            <w:tcMar>
              <w:top w:w="90" w:type="dxa"/>
              <w:left w:w="180" w:type="dxa"/>
              <w:bottom w:w="90" w:type="dxa"/>
              <w:right w:w="180" w:type="dxa"/>
            </w:tcMar>
            <w:vAlign w:val="center"/>
            <w:hideMark/>
          </w:tcPr>
          <w:p w14:paraId="42F5BABA" w14:textId="77777777" w:rsidR="00043F88" w:rsidRDefault="00043F88" w:rsidP="00043F88">
            <w:r w:rsidRPr="00043F88">
              <w:rPr>
                <w:b/>
                <w:bCs/>
              </w:rPr>
              <w:t>BPMN 2: Staffing Compliance &amp; Alerts</w:t>
            </w:r>
          </w:p>
          <w:p w14:paraId="14BA17A9" w14:textId="188BB6EF" w:rsidR="00043F88" w:rsidRPr="00043F88" w:rsidRDefault="00043F88" w:rsidP="00043F88">
            <w:r w:rsidRPr="00043F88">
              <w:rPr>
                <w:i/>
                <w:iCs/>
              </w:rPr>
              <w:t>(Xếp lịch ca trực &amp; Cảnh báo tuân thủ)</w:t>
            </w:r>
          </w:p>
        </w:tc>
        <w:tc>
          <w:tcPr>
            <w:tcW w:w="1577" w:type="dxa"/>
            <w:tcMar>
              <w:top w:w="90" w:type="dxa"/>
              <w:left w:w="180" w:type="dxa"/>
              <w:bottom w:w="90" w:type="dxa"/>
              <w:right w:w="180" w:type="dxa"/>
            </w:tcMar>
            <w:vAlign w:val="center"/>
            <w:hideMark/>
          </w:tcPr>
          <w:p w14:paraId="341C241F" w14:textId="77777777" w:rsidR="00043F88" w:rsidRDefault="00043F88" w:rsidP="00043F88">
            <w:r w:rsidRPr="00043F88">
              <w:rPr>
                <w:b/>
                <w:bCs/>
              </w:rPr>
              <w:t>AD-07</w:t>
            </w:r>
          </w:p>
          <w:p w14:paraId="422A63D2" w14:textId="4D82F5CA" w:rsidR="00043F88" w:rsidRPr="00043F88" w:rsidRDefault="00043F88" w:rsidP="00043F88">
            <w:r w:rsidRPr="00043F88">
              <w:t>(Staffing Ratio Config)</w:t>
            </w:r>
          </w:p>
        </w:tc>
        <w:tc>
          <w:tcPr>
            <w:tcW w:w="2805" w:type="dxa"/>
            <w:tcMar>
              <w:top w:w="90" w:type="dxa"/>
              <w:left w:w="180" w:type="dxa"/>
              <w:bottom w:w="90" w:type="dxa"/>
              <w:right w:w="180" w:type="dxa"/>
            </w:tcMar>
            <w:vAlign w:val="center"/>
            <w:hideMark/>
          </w:tcPr>
          <w:p w14:paraId="3A61AF42" w14:textId="77777777" w:rsidR="00043F88" w:rsidRDefault="00043F88" w:rsidP="00043F88">
            <w:r w:rsidRPr="00043F88">
              <w:rPr>
                <w:b/>
                <w:bCs/>
              </w:rPr>
              <w:t>Description:</w:t>
            </w:r>
            <w:r w:rsidRPr="00043F88">
              <w:t> Illustrates the staff scheduling process and regulatory compliance enforcement</w:t>
            </w:r>
          </w:p>
          <w:p w14:paraId="6F443652" w14:textId="118870F2" w:rsidR="00043F88" w:rsidRPr="00043F88" w:rsidRDefault="00043F88" w:rsidP="00043F88">
            <w:r w:rsidRPr="00043F88">
              <w:rPr>
                <w:b/>
                <w:bCs/>
              </w:rPr>
              <w:t>Core Logic:</w:t>
            </w:r>
            <w:r w:rsidRPr="00043F88">
              <w:t> The System compares the planned nursing hours against the mandated minimum (set in AD-07). If the ratio fails to meet the threshold, the system blocks the schedule publication and triggers an alert loop, forcing HR to adjust the schedule until it complies.</w:t>
            </w:r>
          </w:p>
        </w:tc>
        <w:tc>
          <w:tcPr>
            <w:tcW w:w="2785" w:type="dxa"/>
            <w:tcMar>
              <w:top w:w="90" w:type="dxa"/>
              <w:left w:w="180" w:type="dxa"/>
              <w:bottom w:w="90" w:type="dxa"/>
              <w:right w:w="180" w:type="dxa"/>
            </w:tcMar>
            <w:vAlign w:val="center"/>
            <w:hideMark/>
          </w:tcPr>
          <w:p w14:paraId="469485D8" w14:textId="4ADF8915" w:rsidR="00043F88" w:rsidRDefault="00043F88" w:rsidP="00043F88">
            <w:r w:rsidRPr="00043F88">
              <w:rPr>
                <w:b/>
                <w:bCs/>
              </w:rPr>
              <w:t>Mô tả:</w:t>
            </w:r>
            <w:r w:rsidRPr="00043F88">
              <w:t> Thể hiện quy trình xếp lịch trực cho nhân viên và giám sát việc tuân thủ luật lao động y tế</w:t>
            </w:r>
            <w:r>
              <w:t>.</w:t>
            </w:r>
          </w:p>
          <w:p w14:paraId="26E4C91F" w14:textId="57933CE8" w:rsidR="00043F88" w:rsidRPr="00043F88" w:rsidRDefault="00043F88" w:rsidP="00043F88">
            <w:r w:rsidRPr="00043F88">
              <w:rPr>
                <w:b/>
                <w:bCs/>
              </w:rPr>
              <w:t>Logic cốt lõi:</w:t>
            </w:r>
            <w:r w:rsidRPr="00043F88">
              <w:t> Hệ thống đối chiếu số giờ chăm sóc dự kiến với mức tối thiểu quy định (cấu hình ở AD-07). Nếu không đạt ngưỡng, hệ thống sẽ chặn không cho lưu lịch và tạo một vòng lặp cảnh báo, ép buộc HR phải xếp lại lịch cho đến khi đạt chuẩn.</w:t>
            </w:r>
          </w:p>
        </w:tc>
      </w:tr>
      <w:tr w:rsidR="00043F88" w:rsidRPr="00043F88" w14:paraId="04E97D37" w14:textId="77777777" w:rsidTr="00043F88">
        <w:trPr>
          <w:tblCellSpacing w:w="15" w:type="dxa"/>
        </w:trPr>
        <w:tc>
          <w:tcPr>
            <w:tcW w:w="1745" w:type="dxa"/>
            <w:tcMar>
              <w:top w:w="90" w:type="dxa"/>
              <w:left w:w="180" w:type="dxa"/>
              <w:bottom w:w="90" w:type="dxa"/>
              <w:right w:w="180" w:type="dxa"/>
            </w:tcMar>
            <w:vAlign w:val="center"/>
            <w:hideMark/>
          </w:tcPr>
          <w:p w14:paraId="6ED95896" w14:textId="77777777" w:rsidR="00043F88" w:rsidRDefault="00043F88" w:rsidP="00043F88">
            <w:r w:rsidRPr="00043F88">
              <w:rPr>
                <w:b/>
                <w:bCs/>
              </w:rPr>
              <w:t xml:space="preserve">BPMN 3: Incident </w:t>
            </w:r>
            <w:r w:rsidRPr="00043F88">
              <w:rPr>
                <w:b/>
                <w:bCs/>
              </w:rPr>
              <w:lastRenderedPageBreak/>
              <w:t>Reporting &amp; Chart Lock</w:t>
            </w:r>
          </w:p>
          <w:p w14:paraId="7207AE38" w14:textId="793484D8" w:rsidR="00043F88" w:rsidRPr="00043F88" w:rsidRDefault="00043F88" w:rsidP="00043F88">
            <w:r w:rsidRPr="00043F88">
              <w:rPr>
                <w:i/>
                <w:iCs/>
              </w:rPr>
              <w:t>(Báo cáo sự cố &amp; Khóa bệnh án)</w:t>
            </w:r>
          </w:p>
        </w:tc>
        <w:tc>
          <w:tcPr>
            <w:tcW w:w="1577" w:type="dxa"/>
            <w:tcMar>
              <w:top w:w="90" w:type="dxa"/>
              <w:left w:w="180" w:type="dxa"/>
              <w:bottom w:w="90" w:type="dxa"/>
              <w:right w:w="180" w:type="dxa"/>
            </w:tcMar>
            <w:vAlign w:val="center"/>
            <w:hideMark/>
          </w:tcPr>
          <w:p w14:paraId="4608B1AF" w14:textId="77777777" w:rsidR="00043F88" w:rsidRDefault="00043F88" w:rsidP="00043F88">
            <w:r w:rsidRPr="00043F88">
              <w:rPr>
                <w:b/>
                <w:bCs/>
              </w:rPr>
              <w:lastRenderedPageBreak/>
              <w:t>AD-08</w:t>
            </w:r>
          </w:p>
          <w:p w14:paraId="35A79B9A" w14:textId="77777777" w:rsidR="00043F88" w:rsidRDefault="00043F88" w:rsidP="00043F88">
            <w:r>
              <w:lastRenderedPageBreak/>
              <w:t>(</w:t>
            </w:r>
            <w:r w:rsidRPr="00043F88">
              <w:t>Severity Levels</w:t>
            </w:r>
            <w:r>
              <w:t>)</w:t>
            </w:r>
          </w:p>
          <w:p w14:paraId="42572B60" w14:textId="77777777" w:rsidR="00043F88" w:rsidRDefault="00043F88" w:rsidP="00043F88">
            <w:r w:rsidRPr="00043F88">
              <w:rPr>
                <w:b/>
                <w:bCs/>
              </w:rPr>
              <w:t>AD-09</w:t>
            </w:r>
          </w:p>
          <w:p w14:paraId="2BB389EA" w14:textId="58474CB9" w:rsidR="00043F88" w:rsidRPr="00043F88" w:rsidRDefault="00043F88" w:rsidP="00043F88">
            <w:r w:rsidRPr="00043F88">
              <w:t>(SLA Config)</w:t>
            </w:r>
          </w:p>
        </w:tc>
        <w:tc>
          <w:tcPr>
            <w:tcW w:w="2805" w:type="dxa"/>
            <w:tcMar>
              <w:top w:w="90" w:type="dxa"/>
              <w:left w:w="180" w:type="dxa"/>
              <w:bottom w:w="90" w:type="dxa"/>
              <w:right w:w="180" w:type="dxa"/>
            </w:tcMar>
            <w:vAlign w:val="center"/>
            <w:hideMark/>
          </w:tcPr>
          <w:p w14:paraId="204C6D9F" w14:textId="77777777" w:rsidR="00043F88" w:rsidRDefault="00043F88" w:rsidP="00043F88">
            <w:r w:rsidRPr="00043F88">
              <w:rPr>
                <w:b/>
                <w:bCs/>
              </w:rPr>
              <w:lastRenderedPageBreak/>
              <w:t>Description:</w:t>
            </w:r>
            <w:r w:rsidRPr="00043F88">
              <w:t xml:space="preserve"> Covers the incident reporting workflow, focusing on </w:t>
            </w:r>
            <w:r w:rsidRPr="00043F88">
              <w:lastRenderedPageBreak/>
              <w:t>data integrity and legal accountability.</w:t>
            </w:r>
          </w:p>
          <w:p w14:paraId="21BE9B52" w14:textId="3E5364BD" w:rsidR="00043F88" w:rsidRPr="00043F88" w:rsidRDefault="00043F88" w:rsidP="00043F88">
            <w:r w:rsidRPr="00043F88">
              <w:rPr>
                <w:b/>
                <w:bCs/>
              </w:rPr>
              <w:t>Core Logic:</w:t>
            </w:r>
            <w:r w:rsidRPr="00043F88">
              <w:t> Based on the incident's severity (AD-08), the System decides whether to auto-lock the resident's chart. Simultaneously, it starts an SLA countdown (AD-09), sending escalation alerts to the DON if the official state report is delayed.</w:t>
            </w:r>
          </w:p>
        </w:tc>
        <w:tc>
          <w:tcPr>
            <w:tcW w:w="2785" w:type="dxa"/>
            <w:tcMar>
              <w:top w:w="90" w:type="dxa"/>
              <w:left w:w="180" w:type="dxa"/>
              <w:bottom w:w="90" w:type="dxa"/>
              <w:right w:w="180" w:type="dxa"/>
            </w:tcMar>
            <w:vAlign w:val="center"/>
            <w:hideMark/>
          </w:tcPr>
          <w:p w14:paraId="6F74C1BB" w14:textId="77777777" w:rsidR="00043F88" w:rsidRDefault="00043F88" w:rsidP="00043F88">
            <w:r w:rsidRPr="00043F88">
              <w:rPr>
                <w:b/>
                <w:bCs/>
              </w:rPr>
              <w:lastRenderedPageBreak/>
              <w:t>Mô tả:</w:t>
            </w:r>
            <w:r w:rsidRPr="00043F88">
              <w:t xml:space="preserve"> Bao gồm quy trình báo cáo sự cố, tập trung vào tính toàn vẹn </w:t>
            </w:r>
            <w:r w:rsidRPr="00043F88">
              <w:lastRenderedPageBreak/>
              <w:t>dữ liệu và trách nhiệm pháp lý.</w:t>
            </w:r>
          </w:p>
          <w:p w14:paraId="28594CF1" w14:textId="78E7CB72" w:rsidR="00043F88" w:rsidRPr="00043F88" w:rsidRDefault="00043F88" w:rsidP="00043F88">
            <w:r w:rsidRPr="00043F88">
              <w:rPr>
                <w:b/>
                <w:bCs/>
              </w:rPr>
              <w:t>Logic cốt lõi:</w:t>
            </w:r>
            <w:r w:rsidRPr="00043F88">
              <w:t> Dựa vào độ nghiêm trọng của sự cố (cấu hình ở AD-08), Hệ thống quyết định có tự động khóa bệnh án hay không. Đồng thời, nó kích hoạt đồng hồ đếm ngược SLA (cấu hình ở AD-09) và sẽ tự động gửi cảnh báo leo thang cho Y tá trưởng (DON) nếu báo cáo bị nộp trễ.</w:t>
            </w:r>
          </w:p>
        </w:tc>
      </w:tr>
      <w:tr w:rsidR="00043F88" w:rsidRPr="00043F88" w14:paraId="4D917C47" w14:textId="77777777" w:rsidTr="00043F88">
        <w:trPr>
          <w:tblCellSpacing w:w="15" w:type="dxa"/>
        </w:trPr>
        <w:tc>
          <w:tcPr>
            <w:tcW w:w="1745" w:type="dxa"/>
            <w:tcMar>
              <w:top w:w="90" w:type="dxa"/>
              <w:left w:w="180" w:type="dxa"/>
              <w:bottom w:w="90" w:type="dxa"/>
              <w:right w:w="180" w:type="dxa"/>
            </w:tcMar>
            <w:vAlign w:val="center"/>
            <w:hideMark/>
          </w:tcPr>
          <w:p w14:paraId="02F86F3C" w14:textId="77777777" w:rsidR="00043F88" w:rsidRDefault="00043F88" w:rsidP="00043F88">
            <w:r w:rsidRPr="00043F88">
              <w:rPr>
                <w:b/>
                <w:bCs/>
              </w:rPr>
              <w:lastRenderedPageBreak/>
              <w:t>BPMN 4: Demo Data Seeder</w:t>
            </w:r>
          </w:p>
          <w:p w14:paraId="0C755B49" w14:textId="2D968852" w:rsidR="00043F88" w:rsidRPr="00043F88" w:rsidRDefault="00043F88" w:rsidP="00043F88">
            <w:r w:rsidRPr="00043F88">
              <w:rPr>
                <w:i/>
                <w:iCs/>
              </w:rPr>
              <w:t>(Đổ dữ liệu mẫu kiểm thử)</w:t>
            </w:r>
          </w:p>
        </w:tc>
        <w:tc>
          <w:tcPr>
            <w:tcW w:w="1577" w:type="dxa"/>
            <w:tcMar>
              <w:top w:w="90" w:type="dxa"/>
              <w:left w:w="180" w:type="dxa"/>
              <w:bottom w:w="90" w:type="dxa"/>
              <w:right w:w="180" w:type="dxa"/>
            </w:tcMar>
            <w:vAlign w:val="center"/>
            <w:hideMark/>
          </w:tcPr>
          <w:p w14:paraId="7AFC2EAD" w14:textId="77777777" w:rsidR="00043F88" w:rsidRDefault="00043F88" w:rsidP="00043F88">
            <w:r w:rsidRPr="00043F88">
              <w:rPr>
                <w:b/>
                <w:bCs/>
              </w:rPr>
              <w:t>AD-10</w:t>
            </w:r>
          </w:p>
          <w:p w14:paraId="0D3BAAC2" w14:textId="7B7963F2" w:rsidR="00043F88" w:rsidRPr="00043F88" w:rsidRDefault="00043F88" w:rsidP="00043F88">
            <w:r w:rsidRPr="00043F88">
              <w:t>(Demo Data Seeder)</w:t>
            </w:r>
          </w:p>
        </w:tc>
        <w:tc>
          <w:tcPr>
            <w:tcW w:w="2805" w:type="dxa"/>
            <w:tcMar>
              <w:top w:w="90" w:type="dxa"/>
              <w:left w:w="180" w:type="dxa"/>
              <w:bottom w:w="90" w:type="dxa"/>
              <w:right w:w="180" w:type="dxa"/>
            </w:tcMar>
            <w:vAlign w:val="center"/>
            <w:hideMark/>
          </w:tcPr>
          <w:p w14:paraId="2433AE23" w14:textId="77777777" w:rsidR="00043F88" w:rsidRDefault="00043F88" w:rsidP="00043F88">
            <w:r w:rsidRPr="00043F88">
              <w:rPr>
                <w:b/>
                <w:bCs/>
              </w:rPr>
              <w:t>Description:</w:t>
            </w:r>
            <w:r w:rsidRPr="00043F88">
              <w:t> Represents the internal developer tool workflow for preparing the environment with test data.</w:t>
            </w:r>
          </w:p>
          <w:p w14:paraId="45128089" w14:textId="36A99E89" w:rsidR="00043F88" w:rsidRPr="00043F88" w:rsidRDefault="00043F88" w:rsidP="00043F88">
            <w:r w:rsidRPr="00043F88">
              <w:rPr>
                <w:b/>
                <w:bCs/>
              </w:rPr>
              <w:t>Core Logic:</w:t>
            </w:r>
            <w:r w:rsidRPr="00043F88">
              <w:t xml:space="preserve"> Includes a safety gateway to check if the </w:t>
            </w:r>
            <w:proofErr w:type="gramStart"/>
            <w:r w:rsidRPr="00043F88">
              <w:t>Admin</w:t>
            </w:r>
            <w:proofErr w:type="gramEnd"/>
            <w:r w:rsidRPr="00043F88">
              <w:t xml:space="preserve"> wants to purge existing data (destructive action) before executing the seed scripts for selected packages, ending with a summary report.</w:t>
            </w:r>
          </w:p>
        </w:tc>
        <w:tc>
          <w:tcPr>
            <w:tcW w:w="2785" w:type="dxa"/>
            <w:tcMar>
              <w:top w:w="90" w:type="dxa"/>
              <w:left w:w="180" w:type="dxa"/>
              <w:bottom w:w="90" w:type="dxa"/>
              <w:right w:w="180" w:type="dxa"/>
            </w:tcMar>
            <w:vAlign w:val="center"/>
            <w:hideMark/>
          </w:tcPr>
          <w:p w14:paraId="2D5AF440" w14:textId="77777777" w:rsidR="00043F88" w:rsidRDefault="00043F88" w:rsidP="00043F88">
            <w:r w:rsidRPr="00043F88">
              <w:rPr>
                <w:b/>
                <w:bCs/>
              </w:rPr>
              <w:t>Mô tả:</w:t>
            </w:r>
            <w:r w:rsidRPr="00043F88">
              <w:t> Thể hiện quy trình nội bộ của bộ công cụ phát triển nhằm chuẩn bị môi trường với dữ liệu kiểm thử.</w:t>
            </w:r>
          </w:p>
          <w:p w14:paraId="71D9DA1D" w14:textId="768A292F" w:rsidR="00043F88" w:rsidRPr="00043F88" w:rsidRDefault="00043F88" w:rsidP="00043F88">
            <w:r w:rsidRPr="00043F88">
              <w:rPr>
                <w:b/>
                <w:bCs/>
              </w:rPr>
              <w:t>Logic cốt lõi:</w:t>
            </w:r>
            <w:r w:rsidRPr="00043F88">
              <w:t> Bao gồm một cổng kiểm tra an toàn xem Admin có muốn xóa sạch dữ liệu cũ (hành động nguy hiểm) trước khi chạy lệnh nạp dữ liệu mới hay không, kết thúc bằng việc trả về một báo cáo tổng hợp.</w:t>
            </w:r>
          </w:p>
        </w:tc>
      </w:tr>
    </w:tbl>
    <w:p w14:paraId="043EA4B7" w14:textId="77777777" w:rsidR="00512388" w:rsidRDefault="00512388"/>
    <w:sectPr w:rsidR="00512388" w:rsidSect="00B6556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88"/>
    <w:rsid w:val="00043F88"/>
    <w:rsid w:val="00512388"/>
    <w:rsid w:val="006A54E7"/>
    <w:rsid w:val="008E1AFF"/>
    <w:rsid w:val="00B6556E"/>
    <w:rsid w:val="00E76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8D6E8"/>
  <w15:chartTrackingRefBased/>
  <w15:docId w15:val="{08C51C5C-2A28-40B1-9383-54DE3511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F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F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43F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43F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3F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F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F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F8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F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43F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43F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3F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3F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3F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3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F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F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3F88"/>
    <w:pPr>
      <w:spacing w:before="160"/>
      <w:jc w:val="center"/>
    </w:pPr>
    <w:rPr>
      <w:i/>
      <w:iCs/>
      <w:color w:val="404040" w:themeColor="text1" w:themeTint="BF"/>
    </w:rPr>
  </w:style>
  <w:style w:type="character" w:customStyle="1" w:styleId="QuoteChar">
    <w:name w:val="Quote Char"/>
    <w:basedOn w:val="DefaultParagraphFont"/>
    <w:link w:val="Quote"/>
    <w:uiPriority w:val="29"/>
    <w:rsid w:val="00043F88"/>
    <w:rPr>
      <w:i/>
      <w:iCs/>
      <w:color w:val="404040" w:themeColor="text1" w:themeTint="BF"/>
    </w:rPr>
  </w:style>
  <w:style w:type="paragraph" w:styleId="ListParagraph">
    <w:name w:val="List Paragraph"/>
    <w:basedOn w:val="Normal"/>
    <w:uiPriority w:val="34"/>
    <w:qFormat/>
    <w:rsid w:val="00043F88"/>
    <w:pPr>
      <w:ind w:left="720"/>
      <w:contextualSpacing/>
    </w:pPr>
  </w:style>
  <w:style w:type="character" w:styleId="IntenseEmphasis">
    <w:name w:val="Intense Emphasis"/>
    <w:basedOn w:val="DefaultParagraphFont"/>
    <w:uiPriority w:val="21"/>
    <w:qFormat/>
    <w:rsid w:val="00043F88"/>
    <w:rPr>
      <w:i/>
      <w:iCs/>
      <w:color w:val="2F5496" w:themeColor="accent1" w:themeShade="BF"/>
    </w:rPr>
  </w:style>
  <w:style w:type="paragraph" w:styleId="IntenseQuote">
    <w:name w:val="Intense Quote"/>
    <w:basedOn w:val="Normal"/>
    <w:next w:val="Normal"/>
    <w:link w:val="IntenseQuoteChar"/>
    <w:uiPriority w:val="30"/>
    <w:qFormat/>
    <w:rsid w:val="00043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F88"/>
    <w:rPr>
      <w:i/>
      <w:iCs/>
      <w:color w:val="2F5496" w:themeColor="accent1" w:themeShade="BF"/>
    </w:rPr>
  </w:style>
  <w:style w:type="character" w:styleId="IntenseReference">
    <w:name w:val="Intense Reference"/>
    <w:basedOn w:val="DefaultParagraphFont"/>
    <w:uiPriority w:val="32"/>
    <w:qFormat/>
    <w:rsid w:val="00043F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THAO</dc:creator>
  <cp:keywords/>
  <dc:description/>
  <cp:lastModifiedBy>PHUONG THAO</cp:lastModifiedBy>
  <cp:revision>1</cp:revision>
  <dcterms:created xsi:type="dcterms:W3CDTF">2026-07-01T15:01:00Z</dcterms:created>
  <dcterms:modified xsi:type="dcterms:W3CDTF">2026-07-01T15:06:00Z</dcterms:modified>
</cp:coreProperties>
</file>