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sz w:val="22"/>
        </w:rPr>
        <w:t>December 15, 2025</w:t>
      </w:r>
    </w:p>
    <w:p/>
    <w:p>
      <w:pPr>
        <w:jc w:val="left"/>
      </w:pPr>
      <w:r>
        <w:t>Thank you for the opportunity to support your team this week. The focus covered administrative governance, data management, and estimating within Tekla PowerFab, including reviewing reporting, estimating workflows, the job-release process, data/integration considerations, and planning for expansion, with documentation control and standardization initiated via Tony’s case. We advanced cross-tool governance and system integration (Jira, Trello, Bitbucket, Loom, MediRoute), data management and scheduling with Trimble Connect, and governance of imports/grades to improve estimation/production alignment, along with Oracle database setup and on-premises IT alignment. In estimating, we addressed labor codes for estimating paths, carbon versus stainless sizing, and stainless conversion/weight calculations, including planned tests to develop defensible factors.</w:t>
      </w:r>
    </w:p>
    <w:p/>
    <w:p/>
    <w:p>
      <w:pPr>
        <w:pStyle w:val="Heading1"/>
      </w:pPr>
      <w:r>
        <w:rPr>
          <w:b/>
          <w:color w:val="000000"/>
          <w:sz w:val="24"/>
        </w:rPr>
        <w:t>Administrative Information / Administration</w:t>
      </w:r>
    </w:p>
    <w:p>
      <w:pPr>
        <w:pStyle w:val="ListBullet"/>
        <w:spacing w:after="120"/>
        <w:ind w:left="360"/>
      </w:pPr>
      <w:r>
        <w:t>Friday: Reviewed reporting, estimating workflows, job-release process, and data/integration considerations within Tekla PowerFab, including cutting constraints and planning for expansion. Planned documentation control and standardization initiated via Tony’s case; noted a lag in documentation and plan to address it through formal standards development and exportable documentation. Dartmouth was referenced as an April milestone with scheduling relevance. Next steps included producing a follow-up report next week and refining planning approach (including Jira) to address workload ramp-up.</w:t>
      </w:r>
    </w:p>
    <w:p>
      <w:pPr>
        <w:pStyle w:val="ListBullet"/>
        <w:spacing w:after="120"/>
        <w:ind w:left="360"/>
      </w:pPr>
      <w:r>
        <w:t>Monday: Focused on data management, scheduling, reporting, detailing workflows, and systems integration with Trimble Connect as a data bridge. Addressed governance of imports/grades and improving estimation/production alignment. Next steps included continuing planning and aligning on 2025 readiness; calendar invites and detailer upgrade were actions to pursue.</w:t>
      </w:r>
    </w:p>
    <w:p>
      <w:pPr>
        <w:pStyle w:val="ListBullet"/>
        <w:spacing w:after="120"/>
        <w:ind w:left="360"/>
      </w:pPr>
      <w:r>
        <w:t>Thursday: Maintained governance and cross-tool integration emphasis (Jira, Trello, Bitbucket, Loom, MediRoute) and reviewed progress signals for production control. Next steps included continuing refinement of work packages, routing/triggers, and aligning inspections/reporting workflows with project data.</w:t>
      </w:r>
    </w:p>
    <w:p>
      <w:pPr>
        <w:pStyle w:val="ListBullet"/>
        <w:spacing w:after="120"/>
        <w:ind w:left="360"/>
      </w:pPr>
      <w:r>
        <w:t>Tuesday: Acknowledged governance and data-management context with emphasis on audits (AI audit readiness) and cross-system data flows. Next steps included preparing for the AI audit, finalizing PO-finalization practices, and aligning Vista migration with cross-system governance.</w:t>
      </w:r>
    </w:p>
    <w:p>
      <w:pPr>
        <w:pStyle w:val="ListBullet"/>
        <w:spacing w:after="120"/>
        <w:ind w:left="360"/>
      </w:pPr>
      <w:r>
        <w:t>Wednesday: Initiated setup for an Oracle database and discussed on-premises server integration; noted county software feed considerations. Next steps included setting up the new Oracle database, advancing on-premises IT alignment, and clarifying county software integration roles.</w:t>
      </w:r>
    </w:p>
    <w:p/>
    <w:p>
      <w:pPr>
        <w:pStyle w:val="Heading1"/>
      </w:pPr>
      <w:r>
        <w:rPr>
          <w:b/>
          <w:color w:val="000000"/>
          <w:sz w:val="24"/>
        </w:rPr>
        <w:t>Estimating</w:t>
      </w:r>
    </w:p>
    <w:p>
      <w:pPr>
        <w:pStyle w:val="ListBullet"/>
        <w:spacing w:after="120"/>
        <w:ind w:left="360"/>
      </w:pPr>
      <w:r>
        <w:t>Labor Codes</w:t>
      </w:r>
    </w:p>
    <w:p>
      <w:pPr>
        <w:pStyle w:val="ListBullet"/>
        <w:spacing w:after="120"/>
        <w:ind w:left="360"/>
      </w:pPr>
      <w:r>
        <w:t>Explicit discussion of labor codes and a plan to create/open labor codes for estimating paths; the goal to store new labor operations in a new labor group and allocate time, determining display-only versus active use in estimation.</w:t>
      </w:r>
    </w:p>
    <w:p>
      <w:pPr>
        <w:pStyle w:val="ListBullet"/>
        <w:spacing w:after="120"/>
        <w:ind w:left="360"/>
      </w:pPr>
      <w:r>
        <w:t>Next steps included creating a labor operation for the estimating path, mapping to a new labor group, and ensuring there is an explicit labor code that calculates hours for change orders or similar kit work.</w:t>
      </w:r>
    </w:p>
    <w:p>
      <w:pPr>
        <w:pStyle w:val="ListBullet"/>
        <w:spacing w:after="120"/>
        <w:ind w:left="360"/>
      </w:pPr>
      <w:r>
        <w:t>Carbon vs Stainless Sizing</w:t>
      </w:r>
    </w:p>
    <w:p>
      <w:pPr>
        <w:pStyle w:val="ListBullet"/>
        <w:spacing w:after="120"/>
        <w:ind w:left="360"/>
      </w:pPr>
      <w:r>
        <w:t>Finalize approach to carbon versus stainless sizing in estimates and production data, including how these are mapped and presented.</w:t>
      </w:r>
    </w:p>
    <w:p>
      <w:pPr>
        <w:pStyle w:val="ListBullet"/>
        <w:spacing w:after="120"/>
        <w:ind w:left="360"/>
      </w:pPr>
      <w:r>
        <w:t>Stainless conversion and weight calculations were discussed separately (see Stainless Conversion / Weight Calculations).</w:t>
      </w:r>
    </w:p>
    <w:p>
      <w:pPr>
        <w:pStyle w:val="ListBullet"/>
        <w:spacing w:after="120"/>
        <w:ind w:left="360"/>
      </w:pPr>
      <w:r>
        <w:t>Stainless Conversion / Weight Calculations</w:t>
      </w:r>
    </w:p>
    <w:p>
      <w:pPr>
        <w:pStyle w:val="ListBullet"/>
        <w:spacing w:after="120"/>
        <w:ind w:left="360"/>
      </w:pPr>
      <w:r>
        <w:t>Stainless conversion is non-linear; tests across sizes are needed to form defensible factors; density values noted (stainless ~0.31; carbon ~0.289). A baseline size should be tested first, then 1–2 additional sizes to develop non-linear factors; document results and refine conversion factors iteratively.</w:t>
      </w:r>
    </w:p>
    <w:p>
      <w:pPr>
        <w:pStyle w:val="ListBullet"/>
        <w:spacing w:after="120"/>
        <w:ind w:left="360"/>
      </w:pPr>
      <w:r>
        <w:t>Time Studies / Data-Definition</w:t>
      </w:r>
    </w:p>
    <w:p>
      <w:pPr>
        <w:pStyle w:val="ListBullet"/>
        <w:spacing w:after="120"/>
        <w:ind w:left="360"/>
      </w:pPr>
      <w:r>
        <w:t>Planned time studies for stainless materials to evaluate contamination reduction and equipment/consumables changes; finish size definitions for stainless materials (especially zero dimensions); evaluate extras (labor, wellness) and potential manual overrides; align carbon vs stainless handling in estimating workflow and production data.</w:t>
      </w:r>
    </w:p>
    <w:p>
      <w:pPr>
        <w:pStyle w:val="ListBullet"/>
        <w:spacing w:after="120"/>
        <w:ind w:left="360"/>
      </w:pPr>
      <w:r>
        <w:t>Change Orders / Estimating Path</w:t>
      </w:r>
    </w:p>
    <w:p>
      <w:pPr>
        <w:pStyle w:val="ListBullet"/>
        <w:spacing w:after="120"/>
        <w:ind w:left="360"/>
      </w:pPr>
      <w:r>
        <w:t>Discussed how change orders (CO) or kit work should be represented in estimates; requirement to ensure change-order hours are calculable via a dedicated labor code; automated reporting considerations related to estimating data and CO impact.</w:t>
      </w:r>
    </w:p>
    <w:p>
      <w:pPr>
        <w:pStyle w:val="ListBullet"/>
        <w:spacing w:after="120"/>
        <w:ind w:left="360"/>
      </w:pPr>
      <w:r>
        <w:t>Breakout Logic / Costing Structure</w:t>
      </w:r>
    </w:p>
    <w:p>
      <w:pPr>
        <w:pStyle w:val="ListBullet"/>
        <w:spacing w:after="120"/>
        <w:ind w:left="360"/>
      </w:pPr>
      <w:r>
        <w:t>Explicit next steps to break cost-out by intended breakout logic (organized by cost code and area); map open labor codes and allocate time; determine display-only versus active use in estimation.</w:t>
      </w:r>
    </w:p>
    <w:p/>
    <w:p>
      <w:pPr>
        <w:pStyle w:val="Heading1"/>
      </w:pPr>
      <w:r>
        <w:rPr>
          <w:b/>
          <w:color w:val="000000"/>
          <w:sz w:val="24"/>
        </w:rPr>
        <w:t>Project Management</w:t>
      </w:r>
    </w:p>
    <w:p>
      <w:pPr>
        <w:pStyle w:val="ListBullet"/>
        <w:spacing w:after="120"/>
        <w:ind w:left="360"/>
      </w:pPr>
      <w:r>
        <w:t>Trimble Connect</w:t>
      </w:r>
    </w:p>
    <w:p>
      <w:pPr>
        <w:pStyle w:val="ListBullet"/>
        <w:spacing w:after="120"/>
        <w:ind w:left="360"/>
      </w:pPr>
      <w:r>
        <w:t>Discussed Trimble Connect as a data bridge between Tekla PowerFab and detailing/ABM workflows; submittals surfaced via connector; mismatches flagged to prompt changes; alignment with 2025 integration plans to share data (grades, shapes, finishes) with detailers.</w:t>
      </w:r>
    </w:p>
    <w:p>
      <w:pPr>
        <w:pStyle w:val="ListBullet"/>
        <w:spacing w:after="120"/>
        <w:ind w:left="360"/>
      </w:pPr>
      <w:r>
        <w:t>Schedules and Tracking</w:t>
      </w:r>
    </w:p>
    <w:p>
      <w:pPr>
        <w:pStyle w:val="ListBullet"/>
        <w:spacing w:after="120"/>
        <w:ind w:left="360"/>
      </w:pPr>
      <w:r>
        <w:t>Scheduling values must be entered to enable scheduling activities; schedule items linked to contract for accurate billing; the tool supports displaying a complete schedule and tracking changes; standard reporting layout described.</w:t>
      </w:r>
    </w:p>
    <w:p>
      <w:pPr>
        <w:pStyle w:val="ListBullet"/>
        <w:spacing w:after="120"/>
        <w:ind w:left="360"/>
      </w:pPr>
      <w:r>
        <w:t>Jira / Statuspage / Collaboration</w:t>
      </w:r>
    </w:p>
    <w:p>
      <w:pPr>
        <w:pStyle w:val="ListBullet"/>
        <w:spacing w:after="120"/>
        <w:ind w:left="360"/>
      </w:pPr>
      <w:r>
        <w:t>Jira referenced for task management; Statuspage and Jira used for status updates; ongoing effort to refine Jira usage and capture historical work; inputs tied to Dartmouth milestone.</w:t>
      </w:r>
    </w:p>
    <w:p>
      <w:pPr>
        <w:pStyle w:val="ListBullet"/>
        <w:spacing w:after="120"/>
        <w:ind w:left="360"/>
      </w:pPr>
      <w:r>
        <w:t>Documentation / Governance</w:t>
      </w:r>
    </w:p>
    <w:p>
      <w:pPr>
        <w:pStyle w:val="ListBullet"/>
        <w:spacing w:after="120"/>
        <w:ind w:left="360"/>
      </w:pPr>
      <w:r>
        <w:t>Action Standards Document introduced; Tony’s case used to define documentation controls; plan to export standards and implement document-control practices; three-year historical data accessibility noted.</w:t>
      </w:r>
    </w:p>
    <w:p>
      <w:pPr>
        <w:pStyle w:val="ListBullet"/>
        <w:spacing w:after="120"/>
        <w:ind w:left="360"/>
      </w:pPr>
      <w:r>
        <w:t>Next Steps Summary (from multiple days)</w:t>
      </w:r>
    </w:p>
    <w:p>
      <w:pPr>
        <w:pStyle w:val="ListBullet"/>
        <w:spacing w:after="120"/>
        <w:ind w:left="360"/>
      </w:pPr>
      <w:r>
        <w:t>Continue refining Jira for task management; input schedule values to support scheduling activities; align 2025 Trimble Connect integration with Structures detailing; plan to tighten ABM sharing; verify grade/shape data with detailers; begin Tony’s case as starting point for documentation controls; develop exportable standards and implement document control.</w:t>
      </w:r>
    </w:p>
    <w:p/>
    <w:p>
      <w:pPr>
        <w:pStyle w:val="Heading1"/>
      </w:pPr>
      <w:r>
        <w:rPr>
          <w:b/>
          <w:color w:val="000000"/>
          <w:sz w:val="24"/>
        </w:rPr>
        <w:t>Purchasing</w:t>
      </w:r>
    </w:p>
    <w:p>
      <w:pPr>
        <w:pStyle w:val="ListBullet"/>
        <w:spacing w:after="120"/>
        <w:ind w:left="360"/>
      </w:pPr>
      <w:r>
        <w:t>SSPL / SSL / SSA Data and Purchasing Impacts</w:t>
      </w:r>
    </w:p>
    <w:p>
      <w:pPr>
        <w:pStyle w:val="ListBullet"/>
        <w:spacing w:after="120"/>
        <w:ind w:left="360"/>
      </w:pPr>
      <w:r>
        <w:t>SSPL/SSL/SSA designations discussed; mapping SSL to SSA via ASCII/text-file workflows; SSPL changes affect purchasing data and vendor payments; potential temporary PO impacts during SSPL updates; planned bulk/versioned data changes to SSPL with careful inclusion checks.</w:t>
      </w:r>
    </w:p>
    <w:p>
      <w:pPr>
        <w:pStyle w:val="ListBullet"/>
        <w:spacing w:after="120"/>
        <w:ind w:left="360"/>
      </w:pPr>
      <w:r>
        <w:t>Considered centralized purchasing, renaming/separating SSA/SSAL/SSL to preserve historical data, and aligning with Vista migration.</w:t>
      </w:r>
    </w:p>
    <w:p>
      <w:pPr>
        <w:pStyle w:val="ListBullet"/>
        <w:spacing w:after="120"/>
        <w:ind w:left="360"/>
      </w:pPr>
      <w:r>
        <w:t>Centralized Purchasing / Governance</w:t>
      </w:r>
    </w:p>
    <w:p>
      <w:pPr>
        <w:pStyle w:val="ListBullet"/>
        <w:spacing w:after="120"/>
        <w:ind w:left="360"/>
      </w:pPr>
      <w:r>
        <w:t>Evaluate procurement governance changes; pursue centralized purchasing for leverage; ensure vendor communications remain controlled and auditable.</w:t>
      </w:r>
    </w:p>
    <w:p>
      <w:pPr>
        <w:pStyle w:val="ListBullet"/>
        <w:spacing w:after="120"/>
        <w:ind w:left="360"/>
      </w:pPr>
      <w:r>
        <w:t>Finalization and Data Flows</w:t>
      </w:r>
    </w:p>
    <w:p>
      <w:pPr>
        <w:pStyle w:val="ListBullet"/>
        <w:spacing w:after="120"/>
        <w:ind w:left="360"/>
      </w:pPr>
      <w:r>
        <w:t>Ongoing transition to Vista-based PO management; duplication of data handling across systems during migration; open POs require finalization and alignment with receiving/shipping.</w:t>
      </w:r>
    </w:p>
    <w:p>
      <w:pPr>
        <w:pStyle w:val="ListBullet"/>
        <w:spacing w:after="120"/>
        <w:ind w:left="360"/>
      </w:pPr>
      <w:r>
        <w:t>AI Audit Readiness</w:t>
      </w:r>
    </w:p>
    <w:p>
      <w:pPr>
        <w:pStyle w:val="ListBullet"/>
        <w:spacing w:after="120"/>
        <w:ind w:left="360"/>
      </w:pPr>
      <w:r>
        <w:t>Engaged key personnel to prepare for an AI audit and clarify audit scope/roles; align cross-system traceability with governance.</w:t>
      </w:r>
    </w:p>
    <w:p>
      <w:pPr>
        <w:pStyle w:val="ListBullet"/>
        <w:spacing w:after="120"/>
        <w:ind w:left="360"/>
      </w:pPr>
      <w:r>
        <w:t>Next Steps (explicit)</w:t>
      </w:r>
    </w:p>
    <w:p>
      <w:pPr>
        <w:pStyle w:val="ListBullet"/>
        <w:spacing w:after="120"/>
        <w:ind w:left="360"/>
      </w:pPr>
      <w:r>
        <w:t>Add finalized PO workflow to process so that once receiving/shipping tasks are complete the PO is finalized; determine who has authority to approve/finalize; review Vista/Tecla integration to reflect PO data flow; locate information on the finalization method/tool; prepare for AI audit by engaging listed personnel.</w:t>
      </w:r>
    </w:p>
    <w:p/>
    <w:p>
      <w:pPr>
        <w:pStyle w:val="Heading1"/>
      </w:pPr>
      <w:r>
        <w:rPr>
          <w:b/>
          <w:color w:val="000000"/>
          <w:sz w:val="24"/>
        </w:rPr>
        <w:t>Production Control / Inventory Management</w:t>
      </w:r>
    </w:p>
    <w:p>
      <w:pPr>
        <w:pStyle w:val="ListBullet"/>
        <w:spacing w:after="120"/>
        <w:ind w:left="360"/>
      </w:pPr>
      <w:r>
        <w:t>Inventory Cleanup and Data Alignment</w:t>
      </w:r>
    </w:p>
    <w:p>
      <w:pPr>
        <w:pStyle w:val="ListBullet"/>
        <w:spacing w:after="120"/>
        <w:ind w:left="360"/>
      </w:pPr>
      <w:r>
        <w:t>Ongoing consolidation/standardization (umbrella loading) due to unfinalized data assets; large on-order weight (over 1,000,000 pounds) with on-order not reflecting cleanup; misalignment between stock and on-order data; batch overlapping areas with five acres of space discussed for bin-location planning.</w:t>
      </w:r>
    </w:p>
    <w:p>
      <w:pPr>
        <w:pStyle w:val="ListBullet"/>
        <w:spacing w:after="120"/>
        <w:ind w:left="360"/>
      </w:pPr>
      <w:r>
        <w:t>Receiving / Finalization</w:t>
      </w:r>
    </w:p>
    <w:p>
      <w:pPr>
        <w:pStyle w:val="ListBullet"/>
        <w:spacing w:after="120"/>
        <w:ind w:left="360"/>
      </w:pPr>
      <w:r>
        <w:t>Attaching documents to items; open orders remain visible until finalization; finalization required to move items to inventory; examples noted where data is incomplete until finalization.</w:t>
      </w:r>
    </w:p>
    <w:p>
      <w:pPr>
        <w:pStyle w:val="ListBullet"/>
        <w:spacing w:after="120"/>
        <w:ind w:left="360"/>
      </w:pPr>
      <w:r>
        <w:t>Weight and On-Order Projections</w:t>
      </w:r>
    </w:p>
    <w:p>
      <w:pPr>
        <w:pStyle w:val="ListBullet"/>
        <w:spacing w:after="120"/>
        <w:ind w:left="360"/>
      </w:pPr>
      <w:r>
        <w:t>Forecasts of large on-order quantities (e.g., 300 tons) and their impact on stock projections; receiving/finalization workflow to be refined before inventory finalization.</w:t>
      </w:r>
    </w:p>
    <w:p>
      <w:pPr>
        <w:pStyle w:val="ListBullet"/>
        <w:spacing w:after="120"/>
        <w:ind w:left="360"/>
      </w:pPr>
      <w:r>
        <w:t>IT Automation and Tools</w:t>
      </w:r>
    </w:p>
    <w:p>
      <w:pPr>
        <w:pStyle w:val="ListBullet"/>
        <w:spacing w:after="120"/>
        <w:ind w:left="360"/>
      </w:pPr>
      <w:r>
        <w:t>Re-establish AutoHotKey automation and evaluate ChatGPT-generated scripts for automation in receiving/stock-tracking workflows.</w:t>
      </w:r>
    </w:p>
    <w:p>
      <w:pPr>
        <w:pStyle w:val="ListBullet"/>
        <w:spacing w:after="120"/>
        <w:ind w:left="360"/>
      </w:pPr>
      <w:r>
        <w:t>Next Steps (explicit)</w:t>
      </w:r>
    </w:p>
    <w:p>
      <w:pPr>
        <w:pStyle w:val="ListBullet"/>
        <w:spacing w:after="120"/>
        <w:ind w:left="360"/>
      </w:pPr>
      <w:r>
        <w:t>Continue aligning stock vs. on-order data; monitor incoming POs and update stock projections; complete area-layout planning with Mark; refine receiving/finalization to ensure finalization prior to inventory history; re-establish automation tools.</w:t>
      </w:r>
    </w:p>
    <w:p>
      <w:pPr>
        <w:pStyle w:val="ListBullet"/>
        <w:spacing w:after="120"/>
        <w:ind w:left="360"/>
      </w:pPr>
      <w:r>
        <w:t>Bin Location Planning / Warehouse</w:t>
      </w:r>
    </w:p>
    <w:p>
      <w:pPr>
        <w:pStyle w:val="ListBullet"/>
        <w:spacing w:after="120"/>
        <w:ind w:left="360"/>
      </w:pPr>
      <w:r>
        <w:t>Five acres of space for bin-location planning; implement overlays for whip bins and inventory locations; finalize area layout with Mark.</w:t>
      </w:r>
    </w:p>
    <w:p/>
    <w:p>
      <w:pPr>
        <w:pStyle w:val="Heading1"/>
      </w:pPr>
      <w:r>
        <w:rPr>
          <w:b/>
          <w:color w:val="000000"/>
          <w:sz w:val="24"/>
        </w:rPr>
        <w:t>Warehouse Operations / Bin Location Planning</w:t>
      </w:r>
    </w:p>
    <w:p>
      <w:pPr>
        <w:pStyle w:val="ListBullet"/>
        <w:spacing w:after="120"/>
        <w:ind w:left="360"/>
      </w:pPr>
      <w:r>
        <w:t>Space Utilization</w:t>
      </w:r>
    </w:p>
    <w:p>
      <w:pPr>
        <w:pStyle w:val="ListBullet"/>
        <w:spacing w:after="120"/>
        <w:ind w:left="360"/>
      </w:pPr>
      <w:r>
        <w:t>Emphasis on space-utilization optimization and bin-location overlays to support material tracking and forecasting; plan to discuss area-layout changes with Mark.</w:t>
      </w:r>
    </w:p>
    <w:p>
      <w:pPr>
        <w:pStyle w:val="ListBullet"/>
        <w:spacing w:after="120"/>
        <w:ind w:left="360"/>
      </w:pPr>
      <w:r>
        <w:t>Next Steps (explicit)</w:t>
      </w:r>
    </w:p>
    <w:p>
      <w:pPr>
        <w:pStyle w:val="ListBullet"/>
        <w:spacing w:after="120"/>
        <w:ind w:left="360"/>
      </w:pPr>
      <w:r>
        <w:t>Complete area-layout planning and meet with Mark to discuss space utilization and material placement.</w:t>
      </w:r>
    </w:p>
    <w:p/>
    <w:p>
      <w:pPr>
        <w:pStyle w:val="Heading1"/>
      </w:pPr>
      <w:r>
        <w:rPr>
          <w:b/>
          <w:color w:val="000000"/>
          <w:sz w:val="24"/>
        </w:rPr>
        <w:t>Receiving / Finalization Process</w:t>
      </w:r>
    </w:p>
    <w:p>
      <w:pPr>
        <w:pStyle w:val="ListBullet"/>
        <w:spacing w:after="120"/>
        <w:ind w:left="360"/>
      </w:pPr>
      <w:r>
        <w:t>Receiving and Finalization</w:t>
      </w:r>
    </w:p>
    <w:p>
      <w:pPr>
        <w:pStyle w:val="ListBullet"/>
        <w:spacing w:after="120"/>
        <w:ind w:left="360"/>
      </w:pPr>
      <w:r>
        <w:t>Attaching documents to items; items remain visible until finalization; finalization step critical for accurate stock visibility.</w:t>
      </w:r>
    </w:p>
    <w:p>
      <w:pPr>
        <w:pStyle w:val="ListBullet"/>
        <w:spacing w:after="120"/>
        <w:ind w:left="360"/>
      </w:pPr>
      <w:r>
        <w:t>Next Steps (explicit)</w:t>
      </w:r>
    </w:p>
    <w:p>
      <w:pPr>
        <w:pStyle w:val="ListBullet"/>
        <w:spacing w:after="120"/>
        <w:ind w:left="360"/>
      </w:pPr>
      <w:r>
        <w:t>Refine finalization process to ensure line items finalize after receiving tasks are completed and necessary data fields are populated.</w:t>
      </w:r>
    </w:p>
    <w:p/>
    <w:p>
      <w:pPr>
        <w:pStyle w:val="Heading1"/>
      </w:pPr>
      <w:r>
        <w:rPr>
          <w:b/>
          <w:color w:val="000000"/>
          <w:sz w:val="24"/>
        </w:rPr>
        <w:t>IT Automation / Data Integration</w:t>
      </w:r>
    </w:p>
    <w:p>
      <w:pPr>
        <w:pStyle w:val="ListBullet"/>
        <w:spacing w:after="120"/>
        <w:ind w:left="360"/>
      </w:pPr>
      <w:r>
        <w:t>AutoHotKey and AI Automation</w:t>
      </w:r>
    </w:p>
    <w:p>
      <w:pPr>
        <w:pStyle w:val="ListBullet"/>
        <w:spacing w:after="120"/>
        <w:ind w:left="360"/>
      </w:pPr>
      <w:r>
        <w:t>AutoHotKey access and an executive-order-driven automation program; plan to restore; explore AI-assisted scripts for automation.</w:t>
      </w:r>
    </w:p>
    <w:p>
      <w:pPr>
        <w:pStyle w:val="ListBullet"/>
        <w:spacing w:after="120"/>
        <w:ind w:left="360"/>
      </w:pPr>
      <w:r>
        <w:t>IT and Data Governance</w:t>
      </w:r>
    </w:p>
    <w:p>
      <w:pPr>
        <w:pStyle w:val="ListBullet"/>
        <w:spacing w:after="120"/>
        <w:ind w:left="360"/>
      </w:pPr>
      <w:r>
        <w:t>Data flows between Tekla PowerFab and external systems; Vista migration considerations; cross-system governance to avoid duplicate processes.</w:t>
      </w:r>
    </w:p>
    <w:p>
      <w:pPr>
        <w:pStyle w:val="ListBullet"/>
        <w:spacing w:after="120"/>
        <w:ind w:left="360"/>
      </w:pPr>
      <w:r>
        <w:t>Next Steps (explicit)</w:t>
      </w:r>
    </w:p>
    <w:p>
      <w:pPr>
        <w:pStyle w:val="ListBullet"/>
        <w:spacing w:after="120"/>
        <w:ind w:left="360"/>
      </w:pPr>
      <w:r>
        <w:t>Re-establish AutoHotKey access; restore automation programs; evaluate scripts for automation; confirm governance alignment with Vista migration.</w:t>
      </w:r>
    </w:p>
    <w:p/>
    <w:p>
      <w:pPr>
        <w:pStyle w:val="Heading1"/>
      </w:pPr>
      <w:r>
        <w:rPr>
          <w:b/>
          <w:color w:val="000000"/>
          <w:sz w:val="24"/>
        </w:rPr>
        <w:t>Project Management / Audit &amp; Compliance</w:t>
      </w:r>
    </w:p>
    <w:p>
      <w:pPr>
        <w:pStyle w:val="ListBullet"/>
        <w:spacing w:after="120"/>
        <w:ind w:left="360"/>
      </w:pPr>
      <w:r>
        <w:t>Audit Readiness</w:t>
      </w:r>
    </w:p>
    <w:p>
      <w:pPr>
        <w:pStyle w:val="ListBullet"/>
        <w:spacing w:after="120"/>
        <w:ind w:left="360"/>
      </w:pPr>
      <w:r>
        <w:t>Emphasis on governance and traceability; AI audit planning; ongoing follow-ups to align processes; recording policies noted for governance.</w:t>
      </w:r>
    </w:p>
    <w:p>
      <w:pPr>
        <w:pStyle w:val="ListBullet"/>
        <w:spacing w:after="120"/>
        <w:ind w:left="360"/>
      </w:pPr>
      <w:r>
        <w:t>Data Integrity and Cross-System Governance</w:t>
      </w:r>
    </w:p>
    <w:p>
      <w:pPr>
        <w:pStyle w:val="ListBullet"/>
        <w:spacing w:after="120"/>
        <w:ind w:left="360"/>
      </w:pPr>
      <w:r>
        <w:t>Ongoing need to consolidate data flows, align Vista/Tecla data, and ensure cross-system traceability.</w:t>
      </w:r>
    </w:p>
    <w:p>
      <w:pPr>
        <w:pStyle w:val="ListBullet"/>
        <w:spacing w:after="120"/>
        <w:ind w:left="360"/>
      </w:pPr>
      <w:r>
        <w:t>Next Steps (explicit)</w:t>
      </w:r>
    </w:p>
    <w:p>
      <w:pPr>
        <w:pStyle w:val="ListBullet"/>
        <w:spacing w:after="120"/>
        <w:ind w:left="360"/>
      </w:pPr>
      <w:r>
        <w:t>Prepare for AI audit by engaging key personnel; locate tools/methods used for finalizing POs; ensure governance alignment with Vista migration.</w:t>
      </w:r>
    </w:p>
    <w:p/>
    <w:p>
      <w:pPr>
        <w:pStyle w:val="Heading1"/>
      </w:pPr>
      <w:r>
        <w:rPr>
          <w:b/>
          <w:color w:val="000000"/>
          <w:sz w:val="24"/>
        </w:rPr>
        <w:t>QA / QA/QC / Detailing Standards</w:t>
      </w:r>
    </w:p>
    <w:p>
      <w:pPr>
        <w:pStyle w:val="ListBullet"/>
        <w:spacing w:after="120"/>
        <w:ind w:left="360"/>
      </w:pPr>
      <w:r>
        <w:t>QA/QC Data and Traceability</w:t>
      </w:r>
    </w:p>
    <w:p>
      <w:pPr>
        <w:pStyle w:val="ListBullet"/>
        <w:spacing w:after="120"/>
        <w:ind w:left="360"/>
      </w:pPr>
      <w:r>
        <w:t>Inspections, remark/heat-number tracking, and alignment with standards (AISC references); data-entry forms and traceability discussed; be aware of the integration of QA data with production data.</w:t>
      </w:r>
    </w:p>
    <w:p>
      <w:pPr>
        <w:pStyle w:val="ListBullet"/>
        <w:spacing w:after="120"/>
        <w:ind w:left="360"/>
      </w:pPr>
      <w:r>
        <w:t>Detailing Standards</w:t>
      </w:r>
    </w:p>
    <w:p>
      <w:pPr>
        <w:pStyle w:val="ListBullet"/>
        <w:spacing w:after="120"/>
        <w:ind w:left="360"/>
      </w:pPr>
      <w:r>
        <w:t>SP-based standards design, coating routing, and data-entry form architecture; naming conventions; library/dictionary for Tekla naming; alignment with Trimble Connect sharing for 2025 data.</w:t>
      </w:r>
    </w:p>
    <w:p>
      <w:pPr>
        <w:pStyle w:val="ListBullet"/>
        <w:spacing w:after="120"/>
        <w:ind w:left="360"/>
      </w:pPr>
      <w:r>
        <w:t>Next Steps (explicit)</w:t>
      </w:r>
    </w:p>
    <w:p>
      <w:pPr>
        <w:pStyle w:val="ListBullet"/>
        <w:spacing w:after="120"/>
        <w:ind w:left="360"/>
      </w:pPr>
      <w:r>
        <w:t>Implement updated detailing rules (end-prep, clip behavior); validate weld/clip configurations; migrate forms piece-by-piece; establish a naming standards library; ensure adherence to Tekla naming conventions; implement Trimble Connect-based sharing plan for 2025.</w:t>
      </w:r>
    </w:p>
    <w:p>
      <w:pPr>
        <w:pStyle w:val="ListBullet"/>
        <w:spacing w:after="120"/>
        <w:ind w:left="360"/>
      </w:pPr>
      <w:r>
        <w:t>PowerFab Go</w:t>
      </w:r>
    </w:p>
    <w:p>
      <w:pPr>
        <w:pStyle w:val="ListBullet"/>
        <w:spacing w:after="120"/>
        <w:ind w:left="360"/>
      </w:pPr>
      <w:r>
        <w:t>PowerFab Go discussed in context of data capture (checks, inspections, attachments); prototype forms for environmental and paint logs; ensure attachments linked via document index.</w:t>
      </w:r>
    </w:p>
    <w:p>
      <w:pPr>
        <w:pStyle w:val="ListBullet"/>
        <w:spacing w:after="120"/>
        <w:ind w:left="360"/>
      </w:pPr>
      <w:r>
        <w:t>Next Steps (explicit)</w:t>
      </w:r>
    </w:p>
    <w:p>
      <w:pPr>
        <w:pStyle w:val="ListBullet"/>
        <w:spacing w:after="120"/>
        <w:ind w:left="360"/>
      </w:pPr>
      <w:r>
        <w:t>Prototype environmental and paint-log forms in PowerFab; attach supporting pictures; verify alignment with customer reporting requirements; consider site-wide knowledge capture data.</w:t>
      </w:r>
    </w:p>
    <w:p/>
    <w:p>
      <w:pPr>
        <w:pStyle w:val="Heading1"/>
      </w:pPr>
      <w:r>
        <w:rPr>
          <w:b/>
          <w:color w:val="000000"/>
          <w:sz w:val="24"/>
        </w:rPr>
        <w:t>Nesting Integration</w:t>
      </w:r>
    </w:p>
    <w:p>
      <w:pPr>
        <w:pStyle w:val="ListBullet"/>
        <w:spacing w:after="120"/>
        <w:ind w:left="360"/>
      </w:pPr>
      <w:r>
        <w:t>Nesting Module</w:t>
      </w:r>
    </w:p>
    <w:p>
      <w:pPr>
        <w:pStyle w:val="ListBullet"/>
        <w:spacing w:after="120"/>
        <w:ind w:left="360"/>
      </w:pPr>
      <w:r>
        <w:t>Nesting module integration discussed as part of a full integration plan; IT support for Nesting integration not necessarily available immediately; data integration implications noted for QA/inspection reporting.</w:t>
      </w:r>
    </w:p>
    <w:p>
      <w:pPr>
        <w:pStyle w:val="ListBullet"/>
        <w:spacing w:after="120"/>
        <w:ind w:left="360"/>
      </w:pPr>
      <w:r>
        <w:t>Next Steps (explicit)</w:t>
      </w:r>
    </w:p>
    <w:p>
      <w:pPr>
        <w:pStyle w:val="ListBullet"/>
        <w:spacing w:after="120"/>
        <w:ind w:left="360"/>
      </w:pPr>
      <w:r>
        <w:t>Confirm IT support availability for Nesting integration; define scope and timeline; align Nesting integration with QA/inspection reporting.</w:t>
      </w:r>
    </w:p>
    <w:p/>
    <w:p>
      <w:pPr>
        <w:pStyle w:val="Heading1"/>
      </w:pPr>
      <w:r>
        <w:rPr>
          <w:b/>
          <w:color w:val="000000"/>
          <w:sz w:val="24"/>
        </w:rPr>
        <w:t>Materials Data Management / SSPL / SSL / SSA</w:t>
      </w:r>
    </w:p>
    <w:p>
      <w:pPr>
        <w:pStyle w:val="ListBullet"/>
        <w:spacing w:after="120"/>
        <w:ind w:left="360"/>
      </w:pPr>
      <w:r>
        <w:t>Data Management</w:t>
      </w:r>
    </w:p>
    <w:p>
      <w:pPr>
        <w:pStyle w:val="ListBullet"/>
        <w:spacing w:after="120"/>
        <w:ind w:left="360"/>
      </w:pPr>
      <w:r>
        <w:t>SSPL/SSL/SSA designations; mapping SSL to SSA via ASCII/text-file workflows; SSPL inclusion changes impact purchasing, inventory, and payables; potential temporary PO impacts.</w:t>
      </w:r>
    </w:p>
    <w:p>
      <w:pPr>
        <w:pStyle w:val="ListBullet"/>
        <w:spacing w:after="120"/>
        <w:ind w:left="360"/>
      </w:pPr>
      <w:r>
        <w:t>Weight data conversions and density references discussed; weight changes propagate through production, inventory, and payables; differences between SSPL and existing data require versioning and bulk updates.</w:t>
      </w:r>
    </w:p>
    <w:p>
      <w:pPr>
        <w:pStyle w:val="ListBullet"/>
        <w:spacing w:after="120"/>
        <w:ind w:left="360"/>
      </w:pPr>
      <w:r>
        <w:t>Data Mapping and Ingestion</w:t>
      </w:r>
    </w:p>
    <w:p>
      <w:pPr>
        <w:pStyle w:val="ListBullet"/>
        <w:spacing w:after="120"/>
        <w:ind w:left="360"/>
      </w:pPr>
      <w:r>
        <w:t>Planned text-file changes (SSL to SSA) with SSL/SSA selection; explored bulk replacement; version-rate approach recommended.</w:t>
      </w:r>
    </w:p>
    <w:p>
      <w:pPr>
        <w:pStyle w:val="ListBullet"/>
        <w:spacing w:after="120"/>
        <w:ind w:left="360"/>
      </w:pPr>
      <w:r>
        <w:t>Next Steps (explicit)</w:t>
      </w:r>
    </w:p>
    <w:p>
      <w:pPr>
        <w:pStyle w:val="ListBullet"/>
        <w:spacing w:after="120"/>
        <w:ind w:left="360"/>
      </w:pPr>
      <w:r>
        <w:t>Complete SSPL inclusion checks; finalize text-file mapping; test SSA imports; implement version-rate approach; monitor conversion anomalies; coordinate with purchasing to manage procurement implications.</w:t>
      </w:r>
    </w:p>
    <w:p/>
    <w:p>
      <w:pPr>
        <w:pStyle w:val="Heading1"/>
      </w:pPr>
      <w:r>
        <w:rPr>
          <w:b/>
          <w:color w:val="000000"/>
          <w:sz w:val="24"/>
        </w:rPr>
        <w:t>Materials / Weight Management / Production Impact</w:t>
      </w:r>
    </w:p>
    <w:p>
      <w:pPr>
        <w:pStyle w:val="ListBullet"/>
        <w:spacing w:after="120"/>
        <w:ind w:left="360"/>
      </w:pPr>
      <w:r>
        <w:t>Weight Data for Estimating</w:t>
      </w:r>
    </w:p>
    <w:p>
      <w:pPr>
        <w:pStyle w:val="ListBullet"/>
        <w:spacing w:after="120"/>
        <w:ind w:left="360"/>
      </w:pPr>
      <w:r>
        <w:t>Weight data changes propagate across production, inventory, and payables; decision points on using zero or high-side weights; versioned approaches for weight changes.</w:t>
      </w:r>
    </w:p>
    <w:p>
      <w:pPr>
        <w:pStyle w:val="ListBullet"/>
        <w:spacing w:after="120"/>
        <w:ind w:left="360"/>
      </w:pPr>
      <w:r>
        <w:t>Bulk Weight Updates</w:t>
      </w:r>
    </w:p>
    <w:p>
      <w:pPr>
        <w:pStyle w:val="ListBullet"/>
        <w:spacing w:after="120"/>
        <w:ind w:left="360"/>
      </w:pPr>
      <w:r>
        <w:t>Planned a bulk-weight update approach with versioning to minimize item-by-item edits.</w:t>
      </w:r>
    </w:p>
    <w:p>
      <w:pPr>
        <w:pStyle w:val="ListBullet"/>
        <w:spacing w:after="120"/>
        <w:ind w:left="360"/>
      </w:pPr>
      <w:r>
        <w:t>Next Steps (explicit)</w:t>
      </w:r>
    </w:p>
    <w:p>
      <w:pPr>
        <w:pStyle w:val="ListBullet"/>
        <w:spacing w:after="120"/>
        <w:ind w:left="360"/>
      </w:pPr>
      <w:r>
        <w:t>Validate chosen weight strategy; implement bulk SSPL weight changes with proper versioning; communicate procurement implications.</w:t>
      </w:r>
    </w:p>
    <w:p/>
    <w:p>
      <w:pPr>
        <w:pStyle w:val="Heading1"/>
      </w:pPr>
      <w:r>
        <w:rPr>
          <w:b/>
          <w:color w:val="000000"/>
          <w:sz w:val="24"/>
        </w:rPr>
        <w:t>Estimating (Stainless Conversion / Weight Calculations) — Cross-Topic Link</w:t>
      </w:r>
    </w:p>
    <w:p>
      <w:pPr>
        <w:pStyle w:val="ListBullet"/>
        <w:spacing w:after="120"/>
        <w:ind w:left="360"/>
      </w:pPr>
      <w:r>
        <w:t>Time Studies, Size Definitions, and Extrapolation</w:t>
      </w:r>
    </w:p>
    <w:p>
      <w:pPr>
        <w:pStyle w:val="ListBullet"/>
        <w:spacing w:after="120"/>
        <w:ind w:left="360"/>
      </w:pPr>
      <w:r>
        <w:t>Time studies and cross-size updates drive extrapolation; ensure non-linear conversion logic; propagate updated times; verify alignment with SSPL/SSA changes and purchasing impacts.</w:t>
      </w:r>
    </w:p>
    <w:p/>
    <w:p>
      <w:pPr>
        <w:pStyle w:val="Heading1"/>
      </w:pPr>
      <w:r>
        <w:rPr>
          <w:b/>
          <w:color w:val="000000"/>
          <w:sz w:val="24"/>
        </w:rPr>
        <w:t>PowerFab Go</w:t>
      </w:r>
    </w:p>
    <w:p>
      <w:pPr>
        <w:pStyle w:val="ListBullet"/>
        <w:spacing w:after="120"/>
        <w:ind w:left="360"/>
      </w:pPr>
      <w:r>
        <w:t>Go-Enabled Mobility</w:t>
      </w:r>
    </w:p>
    <w:p>
      <w:pPr>
        <w:pStyle w:val="ListBullet"/>
        <w:spacing w:after="120"/>
        <w:ind w:left="360"/>
      </w:pPr>
      <w:r>
        <w:t>Limited explicit actions; discussed licensing considerations and device provisioning; plan to schedule go-training and confirm device provisioning timelines; validate licensing implications for field use.</w:t>
      </w:r>
    </w:p>
    <w:p/>
    <w:p>
      <w:pPr>
        <w:pStyle w:val="Heading1"/>
      </w:pPr>
      <w:r>
        <w:rPr>
          <w:b/>
          <w:color w:val="000000"/>
          <w:sz w:val="24"/>
        </w:rPr>
        <w:t>Data Integration / Reporting / Data Visibility</w:t>
      </w:r>
    </w:p>
    <w:p>
      <w:pPr>
        <w:pStyle w:val="ListBullet"/>
        <w:spacing w:after="120"/>
        <w:ind w:left="360"/>
      </w:pPr>
      <w:r>
        <w:t>Data Consistency and Export</w:t>
      </w:r>
    </w:p>
    <w:p>
      <w:pPr>
        <w:pStyle w:val="ListBullet"/>
        <w:spacing w:after="120"/>
        <w:ind w:left="360"/>
      </w:pPr>
      <w:r>
        <w:t>Cross-project reporting, filtering by finishes, SP levels, and codes; concerns about data reliability and synchronization with external formats (Kiss files, Excel exports); consolidate into auditable workflows.</w:t>
      </w:r>
    </w:p>
    <w:p>
      <w:pPr>
        <w:pStyle w:val="ListBullet"/>
        <w:spacing w:after="120"/>
        <w:ind w:left="360"/>
      </w:pPr>
      <w:r>
        <w:t>Next Steps (explicit)</w:t>
      </w:r>
    </w:p>
    <w:p>
      <w:pPr>
        <w:pStyle w:val="ListBullet"/>
        <w:spacing w:after="120"/>
        <w:ind w:left="360"/>
      </w:pPr>
      <w:r>
        <w:t>Test and finalize data-integration approaches (zero-cost labor entries; separate rate boards; global paint codes); validate reporting outputs per job/route/finish; prepare for integration discussions.</w:t>
      </w:r>
    </w:p>
    <w:p/>
    <w:p>
      <w:pPr>
        <w:pStyle w:val="Heading1"/>
      </w:pPr>
      <w:r>
        <w:rPr>
          <w:b/>
          <w:color w:val="000000"/>
          <w:sz w:val="24"/>
        </w:rPr>
        <w:t>Nearing the end of the week, this report consolidates explicit topics and next steps from the daily summaries across administrative, estimating, project management, purchasing, production control, QA/QC, detailing standards, and PowerFab Go, with cross-cutting IT/data integration and nesting considerations.</w:t>
      </w:r>
    </w:p>
    <w:p/>
    <w:p>
      <w:pPr>
        <w:jc w:val="left"/>
      </w:pPr>
      <w:r>
        <w:t>Thank you for allowing me to work with your team this week. The most important takeaway is to decide how you want to use Tekla PowerFab and the related tools, establish which areas will adopt the standard, and clearly communicate that expectation across governance, data-management, and cross-tool workflows. The report highlights the ongoing emphasis on governance, cross-system integration, and the move toward auditable, exportable documentation and planning (Jira, Trello, Bitbucket, etc.), as well as readiness activities for AI audits and 2025 planning. I appreciate your openness to refining planning approaches, documentation standards, and integration efforts, and I’m glad to support your team as you test data-integration approaches and finalize reporting outputs. Please feel free to reach out if you’d like me to continue assisting as these changes are implemented or to return for follow-up; I look forward to continuing our work together.</w:t>
      </w:r>
    </w:p>
    <w:p/>
    <w:p>
      <w:pPr>
        <w:jc w:val="left"/>
      </w:pPr>
      <w:r>
        <w:t>Sincerely,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