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7A9" w:rsidRDefault="00A1431B" w:rsidP="00B43537">
      <w:pPr>
        <w:ind w:left="-9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Nate Howe</w:t>
      </w:r>
    </w:p>
    <w:p w:rsidR="00A1431B" w:rsidRDefault="00F32B65" w:rsidP="00B43537">
      <w:pPr>
        <w:ind w:left="-90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6774F96" wp14:editId="1A34F7F9">
            <wp:simplePos x="0" y="0"/>
            <wp:positionH relativeFrom="column">
              <wp:posOffset>-387985</wp:posOffset>
            </wp:positionH>
            <wp:positionV relativeFrom="paragraph">
              <wp:posOffset>238760</wp:posOffset>
            </wp:positionV>
            <wp:extent cx="6989445" cy="3867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dd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44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31B">
        <w:tab/>
      </w:r>
      <w:r w:rsidR="00A1431B">
        <w:tab/>
      </w:r>
      <w:r w:rsidR="00A1431B">
        <w:tab/>
      </w:r>
      <w:r w:rsidR="00A1431B">
        <w:tab/>
      </w:r>
      <w:r w:rsidR="00A1431B">
        <w:tab/>
      </w:r>
      <w:r w:rsidR="00A1431B">
        <w:tab/>
      </w:r>
      <w:r w:rsidR="00A1431B">
        <w:tab/>
      </w:r>
      <w:r w:rsidR="00A1431B">
        <w:tab/>
      </w:r>
      <w:r w:rsidR="00A1431B">
        <w:tab/>
      </w:r>
      <w:r w:rsidR="00A1431B">
        <w:tab/>
      </w:r>
      <w:r w:rsidR="00A1431B">
        <w:tab/>
      </w:r>
      <w:r w:rsidR="00A1431B">
        <w:tab/>
      </w:r>
      <w:r w:rsidR="00A1431B">
        <w:tab/>
      </w:r>
      <w:r w:rsidR="00A1431B">
        <w:tab/>
        <w:t xml:space="preserve">                 Group 10</w:t>
      </w:r>
    </w:p>
    <w:p w:rsidR="00A1431B" w:rsidRDefault="00A1431B" w:rsidP="00B43537">
      <w:pPr>
        <w:ind w:left="-900"/>
      </w:pPr>
    </w:p>
    <w:p w:rsidR="00A1431B" w:rsidRDefault="00A1431B" w:rsidP="00B43537">
      <w:pPr>
        <w:ind w:left="-900"/>
      </w:pPr>
    </w:p>
    <w:p w:rsidR="00A1431B" w:rsidRDefault="00F32B65" w:rsidP="00B43537">
      <w:pPr>
        <w:ind w:left="-90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83E38" wp14:editId="2297A4DD">
                <wp:simplePos x="0" y="0"/>
                <wp:positionH relativeFrom="column">
                  <wp:posOffset>3745064</wp:posOffset>
                </wp:positionH>
                <wp:positionV relativeFrom="paragraph">
                  <wp:posOffset>3534217</wp:posOffset>
                </wp:positionV>
                <wp:extent cx="2640164" cy="2282024"/>
                <wp:effectExtent l="0" t="0" r="27305" b="234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164" cy="2282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B65" w:rsidRPr="00A1431B" w:rsidRDefault="00F32B65" w:rsidP="00F32B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“Settings” page allows a user to modify application settings and preferences. There are several groups of settings, listed as title bars (1), a user is able to modify, varying from account to notification settings. Some submenu items (2) are simple text, but others have on/off sliders (3), drop-down menus (4), or view page buttons (5). From this page, users can also view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miscenlaneous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information, such as the privacy policy, terms of use, and support. Also, a user can logout using this page, or change their personal information.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4.9pt;margin-top:278.3pt;width:207.9pt;height:17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">
                <v:textbox>
                  <w:txbxContent>
                    <w:p w:rsidR="00F32B65" w:rsidRPr="00A1431B" w:rsidRDefault="00F32B65" w:rsidP="00F32B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“Settings” page allows a user to modify application settings and preferences. There are several groups of settings, listed as title bars (1), a user is able to modify, varying from account to notification settings. Some submenu items (2) are simple text, but others have on/off sliders (3), drop-down menus (4), or view page buttons (5). From this page, users can also view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miscenlaneous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information, such as the privacy policy, terms of use, and support. Also, a user can logout using this page, or change their personal information.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5A59E21" wp14:editId="3DAFFD61">
            <wp:simplePos x="0" y="0"/>
            <wp:positionH relativeFrom="column">
              <wp:posOffset>-320040</wp:posOffset>
            </wp:positionH>
            <wp:positionV relativeFrom="paragraph">
              <wp:posOffset>2961005</wp:posOffset>
            </wp:positionV>
            <wp:extent cx="6769100" cy="37445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3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947D5" wp14:editId="447590BE">
                <wp:simplePos x="0" y="0"/>
                <wp:positionH relativeFrom="column">
                  <wp:posOffset>2867025</wp:posOffset>
                </wp:positionH>
                <wp:positionV relativeFrom="paragraph">
                  <wp:posOffset>784225</wp:posOffset>
                </wp:positionV>
                <wp:extent cx="3467100" cy="1447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537" w:rsidRPr="00A1431B" w:rsidRDefault="00B435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431B">
                              <w:rPr>
                                <w:sz w:val="20"/>
                                <w:szCs w:val="20"/>
                              </w:rPr>
                              <w:t>The "Manual Item Add" page allows a user to add an item to their inventory manually. To add an item, the user enters a name into the name text field (1), selects the quantity of the item with the quantity selection wheel (2), and (optional) selects an expiration date using the date wheels (3)</w:t>
                            </w:r>
                            <w:r w:rsidR="00A1431B">
                              <w:rPr>
                                <w:sz w:val="20"/>
                                <w:szCs w:val="20"/>
                              </w:rPr>
                              <w:t>. Finally, the user can add the item to their inventory by clicking the “Add” button (4).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5.75pt;margin-top:61.75pt;width:273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">
                <v:textbox>
                  <w:txbxContent>
                    <w:p w:rsidR="00B43537" w:rsidRPr="00A1431B" w:rsidRDefault="00B43537">
                      <w:pPr>
                        <w:rPr>
                          <w:sz w:val="20"/>
                          <w:szCs w:val="20"/>
                        </w:rPr>
                      </w:pPr>
                      <w:r w:rsidRPr="00A1431B">
                        <w:rPr>
                          <w:sz w:val="20"/>
                          <w:szCs w:val="20"/>
                        </w:rPr>
                        <w:t>The "Manual Item Add" page allows a user to add an item to their inventory manually. To add an item, the user enters a name into the name text field (1), selects the quantity of the item with the quantity selection wheel (2), and (optional) selects an expiration date using the date wheels (3)</w:t>
                      </w:r>
                      <w:r w:rsidR="00A1431B">
                        <w:rPr>
                          <w:sz w:val="20"/>
                          <w:szCs w:val="20"/>
                        </w:rPr>
                        <w:t>. Finally, the user can add the item to their inventory by clicking the “Add” button (4).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A1431B" w:rsidSect="00A1431B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37"/>
    <w:rsid w:val="007E5579"/>
    <w:rsid w:val="00A10A49"/>
    <w:rsid w:val="00A1431B"/>
    <w:rsid w:val="00B43537"/>
    <w:rsid w:val="00D32491"/>
    <w:rsid w:val="00F3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2</cp:revision>
  <dcterms:created xsi:type="dcterms:W3CDTF">2014-01-31T09:24:00Z</dcterms:created>
  <dcterms:modified xsi:type="dcterms:W3CDTF">2014-01-31T09:24:00Z</dcterms:modified>
</cp:coreProperties>
</file>