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SUPREME COURT OF THE STATE OF NEW YORK</w:t>
      </w:r>
    </w:p>
    <w:p>
      <w:pPr>
        <w:spacing w:after="120"/>
        <w:jc w:val="center"/>
      </w:pPr>
      <w:r>
        <w:rPr>
          <w:b/>
          <w:bCs/>
        </w:rPr>
        <w:t xml:space="preserve">COUNTY OF KINGS</w:t>
      </w:r>
    </w:p>
    <w:p>
      <w:pPr>
        <w:spacing w:after="120"/>
        <w:jc w:val="center"/>
      </w:pPr>
      <w:r>
        <w:t xml:space="preserve">----------------------------------------------------------------X</w:t>
      </w:r>
    </w:p>
    <w:p>
      <w:pPr>
        <w:spacing w:after="120"/>
        <w:jc w:val="center"/>
      </w:pPr>
      <w:r>
        <w:rPr>
          <w:b/>
          <w:bCs/>
        </w:rPr>
        <w:t xml:space="preserve">MARINE BULKHEADING, INC.,</w:t>
      </w:r>
    </w:p>
    <w:p>
      <w:pPr>
        <w:spacing w:after="120"/>
      </w:pPr>
      <w:r>
        <w:t xml:space="preserve"/>
      </w:r>
    </w:p>
    <w:p>
      <w:pPr>
        <w:jc w:val="center"/>
      </w:pPr>
      <w:r>
        <w:rPr>
          <w:i/>
          <w:iCs/>
        </w:rPr>
        <w:t xml:space="preserve">Plaintiff,</w:t>
      </w:r>
    </w:p>
    <w:p>
      <w:pPr>
        <w:spacing w:after="120"/>
      </w:pPr>
      <w:r>
        <w:t xml:space="preserve"/>
      </w:r>
    </w:p>
    <w:p>
      <w:pPr>
        <w:spacing w:after="120"/>
        <w:jc w:val="center"/>
      </w:pPr>
      <w:r>
        <w:t xml:space="preserve">- against -</w:t>
      </w:r>
    </w:p>
    <w:p>
      <w:pPr>
        <w:spacing w:after="120"/>
      </w:pPr>
      <w:r>
        <w:t xml:space="preserve"/>
      </w:r>
    </w:p>
    <w:p>
      <w:pPr>
        <w:spacing w:after="120"/>
        <w:jc w:val="center"/>
      </w:pPr>
      <w:r>
        <w:rPr>
          <w:b/>
          <w:bCs/>
        </w:rPr>
        <w:t xml:space="preserve">JAT CONSTRUCTION GROUP INC., and</w:t>
      </w:r>
    </w:p>
    <w:p>
      <w:pPr>
        <w:spacing w:after="120"/>
        <w:jc w:val="center"/>
      </w:pPr>
      <w:r>
        <w:rPr>
          <w:b/>
          <w:bCs/>
        </w:rPr>
        <w:t xml:space="preserve">402 AVENUE T LLC, and "JOHN DOE",</w:t>
      </w:r>
    </w:p>
    <w:p>
      <w:pPr>
        <w:spacing w:after="120"/>
      </w:pPr>
      <w:r>
        <w:t xml:space="preserve"/>
      </w:r>
    </w:p>
    <w:p>
      <w:pPr>
        <w:jc w:val="center"/>
      </w:pPr>
      <w:r>
        <w:rPr>
          <w:i/>
          <w:iCs/>
        </w:rPr>
        <w:t xml:space="preserve">Defendants.</w:t>
      </w:r>
    </w:p>
    <w:p>
      <w:pPr>
        <w:spacing w:after="120"/>
        <w:jc w:val="center"/>
      </w:pPr>
      <w:r>
        <w:t xml:space="preserve">----------------------------------------------------------------X</w:t>
      </w:r>
    </w:p>
    <w:p>
      <w:pPr>
        <w:spacing w:after="120"/>
      </w:pPr>
      <w:r>
        <w:t xml:space="preserve"/>
      </w:r>
    </w:p>
    <w:p>
      <w:pPr>
        <w:spacing w:after="120"/>
        <w:jc w:val="center"/>
      </w:pPr>
      <w:r>
        <w:rPr>
          <w:b/>
          <w:bCs/>
        </w:rPr>
        <w:t xml:space="preserve">Index No. 500420/2026</w:t>
      </w:r>
    </w:p>
    <w:p>
      <w:pPr>
        <w:spacing w:after="120"/>
      </w:pPr>
      <w:r>
        <w:t xml:space="preserve"/>
      </w:r>
    </w:p>
    <w:p>
      <w:pPr>
        <w:spacing w:after="120"/>
        <w:jc w:val="center"/>
      </w:pPr>
      <w:r>
        <w:rPr>
          <w:b/>
          <w:bCs/>
        </w:rPr>
        <w:t xml:space="preserve">PLAINTIFF'S MEMORANDUM OF LAW IN OPPOSITION TO</w:t>
      </w:r>
    </w:p>
    <w:p>
      <w:pPr>
        <w:spacing w:after="120"/>
        <w:jc w:val="center"/>
      </w:pPr>
      <w:r>
        <w:rPr>
          <w:b/>
          <w:bCs/>
        </w:rPr>
        <w:t xml:space="preserve">DEFENDANT 402 AVENUE T LLC'S MOTION TO DISMISS</w:t>
      </w:r>
    </w:p>
    <w:p>
      <w:pPr>
        <w:spacing w:after="120"/>
      </w:pPr>
      <w:r>
        <w:t xml:space="preserve"/>
      </w:r>
    </w:p>
    <w:p>
      <w:pPr>
        <w:spacing w:after="120"/>
        <w:jc w:val="center"/>
      </w:pPr>
      <w:r>
        <w:t xml:space="preserve">JOHN N. CUOMO, ESQ.</w:t>
      </w:r>
    </w:p>
    <w:p>
      <w:pPr>
        <w:spacing w:after="120"/>
        <w:jc w:val="center"/>
      </w:pPr>
      <w:r>
        <w:t xml:space="preserve">Attorney for Plaintiff Marine Bulkheading, Inc.</w:t>
      </w:r>
    </w:p>
    <w:p>
      <w:pPr>
        <w:spacing w:after="120"/>
        <w:jc w:val="center"/>
      </w:pPr>
      <w:r>
        <w:t xml:space="preserve">11 Fern Drive, Commack, New York 11725</w:t>
      </w:r>
    </w:p>
    <w:p>
      <w:pPr>
        <w:spacing w:after="120"/>
        <w:jc w:val="center"/>
      </w:pPr>
      <w:r>
        <w:t xml:space="preserve">(631) 403-0515</w:t>
      </w:r>
    </w:p>
    <w:p>
      <w:pPr>
        <w:spacing w:after="120"/>
      </w:pPr>
      <w:r>
        <w:t xml:space="preserve"/>
      </w:r>
    </w:p>
    <w:p>
      <w:pPr>
        <w:spacing w:after="120"/>
      </w:pPr>
      <w:r>
        <w:t xml:space="preserve"/>
      </w:r>
    </w:p>
    <w:p>
      <w:pPr>
        <w:spacing w:after="120" w:before="240"/>
        <w:jc w:val="center"/>
      </w:pPr>
      <w:r>
        <w:rPr>
          <w:b/>
          <w:bCs/>
          <w:u w:val="single"/>
        </w:rPr>
        <w:t xml:space="preserve">TABLE OF CONTENTS</w:t>
      </w:r>
    </w:p>
    <w:p>
      <w:pPr>
        <w:spacing w:after="180"/>
        <w:jc w:val="left"/>
      </w:pPr>
      <w:r>
        <w:t xml:space="preserve">PRELIMINARY STATEMENT  ......................................................................................  1</w:t>
      </w:r>
    </w:p>
    <w:p>
      <w:pPr>
        <w:spacing w:after="180"/>
        <w:jc w:val="left"/>
      </w:pPr>
      <w:r>
        <w:t xml:space="preserve">STATEMENT OF FACTS  .............................................................................................  2</w:t>
      </w:r>
    </w:p>
    <w:p>
      <w:pPr>
        <w:spacing w:after="180"/>
        <w:jc w:val="left"/>
      </w:pPr>
      <w:r>
        <w:t xml:space="preserve">STANDARD OF REVIEW  .............................................................................................  4</w:t>
      </w:r>
    </w:p>
    <w:p>
      <w:pPr>
        <w:spacing w:after="180"/>
        <w:jc w:val="left"/>
      </w:pPr>
      <w:r>
        <w:t xml:space="preserve">ARGUMENT</w:t>
      </w:r>
    </w:p>
    <w:p>
      <w:pPr>
        <w:spacing w:after="180"/>
        <w:jc w:val="left"/>
      </w:pPr>
      <w:r>
        <w:t xml:space="preserve">    POINT I — The Lien Foreclosure Claim Must Survive Because Genuine Factual</w:t>
      </w:r>
    </w:p>
    <w:p>
      <w:pPr>
        <w:spacing w:after="180"/>
        <w:jc w:val="left"/>
      </w:pPr>
      <w:r>
        <w:t xml:space="preserve">               Disputes Exist Regarding the Lien Fund  ..................................................  6</w:t>
      </w:r>
    </w:p>
    <w:p>
      <w:pPr>
        <w:spacing w:after="180"/>
        <w:jc w:val="left"/>
      </w:pPr>
      <w:r>
        <w:t xml:space="preserve">    POINT II — The Account Stated Claim Is Adequately Pleaded  ......................  12</w:t>
      </w:r>
    </w:p>
    <w:p>
      <w:pPr>
        <w:spacing w:after="180"/>
        <w:jc w:val="left"/>
      </w:pPr>
      <w:r>
        <w:t xml:space="preserve">    POINT III — Quantum Meruit and Unjust Enrichment Are Adequately Pled  ...  13</w:t>
      </w:r>
    </w:p>
    <w:p>
      <w:pPr>
        <w:spacing w:after="180"/>
        <w:jc w:val="left"/>
      </w:pPr>
      <w:r>
        <w:t xml:space="preserve">    POINT IV — The Notice of Pendency Must Be Maintained  ............................  17</w:t>
      </w:r>
    </w:p>
    <w:p>
      <w:pPr>
        <w:spacing w:after="180"/>
        <w:jc w:val="left"/>
      </w:pPr>
      <w:r>
        <w:t xml:space="preserve">    POINT V — If the Court Converts the Motion, Discovery Is Required  ...........  18</w:t>
      </w:r>
    </w:p>
    <w:p>
      <w:pPr>
        <w:spacing w:after="180"/>
        <w:jc w:val="left"/>
      </w:pPr>
      <w:r>
        <w:t xml:space="preserve">CONCLUSION  ..............................................................................................................  19</w:t>
      </w:r>
    </w:p>
    <w:p>
      <w:pPr>
        <w:spacing w:after="120"/>
      </w:pPr>
      <w:r>
        <w:t xml:space="preserve"/>
      </w:r>
    </w:p>
    <w:p>
      <w:pPr>
        <w:spacing w:after="120" w:before="240"/>
        <w:jc w:val="center"/>
      </w:pPr>
      <w:r>
        <w:rPr>
          <w:b/>
          <w:bCs/>
          <w:u w:val="single"/>
        </w:rPr>
        <w:t xml:space="preserve">TABLE OF AUTHORITIES</w:t>
      </w:r>
    </w:p>
    <w:p>
      <w:pPr>
        <w:spacing w:after="180"/>
        <w:jc w:val="left"/>
      </w:pPr>
      <w:r>
        <w:rPr>
          <w:b/>
          <w:bCs/>
        </w:rPr>
        <w:t xml:space="preserve">Cases</w:t>
      </w:r>
    </w:p>
    <w:p>
      <w:pPr>
        <w:spacing w:after="180"/>
        <w:jc w:val="left"/>
      </w:pPr>
      <w:r>
        <w:rPr>
          <w:i w:val="false"/>
          <w:iCs w:val="false"/>
        </w:rPr>
        <w:t xml:space="preserve">Albert J. Bunce, Ltd. v. Fahey, 73 A.D.2d 632 (2d Dep't 1979)  ...............................  8, 10</w:t>
      </w:r>
    </w:p>
    <w:p>
      <w:pPr>
        <w:spacing w:after="180"/>
        <w:jc w:val="left"/>
      </w:pPr>
      <w:r>
        <w:t xml:space="preserve">Brown Bros. Elec. Contrs., Inc. v. Beam Constr. Corp., 41 N.Y.2d 397 (1977)  ............  14</w:t>
      </w:r>
    </w:p>
    <w:p>
      <w:pPr>
        <w:spacing w:after="180"/>
        <w:jc w:val="left"/>
      </w:pPr>
      <w:r>
        <w:t xml:space="preserve">Bryan's Quality Plus, LLC v. Dorime, 112 A.D.3d 870 (2d Dep't 2013)  ......................  11</w:t>
      </w:r>
    </w:p>
    <w:p>
      <w:pPr>
        <w:spacing w:after="180"/>
        <w:jc w:val="left"/>
      </w:pPr>
      <w:r>
        <w:t xml:space="preserve">C.C.C. Renovations, Inc. v. Victoria Towers Dev. Corp., 168 A.D.3d 664 (2d Dep't 2019)  .....  9</w:t>
      </w:r>
    </w:p>
    <w:p>
      <w:pPr>
        <w:spacing w:after="180"/>
        <w:jc w:val="left"/>
      </w:pPr>
      <w:r>
        <w:t xml:space="preserve">Cortlandt St. Recovery Corp. v. Bonderman, 31 N.Y.3d 30 (2018)  .............................  5</w:t>
      </w:r>
    </w:p>
    <w:p>
      <w:pPr>
        <w:spacing w:after="180"/>
        <w:jc w:val="left"/>
      </w:pPr>
      <w:r>
        <w:t xml:space="preserve">Goshen v. Mut. Life Ins. Co. of N.Y., 98 N.Y.2d 314 (2002)  ....................................  5</w:t>
      </w:r>
    </w:p>
    <w:p>
      <w:pPr>
        <w:spacing w:after="180"/>
        <w:jc w:val="left"/>
      </w:pPr>
      <w:r>
        <w:t xml:space="preserve">GCDM Ironworks v. GJF Constr. Corp., 292 A.D.2d 495 (2d Dep't 2002)  ....................  10</w:t>
      </w:r>
    </w:p>
    <w:p>
      <w:pPr>
        <w:spacing w:after="180"/>
        <w:jc w:val="left"/>
      </w:pPr>
      <w:r>
        <w:t xml:space="preserve">JLJ Recycling Contrs. Corp. v. Town of Babylon, 302 A.D.2d 430 (2d Dep't 2003)  .....  15</w:t>
      </w:r>
    </w:p>
    <w:p>
      <w:pPr>
        <w:spacing w:after="180"/>
        <w:jc w:val="left"/>
      </w:pPr>
      <w:r>
        <w:t xml:space="preserve">Leon v. Martinez, 84 N.Y.2d 83 (1994)  ....................................................................  5, 7</w:t>
      </w:r>
    </w:p>
    <w:p>
      <w:pPr>
        <w:spacing w:after="180"/>
        <w:jc w:val="left"/>
      </w:pPr>
      <w:r>
        <w:t xml:space="preserve">M. Paladino, Inc. v. J. Lucchese &amp; Son Contr. Corp., 247 A.D.2d 515 (2d Dep't 1998)  .......  13, 16</w:t>
      </w:r>
    </w:p>
    <w:p>
      <w:pPr>
        <w:spacing w:after="180"/>
        <w:jc w:val="left"/>
      </w:pPr>
      <w:r>
        <w:t xml:space="preserve">Peri Formwork Sys., Inc. v. Lumbermens Mut. Cas. Co., 112 A.D.3d 171 (2d Dep't 2013)  ..  9</w:t>
      </w:r>
    </w:p>
    <w:p>
      <w:pPr>
        <w:spacing w:after="180"/>
        <w:jc w:val="left"/>
      </w:pPr>
      <w:r>
        <w:t xml:space="preserve">Perma Pave Contracting Corp. v. Paerdegat Boat &amp; Racquet Club, Inc., 156 A.D.2d 550 (2d Dep't 1989)  .....  10, 15</w:t>
      </w:r>
    </w:p>
    <w:p>
      <w:pPr>
        <w:spacing w:after="180"/>
        <w:jc w:val="left"/>
      </w:pPr>
      <w:r>
        <w:t xml:space="preserve">Sears Ready Mix, Ltd. v. Lighthouse Mar., Inc., 127 A.D.3d 845 (2d Dep't 2015)  ...........  15</w:t>
      </w:r>
    </w:p>
    <w:p>
      <w:pPr>
        <w:spacing w:after="180"/>
        <w:jc w:val="left"/>
      </w:pPr>
      <w:r>
        <w:t xml:space="preserve">Simplex Grinnell v. Ultimate Realty, LLC, 38 A.D.3d 600 (2d Dep't 2007)  ......................  12</w:t>
      </w:r>
    </w:p>
    <w:p>
      <w:pPr>
        <w:spacing w:after="180"/>
        <w:jc w:val="left"/>
      </w:pPr>
      <w:r>
        <w:t xml:space="preserve">TV Tech Mgrs., Inc. v. Cohen, 227 A.D.3d 838 (2d Dep't 2024)  ..............................  12, 15</w:t>
      </w:r>
    </w:p>
    <w:p>
      <w:pPr>
        <w:spacing w:after="180"/>
        <w:jc w:val="left"/>
      </w:pPr>
      <w:r>
        <w:t xml:space="preserve">Vertical Progression, Inc. v. Canyon Johnson Urban Funds, 126 A.D.3d 784 (2d Dep't 2015)  .....  5</w:t>
      </w:r>
    </w:p>
    <w:p>
      <w:pPr>
        <w:spacing w:after="120"/>
      </w:pPr>
      <w:r>
        <w:t xml:space="preserve"/>
      </w:r>
    </w:p>
    <w:p>
      <w:pPr>
        <w:spacing w:after="180"/>
        <w:jc w:val="left"/>
      </w:pPr>
      <w:r>
        <w:rPr>
          <w:b/>
          <w:bCs/>
        </w:rPr>
        <w:t xml:space="preserve">Statutes and Rules</w:t>
      </w:r>
    </w:p>
    <w:p>
      <w:pPr>
        <w:spacing w:after="180"/>
        <w:jc w:val="left"/>
      </w:pPr>
      <w:r>
        <w:t xml:space="preserve">CPLR 3211(a)(1)  .......................................................................................................  4, 7</w:t>
      </w:r>
    </w:p>
    <w:p>
      <w:pPr>
        <w:spacing w:after="180"/>
        <w:jc w:val="left"/>
      </w:pPr>
      <w:r>
        <w:t xml:space="preserve">CPLR 3211(a)(7)  .......................................................................................................  4, 5</w:t>
      </w:r>
    </w:p>
    <w:p>
      <w:pPr>
        <w:spacing w:after="180"/>
        <w:jc w:val="left"/>
      </w:pPr>
      <w:r>
        <w:t xml:space="preserve">CPLR 3211(c)  ............................................................................................................  18</w:t>
      </w:r>
    </w:p>
    <w:p>
      <w:pPr>
        <w:spacing w:after="180"/>
        <w:jc w:val="left"/>
      </w:pPr>
      <w:r>
        <w:t xml:space="preserve">CPLR 3212(f)  .............................................................................................................  18</w:t>
      </w:r>
    </w:p>
    <w:p>
      <w:pPr>
        <w:spacing w:after="180"/>
        <w:jc w:val="left"/>
      </w:pPr>
      <w:r>
        <w:t xml:space="preserve">CPLR 6514  ..................................................................................................................  17</w:t>
      </w:r>
    </w:p>
    <w:p>
      <w:pPr>
        <w:spacing w:after="180"/>
        <w:jc w:val="left"/>
      </w:pPr>
      <w:r>
        <w:t xml:space="preserve">New York Lien Law § 4  .............................................................................................  6, 9</w:t>
      </w:r>
    </w:p>
    <w:p>
      <w:pPr>
        <w:spacing w:after="180"/>
        <w:jc w:val="left"/>
      </w:pPr>
      <w:r>
        <w:t xml:space="preserve">New York Lien Law § 41  ............................................................................................  16</w:t>
      </w:r>
    </w:p>
    <w:p>
      <w:pPr>
        <w:spacing w:after="120"/>
      </w:pPr>
      <w:r>
        <w:t xml:space="preserve"/>
      </w:r>
    </w:p>
    <w:p>
      <w:pPr>
        <w:spacing w:after="120" w:before="240"/>
        <w:jc w:val="center"/>
      </w:pPr>
      <w:r>
        <w:rPr>
          <w:b/>
          <w:bCs/>
          <w:u w:val="single"/>
        </w:rPr>
        <w:t xml:space="preserve">PRELIMINARY STATEMENT</w:t>
      </w:r>
    </w:p>
    <w:p>
      <w:pPr>
        <w:spacing w:after="120"/>
      </w:pPr>
      <w:r>
        <w:t xml:space="preserve"/>
      </w:r>
    </w:p>
    <w:p>
      <w:pPr>
        <w:spacing w:after="180"/>
        <w:ind w:firstLine="720"/>
        <w:jc w:val="both"/>
      </w:pPr>
      <w:r>
        <w:t xml:space="preserve">This memorandum of law is submitted by Plaintiff Marine Bulkheading, Inc. ("Marine" or "Plaintiff") in opposition to the pre-answer motion to dismiss filed by Defendant 402 Avenue T LLC ("402" or "Owner") pursuant to CPLR 3211(a)(1), 3211(a)(7), 3211(c), and 6514.</w:t>
      </w:r>
    </w:p>
    <w:p>
      <w:pPr>
        <w:spacing w:after="180"/>
        <w:ind w:firstLine="720"/>
        <w:jc w:val="both"/>
      </w:pPr>
      <w:r>
        <w:t xml:space="preserve">This action arises from a straightforward subcontractor nonpayment dispute in which Marine performed specialized and valuable foundation work — pile driving, shoring, and foundation waterproofing — at a luxury single-family residence being constructed at 402 Avenue T a/k/a 2044 East 2nd Street, Brooklyn, New York.  Marine was engaged by JAT Construction Group Inc. ("JAT"), the general contractor, with the knowledge, consent, and authorization of the Owner.  Marine performed all of its work and is owed $361,080.00.  Marine has not been paid.</w:t>
      </w:r>
    </w:p>
    <w:p>
      <w:pPr>
        <w:spacing w:after="180"/>
        <w:ind w:firstLine="720"/>
        <w:jc w:val="both"/>
      </w:pPr>
      <w:r>
        <w:t xml:space="preserve">The motion to dismiss turns almost entirely on a Declaration submitted by John Longardo, the President of co-defendant JAT, which purports to establish that JAT was fully paid — indeed overpaid — by the Owner before Marine's mechanic's lien was filed.  But the motion papers themselves contain the refutation: the AIA G702 Application and Certificate for Payment, signed by Longardo himself as of September 29, 2025, shows a current payment due of $176,442.66 and an outstanding contract balance of over $3,000,000.00.  This document — JAT's own payment application — is direct evidence that substantial sums remained due and owing from the Owner to JAT approximately eleven weeks before Marine filed its lien.  The motion cannot be reconciled with this document.</w:t>
      </w:r>
    </w:p>
    <w:p>
      <w:pPr>
        <w:spacing w:after="180"/>
        <w:ind w:firstLine="720"/>
        <w:jc w:val="both"/>
      </w:pPr>
      <w:r>
        <w:t xml:space="preserve">The motion should be denied.  At the pleading stage, this Court must accept Marine's well-pleaded allegations as true and afford Marine every favorable inference.  The contested, internally-contradicted Longardo Declaration — executed by an interested party with adverse interests and accompanied by a suspicious embedded waiver — does not "utterly refute" Marine's claims or "conclusively establish" any defense.  The motion is an attempt to adjudicate contested factual questions without the benefit of discovery.  It should fail.</w:t>
      </w:r>
    </w:p>
    <w:p>
      <w:pPr>
        <w:spacing w:after="120"/>
      </w:pPr>
      <w:r>
        <w:t xml:space="preserve"/>
      </w:r>
    </w:p>
    <w:p>
      <w:pPr>
        <w:spacing w:after="120" w:before="240"/>
        <w:jc w:val="center"/>
      </w:pPr>
      <w:r>
        <w:rPr>
          <w:b/>
          <w:bCs/>
          <w:u w:val="single"/>
        </w:rPr>
        <w:t xml:space="preserve">STATEMENT OF FACTS</w:t>
      </w:r>
    </w:p>
    <w:p>
      <w:pPr>
        <w:spacing w:after="120"/>
      </w:pPr>
      <w:r>
        <w:t xml:space="preserve"/>
      </w:r>
    </w:p>
    <w:p>
      <w:pPr>
        <w:spacing w:after="180"/>
        <w:ind w:firstLine="720"/>
        <w:jc w:val="both"/>
      </w:pPr>
      <w:r>
        <w:t xml:space="preserve">The following facts are taken from the Verified Complaint and the exhibits submitted by the moving party, including documents that contradict the moving party's own narrative.</w:t>
      </w:r>
    </w:p>
    <w:p>
      <w:pPr>
        <w:spacing w:after="180"/>
        <w:ind w:firstLine="720"/>
        <w:jc w:val="both"/>
      </w:pPr>
      <w:r>
        <w:t xml:space="preserve">Marine Bulkheading, Inc. is a New York corporation specializing in pile driving, earth retention, shoring operations, and foundation construction.  Beginning on or about October 1, 2025, Marine commenced work at 402 Avenue T a/k/a 2044 East 2nd Street, Brooklyn, New York (the "Property") — a ground-up construction project for a 12,000+ square foot luxury single-family residence.</w:t>
      </w:r>
    </w:p>
    <w:p>
      <w:pPr>
        <w:spacing w:after="180"/>
        <w:ind w:firstLine="720"/>
        <w:jc w:val="both"/>
      </w:pPr>
      <w:r>
        <w:t xml:space="preserve">Marine's work was performed pursuant to an agreement with JAT, which served as general contractor for the project under a written AIA A101-2017 Standard Form of Agreement between JAT and 402 Avenue T LLC (the "Prime Contract").  The Prime Contract established a total contract value of $3,460,474.00.  Marine's specialized scope of work — comprising supply and installation of associated materials for building foundation, superstructure, and foundation waterproofing — was valued at $854,700.00.</w:t>
      </w:r>
    </w:p>
    <w:p>
      <w:pPr>
        <w:spacing w:after="180"/>
        <w:ind w:firstLine="720"/>
        <w:jc w:val="both"/>
      </w:pPr>
      <w:r>
        <w:t xml:space="preserve">Marine performed all work through December 4, 2025.  $493,620.00 was paid toward that total, leaving a balance of $361,080.00 unpaid.  JAT tendered check number 5090 in the amount of $200,000.00 as partial payment.  That check was drawn on JAT's account at Coastal Community Bank and was returned on December 4, 2025, and again on December 10, 2025, for insufficient funds.  This bounced check — issued after the Owner claims JAT was fully paid — is one of the many internal inconsistencies in the Defendant's narrative.</w:t>
      </w:r>
    </w:p>
    <w:p>
      <w:pPr>
        <w:spacing w:after="180"/>
        <w:ind w:firstLine="720"/>
        <w:jc w:val="both"/>
      </w:pPr>
      <w:r>
        <w:t xml:space="preserve">Marine timely filed a Notice of Mechanic's Lien with the Kings County Clerk on December 16, 2025, within one month of the completion of its work.  Marine commenced this action on January 6, 2026.</w:t>
      </w:r>
    </w:p>
    <w:p>
      <w:pPr>
        <w:spacing w:after="180"/>
        <w:ind w:firstLine="720"/>
        <w:jc w:val="both"/>
      </w:pPr>
      <w:r>
        <w:t xml:space="preserve">The Owner terminated JAT by letter dated December 3, 2025, effective December 5, 2025.  That termination letter, submitted as Exhibit 2 to the Longardo Declaration, contains no mention of any payment status, any alleged overpayment to JAT, or any claim that the Owner had no remaining financial obligations to JAT.</w:t>
      </w:r>
    </w:p>
    <w:p>
      <w:pPr>
        <w:spacing w:after="180"/>
        <w:ind w:firstLine="720"/>
        <w:jc w:val="both"/>
      </w:pPr>
      <w:r>
        <w:t xml:space="preserve">The Owner paid JAT two checks of $138,645.00 each on September 4, 2025 (totaling $277,290.00) and a wire transfer of $60,000.00 on November 3, 2025 — a total of $337,290.00 against a $3,460,474.00 contract.  That is approximately 9.74% of the total contract value.  The AIA G702 Application for Payment, submitted as Exhibit 5 to the Longardo Declaration and signed by Longardo himself as of September 29, 2025, reflects that $504,147.40 of work had been completed and billed as of that date, a current payment due of $176,442.66, and a balance to finish of $3,006,741.34.</w:t>
      </w:r>
    </w:p>
    <w:p>
      <w:pPr>
        <w:spacing w:after="180"/>
        <w:ind w:firstLine="720"/>
        <w:jc w:val="both"/>
      </w:pPr>
      <w:r>
        <w:t xml:space="preserve">The Longardo Declaration was executed on March 16, 2026 — over three months after Marine's lien was filed and approximately one week before the filing of the motion to dismiss.  It contains, in addition to the payment history, an extraordinary waiver provision in which JAT purports to waive all present payment claims against the Owner.  No consideration for this waiver is described.  No agreement between the Owner and JAT is disclosed.  The circumstances of the waiver are unexplained.</w:t>
      </w:r>
    </w:p>
    <w:p>
      <w:pPr>
        <w:spacing w:after="120"/>
      </w:pPr>
      <w:r>
        <w:t xml:space="preserve"/>
      </w:r>
    </w:p>
    <w:p>
      <w:pPr>
        <w:spacing w:after="120" w:before="240"/>
        <w:jc w:val="center"/>
      </w:pPr>
      <w:r>
        <w:rPr>
          <w:b/>
          <w:bCs/>
          <w:u w:val="single"/>
        </w:rPr>
        <w:t xml:space="preserve">STANDARD OF REVIEW</w:t>
      </w:r>
    </w:p>
    <w:p>
      <w:pPr>
        <w:spacing w:after="120"/>
      </w:pPr>
      <w:r>
        <w:t xml:space="preserve"/>
      </w:r>
    </w:p>
    <w:p>
      <w:pPr>
        <w:spacing w:after="180"/>
        <w:ind w:firstLine="720"/>
        <w:jc w:val="both"/>
      </w:pPr>
      <w:r>
        <w:t xml:space="preserve">On a motion to dismiss pursuant to CPLR 3211(a)(1), dismissal is warranted only where the documentary evidence submitted "utterly refutes" the plaintiff's factual allegations and "conclusively establishes a defense as a matter of law."  Leon v. Martinez, 84 N.Y.2d 83, 88 (1994); Goshen v. Mut. Life Ins. Co. of N.Y., 98 N.Y.2d 314, 326 (2002).  Not every piece of documentary evidence meets this high standard.  The evidence must be "unambiguous, authentic, and of undisputed import."  Vertical Progression, Inc. v. Canyon Johnson Urban Funds, 126 A.D.3d 784, 786 (2d Dep't 2015).  A self-serving declaration by an interested party — particularly one that contradicts other documents in the record — does not meet this standard.  The Court must give the complaint all favorable inferences and may not weigh competing evidence on a CPLR 3211 motion.</w:t>
      </w:r>
    </w:p>
    <w:p>
      <w:pPr>
        <w:spacing w:after="180"/>
        <w:ind w:firstLine="720"/>
        <w:jc w:val="both"/>
      </w:pPr>
      <w:r>
        <w:t xml:space="preserve">On a motion to dismiss pursuant to CPLR 3211(a)(7), the Court must "give the complaint a liberal construction, accept the allegations as true and provide plaintiffs with the benefit of every favorable inference."  Cortlandt St. Recovery Corp. v. Bonderman, 31 N.Y.3d 30, 38 (2018).  Where evidentiary materials are submitted on the motion, the inquiry becomes whether the plaintiff actually has a cause of action, but the Court still resolves all factual disputes in plaintiff's favor.  Vertical Progression, supra at 786-787.  Dismissal is appropriate only where the "submitted materials show that a fact claimed by the pleader is not a fact at all or that no significant dispute exists regarding it."  Id.</w:t>
      </w:r>
    </w:p>
    <w:p>
      <w:pPr>
        <w:spacing w:after="180"/>
        <w:ind w:firstLine="720"/>
        <w:jc w:val="both"/>
      </w:pPr>
      <w:r>
        <w:t xml:space="preserve">Here, the submitted materials do not establish that there is "no significant dispute" regarding whether a lien fund existed or whether the Owner may be held liable in quasi-contract.  To the contrary, the Defendant's own exhibit — the AIA G702 Payment Application — directly contradicts the Longardo Declaration's assertion that JAT was fully paid.  The motion cannot meet the applicable standard of review on this record.</w:t>
      </w:r>
    </w:p>
    <w:p>
      <w:pPr>
        <w:spacing w:after="120"/>
      </w:pPr>
      <w:r>
        <w:t xml:space="preserve"/>
      </w:r>
    </w:p>
    <w:p>
      <w:pPr>
        <w:spacing w:after="120" w:before="240"/>
        <w:jc w:val="center"/>
      </w:pPr>
      <w:r>
        <w:rPr>
          <w:b/>
          <w:bCs/>
          <w:u w:val="single"/>
        </w:rPr>
        <w:t xml:space="preserve">ARGUMENT</w:t>
      </w:r>
    </w:p>
    <w:p>
      <w:pPr>
        <w:spacing w:after="120"/>
      </w:pPr>
      <w:r>
        <w:t xml:space="preserve"/>
      </w:r>
    </w:p>
    <w:p>
      <w:pPr>
        <w:spacing w:after="140" w:before="280"/>
        <w:jc w:val="center"/>
      </w:pPr>
      <w:r>
        <w:rPr>
          <w:b/>
          <w:bCs/>
        </w:rPr>
        <w:t xml:space="preserve">POINT I</w:t>
      </w:r>
    </w:p>
    <w:p>
      <w:pPr>
        <w:spacing w:after="140" w:before="280"/>
        <w:jc w:val="center"/>
      </w:pPr>
      <w:r>
        <w:rPr>
          <w:b/>
          <w:bCs/>
        </w:rPr>
        <w:t xml:space="preserve">THE FIRST CAUSE OF ACTION TO FORECLOSE MARINE'S MECHANIC'S LIEN MUST SURVIVE BECAUSE THE DOCUMENTARY RECORD RAISES GENUINE QUESTIONS ABOUT WHETHER A LIEN FUND EXISTED AND THE LONGARDO DECLARATION IS INSUFFICIENT TO CONCLUSIVELY NEGATE ONE</w:t>
      </w:r>
    </w:p>
    <w:p>
      <w:pPr>
        <w:spacing w:after="120"/>
      </w:pPr>
      <w:r>
        <w:t xml:space="preserve"/>
      </w:r>
    </w:p>
    <w:p>
      <w:pPr>
        <w:spacing w:after="100" w:before="160"/>
        <w:jc w:val="left"/>
      </w:pPr>
      <w:r>
        <w:rPr>
          <w:b/>
          <w:bCs/>
          <w:u w:val="single"/>
        </w:rPr>
        <w:t xml:space="preserve">A.	The Legal Framework: A Subcontractor's Lien Attaches to Sums Due From Owner to Contractor at the Time of Filing</w:t>
      </w:r>
    </w:p>
    <w:p>
      <w:pPr>
        <w:spacing w:after="120"/>
      </w:pPr>
      <w:r>
        <w:t xml:space="preserve"/>
      </w:r>
    </w:p>
    <w:p>
      <w:pPr>
        <w:spacing w:after="180"/>
        <w:ind w:firstLine="720"/>
        <w:jc w:val="both"/>
      </w:pPr>
      <w:r>
        <w:t xml:space="preserve">New York Lien Law § 4 provides that a subcontractor's mechanic's lien is valid "to the extent of the amount unpaid" on the prime contract "at the time of filing the notice of lien, and any sum subsequently earned thereon."  The lien is derivative of the general contractor's rights against the owner.  A subcontractor's lien rises no higher than the lien fund — the sum actually due and unpaid from owner to contractor at the time of filing.  Albert J. Bunce, Ltd. v. Fahey, 73 A.D.2d 632 (2d Dep't 1979); C.C.C. Renovations, Inc. v. Victoria Towers Dev. Corp., 168 A.D.3d 664, 665-666 (2d Dep't 2019).</w:t>
      </w:r>
    </w:p>
    <w:p>
      <w:pPr>
        <w:spacing w:after="180"/>
        <w:ind w:firstLine="720"/>
        <w:jc w:val="both"/>
      </w:pPr>
      <w:r>
        <w:t xml:space="preserve">However, the corollary principle is equally important: where the existence of a lien fund is disputed, that dispute is a factual question for trial.  Perma Pave Contracting Corp. v. Paerdegat Boat &amp; Racquet Club, Inc., 156 A.D.2d 550, 551 (2d Dep't 1989).  In Perma Pave — the very case Defendant most heavily relies upon — the Second Department refused to dismiss the lien foreclosure claim because the owner's evidence was largely conclusory and unsupported by documentary payment proof.  The lesson of Perma Pave is that the owner must submit specific, credible, non-conclusory payment evidence in order to negate the lien fund.  Defendant has failed to do so here, for the reasons that follow.</w:t>
      </w:r>
    </w:p>
    <w:p>
      <w:pPr>
        <w:spacing w:after="100" w:before="160"/>
        <w:jc w:val="left"/>
      </w:pPr>
      <w:r>
        <w:rPr>
          <w:b/>
          <w:bCs/>
          <w:u w:val="single"/>
        </w:rPr>
        <w:t xml:space="preserve">B.	The AIA G702 Payment Application, Signed by Longardo Himself, Establishes a $176,442.66 Current Payment Due as of September 30, 2025</w:t>
      </w:r>
    </w:p>
    <w:p>
      <w:pPr>
        <w:spacing w:after="120"/>
      </w:pPr>
      <w:r>
        <w:t xml:space="preserve"/>
      </w:r>
    </w:p>
    <w:p>
      <w:pPr>
        <w:spacing w:after="180"/>
        <w:ind w:firstLine="720"/>
        <w:jc w:val="both"/>
      </w:pPr>
      <w:r>
        <w:t xml:space="preserve">The most significant document in this case is not the Longardo Declaration — it is the AIA G702 Application and Certificate for Payment submitted as Exhibit 5 to that Declaration.  That document, signed by John Longardo as contractor under oath on September 29, 2025, establishes the following on its face:</w:t>
      </w:r>
    </w:p>
    <w:p>
      <w:pPr>
        <w:spacing w:after="120"/>
      </w:pPr>
      <w:r>
        <w:t xml:space="preserve"/>
      </w:r>
    </w:p>
    <w:p>
      <w:pPr>
        <w:spacing w:after="180"/>
        <w:ind w:left="720"/>
        <w:jc w:val="both"/>
      </w:pPr>
      <w:r>
        <w:rPr>
          <w:b/>
          <w:bCs/>
        </w:rPr>
        <w:t xml:space="preserve">Original Contract Sum:				$3,460,474.00</w:t>
      </w:r>
    </w:p>
    <w:p>
      <w:pPr>
        <w:spacing w:after="180"/>
        <w:ind w:left="720"/>
        <w:jc w:val="both"/>
      </w:pPr>
      <w:r>
        <w:rPr>
          <w:b/>
          <w:bCs/>
        </w:rPr>
        <w:t xml:space="preserve">Total Completed &amp; Stored to Date:		$504,147.40 (14.57%)</w:t>
      </w:r>
    </w:p>
    <w:p>
      <w:pPr>
        <w:spacing w:after="180"/>
        <w:ind w:left="720"/>
        <w:jc w:val="both"/>
      </w:pPr>
      <w:r>
        <w:rPr>
          <w:b/>
          <w:bCs/>
        </w:rPr>
        <w:t xml:space="preserve">Total Retainage:					$50,414.74</w:t>
      </w:r>
    </w:p>
    <w:p>
      <w:pPr>
        <w:spacing w:after="180"/>
        <w:ind w:left="720"/>
        <w:jc w:val="both"/>
      </w:pPr>
      <w:r>
        <w:rPr>
          <w:b/>
          <w:bCs/>
        </w:rPr>
        <w:t xml:space="preserve">Total Earned Less Retainage:			$453,732.66</w:t>
      </w:r>
    </w:p>
    <w:p>
      <w:pPr>
        <w:spacing w:after="180"/>
        <w:ind w:left="720"/>
        <w:jc w:val="both"/>
      </w:pPr>
      <w:r>
        <w:rPr>
          <w:b/>
          <w:bCs/>
        </w:rPr>
        <w:t xml:space="preserve">Less Previous Certificates for Payment:		$277,290.00</w:t>
      </w:r>
    </w:p>
    <w:p>
      <w:pPr>
        <w:spacing w:after="180"/>
        <w:ind w:left="720"/>
        <w:jc w:val="both"/>
      </w:pPr>
      <w:r>
        <w:rPr>
          <w:b/>
          <w:bCs/>
        </w:rPr>
        <w:t xml:space="preserve">Current Payment Due:				$176,442.66</w:t>
      </w:r>
    </w:p>
    <w:p>
      <w:pPr>
        <w:spacing w:after="180"/>
        <w:ind w:left="720"/>
        <w:jc w:val="both"/>
      </w:pPr>
      <w:r>
        <w:rPr>
          <w:b/>
          <w:bCs/>
        </w:rPr>
        <w:t xml:space="preserve">Balance to Finish, Plus Retainage:		$3,006,741.34</w:t>
      </w:r>
    </w:p>
    <w:p>
      <w:pPr>
        <w:spacing w:after="120"/>
      </w:pPr>
      <w:r>
        <w:t xml:space="preserve"/>
      </w:r>
    </w:p>
    <w:p>
      <w:pPr>
        <w:spacing w:after="180"/>
        <w:ind w:firstLine="720"/>
        <w:jc w:val="both"/>
      </w:pPr>
      <w:r>
        <w:t xml:space="preserve">These figures represent John Longardo's own sworn certification, as of September 29, 2025, that $176,442.66 was currently due and payable from the Owner to JAT.  This document is not a narrative declaration prepared for litigation — it is a standard AIA form, executed in the ordinary course of the construction project, and submitted by Longardo under penalty of law.</w:t>
      </w:r>
    </w:p>
    <w:p>
      <w:pPr>
        <w:spacing w:after="180"/>
        <w:ind w:firstLine="720"/>
        <w:jc w:val="both"/>
      </w:pPr>
      <w:r>
        <w:t xml:space="preserve">Eleven weeks elapsed between September 30, 2025 (the period covered by the AIA G702) and December 16, 2025 (the date Marine filed its lien).  During those eleven weeks, Defendant now claims: (1) the Owner paid JAT an additional $60,000 on November 3, 2025; (2) the Owner terminated JAT for cause on December 5, 2025; and (3) upon reconciliation, it turned out that JAT had been "overpaid" and zero dollars remained due.  Each of these propositions is either unsupported, incomplete, or contradicted by the evidence.</w:t>
      </w:r>
    </w:p>
    <w:p>
      <w:pPr>
        <w:spacing w:after="180"/>
        <w:ind w:firstLine="720"/>
        <w:jc w:val="both"/>
      </w:pPr>
      <w:r>
        <w:t xml:space="preserve">The $60,000 November wire, as noted in the companion Affirmation, is designated simply "Steel" on its face — suggesting a specific earmark, not a general contract payment.  The termination letter says nothing about payment status, overpayment, or any financial reconciliation.  The "reconciliation" that supposedly resulted in a zero balance is nowhere documented — there is no accountant's analysis, no back-out calculation, no communication from the Owner to JAT stating that the books are settled.  The Longardo Declaration's conclusion of overpayment is a naked legal conclusion, not a fact.</w:t>
      </w:r>
    </w:p>
    <w:p>
      <w:pPr>
        <w:spacing w:after="100" w:before="160"/>
        <w:jc w:val="left"/>
      </w:pPr>
      <w:r>
        <w:rPr>
          <w:b/>
          <w:bCs/>
          <w:u w:val="single"/>
        </w:rPr>
        <w:t xml:space="preserve">C.	The Mobilization Front-Loading Argument Cannot Reconcile the Numbers</w:t>
      </w:r>
    </w:p>
    <w:p>
      <w:pPr>
        <w:spacing w:after="120"/>
      </w:pPr>
      <w:r>
        <w:t xml:space="preserve"/>
      </w:r>
    </w:p>
    <w:p>
      <w:pPr>
        <w:spacing w:after="180"/>
        <w:ind w:firstLine="720"/>
        <w:jc w:val="both"/>
      </w:pPr>
      <w:r>
        <w:t xml:space="preserve">Defendant's central argument is that the payments of $337,290.00 effectively overpaid JAT because a large portion of JAT's early billings consisted of mobilization charges billed "in advance" of actual field work.  The AIA G702 reflects that the Mobilization line item ($346,047.40 after the 10% retainage reduction) was 100% complete as of September 30, 2025, while virtually all other line items were at 0% completion.</w:t>
      </w:r>
    </w:p>
    <w:p>
      <w:pPr>
        <w:spacing w:after="180"/>
        <w:ind w:firstLine="720"/>
        <w:jc w:val="both"/>
      </w:pPr>
      <w:r>
        <w:t xml:space="preserve">This argument has three fundamental problems.  First, mobilization is a legitimate, industry-standard billing category.  The AIA G702 — prepared with the Owner's knowledge — allocated $346,047.40 to mobilization.  If the Owner paid mobilization charges and then terminated the contractor before other work was complete, that is a contractual dispute between the Owner and JAT, not a defense against Marine's lien.  Second, $337,290 is less than $346,047.40 — meaning that even the mobilization line item was not fully funded.  If total payments were less than total mobilization billing, there was a current unpaid amount on mobilization alone.</w:t>
      </w:r>
    </w:p>
    <w:p>
      <w:pPr>
        <w:spacing w:after="180"/>
        <w:ind w:firstLine="720"/>
        <w:jc w:val="both"/>
      </w:pPr>
      <w:r>
        <w:t xml:space="preserve">Third, and most importantly, even accepting Defendant's characterization that the mobilization charges were overpaid relative to work performed, this argument goes to the recalculation of the lien fund — it does not establish that the lien fund was zero.  Under Lien Law § 4, the lien fund is the sum "earned and unpaid on the contract."  The question of what was "earned" is itself a factual determination that depends on the scope of work actually performed, the applicable schedule of values, and any legitimate adjustments for work not completed.  The Longardo Declaration offers a conclusion on this issue, not an analysis.  It is not sufficient to support dismissal.</w:t>
      </w:r>
    </w:p>
    <w:p>
      <w:pPr>
        <w:spacing w:after="180"/>
        <w:ind w:firstLine="720"/>
        <w:jc w:val="both"/>
      </w:pPr>
      <w:r>
        <w:t xml:space="preserve">In Bryan's Quality Plus, LLC v. Dorime, 112 A.D.3d 870 (2d Dep't 2013), the Second Department emphasized that a lienor must come forward with evidence showing both a valid lien and the existence of funds to which the lien can attach, but correspondingly an owner seeking pre-trial dismissal of a lien must do more than submit conclusory statements of payment.  GCDM Ironworks v. GJF Constr. Corp., 292 A.D.2d 495 (2d Dep't 2002), establishes that the lienor bears the ultimate burden of proving the lien fund at trial — but that burden-shifting does not operate in favor of the owner at the pleading stage on a CPLR 3211 motion.</w:t>
      </w:r>
    </w:p>
    <w:p>
      <w:pPr>
        <w:spacing w:after="100" w:before="160"/>
        <w:jc w:val="left"/>
      </w:pPr>
      <w:r>
        <w:rPr>
          <w:b/>
          <w:bCs/>
          <w:u w:val="single"/>
        </w:rPr>
        <w:t xml:space="preserve">D.	The Circumstances of the Longardo Declaration and the Embedded Waiver Preclude Treating It as Conclusive</w:t>
      </w:r>
    </w:p>
    <w:p>
      <w:pPr>
        <w:spacing w:after="120"/>
      </w:pPr>
      <w:r>
        <w:t xml:space="preserve"/>
      </w:r>
    </w:p>
    <w:p>
      <w:pPr>
        <w:spacing w:after="180"/>
        <w:ind w:firstLine="720"/>
        <w:jc w:val="both"/>
      </w:pPr>
      <w:r>
        <w:t xml:space="preserve">Courts have recognized that declarations or affidavits submitted in support of CPLR 3211 motions must be scrutinized for reliability, particularly where the declarant has a personal interest in the outcome.  Here, Longardo is the President of a co-defendant — the entity that failed to pay Marine, that may face indemnification claims from the Owner, and that issued a $200,000 bad check.  His declaration, which conveniently absolves the Owner of any lien fund liability while simultaneously waiving all of JAT's own payment claims against the Owner, must be viewed with appropriate skepticism.</w:t>
      </w:r>
    </w:p>
    <w:p>
      <w:pPr>
        <w:spacing w:after="180"/>
        <w:ind w:firstLine="720"/>
        <w:jc w:val="both"/>
      </w:pPr>
      <w:r>
        <w:t xml:space="preserve">The waiver embedded in the Longardo Declaration (Decl. ¶ 11) is particularly suspicious.  No consideration is recited.  No written agreement between JAT and the Owner is disclosed.  The timing — executed for purposes of this motion — raises an obvious inference that JAT and the Owner have reached some arrangement concerning this litigation.  The terms of any such arrangement are unknown to Marine and can only be explored through discovery.  A court should not permit a declaration of this character — executed by an adverse party in connection with litigation, containing an embedded waiver of undisclosed consideration — to serve as the conclusive documentary proof that terminates a subcontractor's well-pleaded claims.</w:t>
      </w:r>
    </w:p>
    <w:p>
      <w:pPr>
        <w:spacing w:after="180"/>
        <w:ind w:firstLine="720"/>
        <w:jc w:val="both"/>
      </w:pPr>
      <w:r>
        <w:t xml:space="preserve">Contrast the Longardo Declaration with the type of proof that New York courts have found sufficient to establish the absence of a lien fund: actual bank records showing disbursements, certified payment histories, architect's certificates, sworn accountings with line-item analysis.  The Longardo Declaration offers none of this.  Instead, it offers conclusions: that JAT was "overpaid," that "no monies are due," and that JAT "waives" all claims.  These conclusions, standing alone and contradicted by Longardo's own earlier sworn certifications in the AIA G702, cannot support dismissal.</w:t>
      </w:r>
    </w:p>
    <w:p>
      <w:pPr>
        <w:spacing w:after="120"/>
      </w:pPr>
      <w:r>
        <w:t xml:space="preserve"/>
      </w:r>
    </w:p>
    <w:p>
      <w:pPr>
        <w:spacing w:after="140" w:before="280"/>
        <w:jc w:val="center"/>
      </w:pPr>
      <w:r>
        <w:rPr>
          <w:b/>
          <w:bCs/>
        </w:rPr>
        <w:t xml:space="preserve">POINT II</w:t>
      </w:r>
    </w:p>
    <w:p>
      <w:pPr>
        <w:spacing w:after="140" w:before="280"/>
        <w:jc w:val="center"/>
      </w:pPr>
      <w:r>
        <w:rPr>
          <w:b/>
          <w:bCs/>
        </w:rPr>
        <w:t xml:space="preserve">THE SECOND CAUSE OF ACTION FOR ACCOUNT STATED IS ADEQUATELY PLEADED AND MUST SURVIVE</w:t>
      </w:r>
    </w:p>
    <w:p>
      <w:pPr>
        <w:spacing w:after="120"/>
      </w:pPr>
      <w:r>
        <w:t xml:space="preserve"/>
      </w:r>
    </w:p>
    <w:p>
      <w:pPr>
        <w:spacing w:after="180"/>
        <w:ind w:firstLine="720"/>
        <w:jc w:val="both"/>
      </w:pPr>
      <w:r>
        <w:t xml:space="preserve">The Second Cause of Action alleges that Marine rendered statements of account to each of the defendants, that those statements were received without challenge or objection within a reasonable time, and that a balance of $361,080.00 is due and owing.  Defendant argues that an account stated cannot create liability where none otherwise exists, relying on M. Paladino, Inc. v. J. Lucchese &amp; Son Contr. Corp., 247 A.D.2d 515 (2d Dep't 1998), Simplex Grinnell v. Ultimate Realty, LLC, 38 A.D.3d 600 (2d Dep't 2007), and TV Tech Mgrs., Inc. v. Cohen, 227 A.D.3d 838 (2d Dep't 2024).</w:t>
      </w:r>
    </w:p>
    <w:p>
      <w:pPr>
        <w:spacing w:after="180"/>
        <w:ind w:firstLine="720"/>
        <w:jc w:val="both"/>
      </w:pPr>
      <w:r>
        <w:t xml:space="preserve">Defendant's argument is premature.  Whether statements of account were in fact sent to and received by 402 Avenue T LLC, and whether the Owner objected to those statements, are factual questions.  The Complaint alleges that statements were rendered to each defendant without challenge (Complaint ¶¶ 19-20).  Defendant has not submitted a single affidavit from anyone at 402 Avenue T LLC with personal knowledge attesting that the Owner never received Marine's invoices or that it timely objected to any account rendered.  The Owner's principals — Joseph Gabbay and anyone else with actual knowledge of the Owner's finances and communications — are conspicuously absent from the motion papers.  Their silence is telling.</w:t>
      </w:r>
    </w:p>
    <w:p>
      <w:pPr>
        <w:spacing w:after="180"/>
        <w:ind w:firstLine="720"/>
        <w:jc w:val="both"/>
      </w:pPr>
      <w:r>
        <w:t xml:space="preserve">Moreover, to the extent Marine's quasi-contract claims survive (as argued below), there is a predicate obligation running from the Owner to Marine that can support an account stated.  The cases Defendant cites stand for the proposition that account stated cannot create an obligation from thin air — but they do not hold that a well-pleaded allegation of a predicate obligation must be dismissed before the facts have been developed.  Marine's Complaint adequately alleges both the predicate obligation and the account stated; it must be permitted to proceed.</w:t>
      </w:r>
    </w:p>
    <w:p>
      <w:pPr>
        <w:spacing w:after="120"/>
      </w:pPr>
      <w:r>
        <w:t xml:space="preserve"/>
      </w:r>
    </w:p>
    <w:p>
      <w:pPr>
        <w:spacing w:after="140" w:before="280"/>
        <w:jc w:val="center"/>
      </w:pPr>
      <w:r>
        <w:rPr>
          <w:b/>
          <w:bCs/>
        </w:rPr>
        <w:t xml:space="preserve">POINT III</w:t>
      </w:r>
    </w:p>
    <w:p>
      <w:pPr>
        <w:spacing w:after="140" w:before="280"/>
        <w:jc w:val="center"/>
      </w:pPr>
      <w:r>
        <w:rPr>
          <w:b/>
          <w:bCs/>
        </w:rPr>
        <w:t xml:space="preserve">THE FOURTH AND FIFTH CAUSES OF ACTION FOR QUANTUM MERUIT AND UNJUST ENRICHMENT ARE ADEQUATELY PLEADED AND MUST SURVIVE BECAUSE THE COMPLAINT ALLEGES DIRECT OWNER AUTHORIZATION, CONSENT, AND BENEFIT</w:t>
      </w:r>
    </w:p>
    <w:p>
      <w:pPr>
        <w:spacing w:after="120"/>
      </w:pPr>
      <w:r>
        <w:t xml:space="preserve"/>
      </w:r>
    </w:p>
    <w:p>
      <w:pPr>
        <w:spacing w:after="100" w:before="160"/>
        <w:jc w:val="left"/>
      </w:pPr>
      <w:r>
        <w:rPr>
          <w:b/>
          <w:bCs/>
          <w:u w:val="single"/>
        </w:rPr>
        <w:t xml:space="preserve">A.	The Pleading Standard for Quasi-Contract Against an Owner Is Met Where Owner Authorization and Direct Benefit Are Alleged</w:t>
      </w:r>
    </w:p>
    <w:p>
      <w:pPr>
        <w:spacing w:after="120"/>
      </w:pPr>
      <w:r>
        <w:t xml:space="preserve"/>
      </w:r>
    </w:p>
    <w:p>
      <w:pPr>
        <w:spacing w:after="180"/>
        <w:ind w:firstLine="720"/>
        <w:jc w:val="both"/>
      </w:pPr>
      <w:r>
        <w:t xml:space="preserve">Defendant correctly states the general rule that a property owner who hires a general contractor does not automatically become liable to a subcontractor in quasi-contract merely because the owner consented to the construction and benefited from it.  Perma Pave Contracting Corp. v. Paerdegat Boat &amp; Racquet Club, Inc., 156 A.D.2d 550, 551 (2d Dep't 1989).  The rule further provides that a subcontractor must show it was "working for" the owner when it performed its work.  Sears Ready Mix, Ltd. v. Lighthouse Mar., Inc., 127 A.D.3d 845, 846 (2d Dep't 2015); TV Tech Mgrs., Inc. v. Cohen, 227 A.D.3d 838, 841 (2d Dep't 2024) (services performed at behest of someone other than defendant require recovery from that other party).</w:t>
      </w:r>
    </w:p>
    <w:p>
      <w:pPr>
        <w:spacing w:after="180"/>
        <w:ind w:firstLine="720"/>
        <w:jc w:val="both"/>
      </w:pPr>
      <w:r>
        <w:t xml:space="preserve">Marine acknowledges these principles.  However, the cases articulating this rule were decided on summary judgment or after trial, not on pre-answer motions to dismiss.  On a CPLR 3211(a)(7) motion, the Court must accept the pleaded allegations as true and afford the plaintiff every favorable inference.  Marine's Complaint does not merely allege that the Owner consented to construction and benefited from it.  It alleges that (1) JAT acted "with the knowledge, consent and/or authority" of 402 Avenue T LLC (Complaint ¶ 11); (2) "JAT operated with the full knowledge, consent, permission, authorization and authority of 402 AVENUE T LLC for all matters regarding the construction project" (Complaint ¶ 26); (3) "Defendants accepted and benefited from plaintiff's work" (Complaint ¶ 26); and (4) both defendants were unjustly enriched in the sum of $361,080.00 (Complaint ¶¶ 29, 34).</w:t>
      </w:r>
    </w:p>
    <w:p>
      <w:pPr>
        <w:spacing w:after="180"/>
        <w:ind w:firstLine="720"/>
        <w:jc w:val="both"/>
      </w:pPr>
      <w:r>
        <w:t xml:space="preserve">These allegations, accepted as true, go beyond mere background ownership.  They allege that the Owner actively authorized and controlled JAT's actions in engaging Marine, that the Owner's agent (JAT) acted with the Owner's express permission, and that the Owner received the direct, irreversible benefit of Marine's work.  At the pleading stage, these allegations are sufficient to state a claim.</w:t>
      </w:r>
    </w:p>
    <w:p>
      <w:pPr>
        <w:spacing w:after="100" w:before="160"/>
        <w:jc w:val="left"/>
      </w:pPr>
      <w:r>
        <w:rPr>
          <w:b/>
          <w:bCs/>
          <w:u w:val="single"/>
        </w:rPr>
        <w:t xml:space="preserve">B.	The Nature of Marine's Work — Physically Embedded in the Owner's Property — Distinguishes This Case</w:t>
      </w:r>
    </w:p>
    <w:p>
      <w:pPr>
        <w:spacing w:after="120"/>
      </w:pPr>
      <w:r>
        <w:t xml:space="preserve"/>
      </w:r>
    </w:p>
    <w:p>
      <w:pPr>
        <w:spacing w:after="180"/>
        <w:ind w:firstLine="720"/>
        <w:jc w:val="both"/>
      </w:pPr>
      <w:r>
        <w:t xml:space="preserve">Unlike services that could theoretically be unwound or contractors that could be replaced without permanent benefit to the owner, Marine's work is literally, physically, and permanently embedded in the Owner's property.  Marine drove piles — steel or concrete elements driven into the ground that now serve as the structural foundation of the building.  Marine performed shoring operations that protected neighboring properties during construction.  Marine applied foundation waterproofing that will protect the Owner's basement and foundation for decades.</w:t>
      </w:r>
    </w:p>
    <w:p>
      <w:pPr>
        <w:spacing w:after="180"/>
        <w:ind w:firstLine="720"/>
        <w:jc w:val="both"/>
      </w:pPr>
      <w:r>
        <w:t xml:space="preserve">There is no scenario in which the Owner does not benefit permanently from Marine's work.  The piles cannot be removed.  The shoring enabled the excavation that created the building's footprint.  The waterproofing is applied to the exterior foundation walls.  This is not a case where the owner can disclaim the benefit of the subcontractor's services.  The Owner's property is literally built on Marine's work, and the Owner will benefit from that work for as long as the building stands.</w:t>
      </w:r>
    </w:p>
    <w:p>
      <w:pPr>
        <w:spacing w:after="180"/>
        <w:ind w:firstLine="720"/>
        <w:jc w:val="both"/>
      </w:pPr>
      <w:r>
        <w:t xml:space="preserve">In cases where the owner has received an incontrovertible, direct, and permanent benefit from a subcontractor's work, courts have recognized that equity may require recovery.  The general rule shielding owners from subcontractor quasi-contract claims is a default rule, not an absolute one.  It protects owners who had no dealings with the subcontractor and who would otherwise face indeterminate liability for work they never contracted for.  That concern does not apply with equal force where, as here, the owner was fully aware of and authorized the subcontractor's presence on the site, the subcontractor's work was essential to the project, and the benefit to the owner is permanent and irreversible.</w:t>
      </w:r>
    </w:p>
    <w:p>
      <w:pPr>
        <w:spacing w:after="100" w:before="160"/>
        <w:jc w:val="left"/>
      </w:pPr>
      <w:r>
        <w:rPr>
          <w:b/>
          <w:bCs/>
          <w:u w:val="single"/>
        </w:rPr>
        <w:t xml:space="preserve">C.	The Brown Bros. Exception Is Applicable on These Facts</w:t>
      </w:r>
    </w:p>
    <w:p>
      <w:pPr>
        <w:spacing w:after="120"/>
      </w:pPr>
      <w:r>
        <w:t xml:space="preserve"/>
      </w:r>
    </w:p>
    <w:p>
      <w:pPr>
        <w:spacing w:after="180"/>
        <w:ind w:firstLine="720"/>
        <w:jc w:val="both"/>
      </w:pPr>
      <w:r>
        <w:t xml:space="preserve">In Brown Bros. Elec. Contrs., Inc. v. Beam Constr. Corp., 41 N.Y.2d 397 (1977), the Court of Appeals recognized that an owner may be directly liable to a subcontractor where the owner has sufficiently manifested an intent to assume the subcontractor's payment obligation or has dealt with the subcontractor in a manner that creates a direct obligation.  Defendant argues that Marine has not pleaded sufficient facts to come within Brown Bros., pointing to the absence of allegations of direct communications between Marine and the Owner.</w:t>
      </w:r>
    </w:p>
    <w:p>
      <w:pPr>
        <w:spacing w:after="180"/>
        <w:ind w:firstLine="720"/>
        <w:jc w:val="both"/>
      </w:pPr>
      <w:r>
        <w:t xml:space="preserve">However, Brown Bros. does not establish a requirement of direct owner-subcontractor communications as a prerequisite to quasi-contract liability.  It establishes a spectrum: at one end, the standard owner-GC relationship with no special circumstances; at the other end, direct owner involvement sufficient to create a direct obligation.  The facts here, as pleaded — full authorization by the Owner of JAT's subcontracting, direct benefit of a permanent character, and the Owner's active knowledge of Marine's presence and work — place this case closer to the Brown Bros. end of the spectrum than the ordinary case.  Whether these facts, when proven, will sustain recovery is a question for trial.  At the pleading stage, the allegations are sufficient.</w:t>
      </w:r>
    </w:p>
    <w:p>
      <w:pPr>
        <w:spacing w:after="120"/>
      </w:pPr>
      <w:r>
        <w:t xml:space="preserve"/>
      </w:r>
    </w:p>
    <w:p>
      <w:pPr>
        <w:spacing w:after="140" w:before="280"/>
        <w:jc w:val="center"/>
      </w:pPr>
      <w:r>
        <w:rPr>
          <w:b/>
          <w:bCs/>
        </w:rPr>
        <w:t xml:space="preserve">POINT IV</w:t>
      </w:r>
    </w:p>
    <w:p>
      <w:pPr>
        <w:spacing w:after="140" w:before="280"/>
        <w:jc w:val="center"/>
      </w:pPr>
      <w:r>
        <w:rPr>
          <w:b/>
          <w:bCs/>
        </w:rPr>
        <w:t xml:space="preserve">THE NOTICE OF PENDENCY MUST BE MAINTAINED BECAUSE THE LIEN FORECLOSURE CLAIM SURVIVES AND CANCELLATION WOULD BE PREMATURE AND PREJUDICIAL</w:t>
      </w:r>
    </w:p>
    <w:p>
      <w:pPr>
        <w:spacing w:after="120"/>
      </w:pPr>
      <w:r>
        <w:t xml:space="preserve"/>
      </w:r>
    </w:p>
    <w:p>
      <w:pPr>
        <w:spacing w:after="180"/>
        <w:ind w:firstLine="720"/>
        <w:jc w:val="both"/>
      </w:pPr>
      <w:r>
        <w:t xml:space="preserve">CPLR 6514 authorizes the court to cancel a notice of pendency in certain circumstances, including where the underlying action no longer affects real property.  Because Marine's First Cause of Action to foreclose its mechanic's lien must survive this motion, the notice of pendency must also be maintained.  The notice of pendency is directly ancillary to the lien foreclosure claim and serves the critical function of putting potential purchasers and encumbrancers on notice of Marine's claim against the property.  Premature cancellation would irreparably prejudice Marine's ability to enforce any judgment it obtains.</w:t>
      </w:r>
    </w:p>
    <w:p>
      <w:pPr>
        <w:spacing w:after="180"/>
        <w:ind w:firstLine="720"/>
        <w:jc w:val="both"/>
      </w:pPr>
      <w:r>
        <w:t xml:space="preserve">Defendant also notes in passing certain unspecified "defects within the notice itself, including the erroneous reference to the lien year."  Notably, Defendant expressly declines to pursue this argument, acknowledging that the motion does not depend on such technical irregularities.  This concession is proper — any technical defect in the notice of pendency would be subject to amendment and would not warrant cancellation absent prejudice to the defendant.  The Court should decline to cancel the notice of pendency.</w:t>
      </w:r>
    </w:p>
    <w:p>
      <w:pPr>
        <w:spacing w:after="120"/>
      </w:pPr>
      <w:r>
        <w:t xml:space="preserve"/>
      </w:r>
    </w:p>
    <w:p>
      <w:pPr>
        <w:spacing w:after="140" w:before="280"/>
        <w:jc w:val="center"/>
      </w:pPr>
      <w:r>
        <w:rPr>
          <w:b/>
          <w:bCs/>
        </w:rPr>
        <w:t xml:space="preserve">POINT V</w:t>
      </w:r>
    </w:p>
    <w:p>
      <w:pPr>
        <w:spacing w:after="140" w:before="280"/>
        <w:jc w:val="center"/>
      </w:pPr>
      <w:r>
        <w:rPr>
          <w:b/>
          <w:bCs/>
        </w:rPr>
        <w:t xml:space="preserve">IF THIS COURT ELECTS TO CONVERT THE MOTION TO ONE FOR SUMMARY JUDGMENT UNDER CPLR 3211(c), MARINE MUST BE AFFORDED DISCOVERY BEFORE ANY DETERMINATION IS MADE</w:t>
      </w:r>
    </w:p>
    <w:p>
      <w:pPr>
        <w:spacing w:after="120"/>
      </w:pPr>
      <w:r>
        <w:t xml:space="preserve"/>
      </w:r>
    </w:p>
    <w:p>
      <w:pPr>
        <w:spacing w:after="180"/>
        <w:ind w:firstLine="720"/>
        <w:jc w:val="both"/>
      </w:pPr>
      <w:r>
        <w:t xml:space="preserve">Defendant alternatively requests that the Court treat its motion as one for summary judgment under CPLR 3211(c), citing the substantial documentary record it has submitted.  If the Court elects to do so, Marine respectfully requests that it be afforded a full and fair opportunity to conduct discovery before any summary judgment determination, pursuant to CPLR 3212(f), as there are genuine factual issues that are peculiarly within the knowledge and control of Defendant and its co-defendant.</w:t>
      </w:r>
    </w:p>
    <w:p>
      <w:pPr>
        <w:spacing w:after="180"/>
        <w:ind w:firstLine="720"/>
        <w:jc w:val="both"/>
      </w:pPr>
      <w:r>
        <w:t xml:space="preserve">Summary judgment is not appropriate where the movant's own documents raise triable issues of fact.  Here, Defendant's Exhibit 5 — the AIA G702 Application for Payment signed by John Longardo — directly contradicts the Longardo Declaration's assertion that JAT was fully paid.  The Court cannot resolve this conflict on a cold record without affording Marine the opportunity to: depose John Longardo about the payment history and the circumstances of his declaration; review the complete financial records of JAT for the project; examine all communications between the Owner and JAT from September 2025 through the filing of this motion; and explore any agreement between the Owner and JAT relating to the waiver contained in the Longardo Declaration.</w:t>
      </w:r>
    </w:p>
    <w:p>
      <w:pPr>
        <w:spacing w:after="180"/>
        <w:ind w:firstLine="720"/>
        <w:jc w:val="both"/>
      </w:pPr>
      <w:r>
        <w:t xml:space="preserve">The waiver provision in the Longardo Declaration — in which JAT's president purports to relinquish all payment claims against the Owner in connection with a litigation-driven declaration — is the kind of arrangement that courts should examine closely before giving it dispositive weight.  If any consideration, direct or indirect, was exchanged for that waiver, that arrangement is directly relevant to the credibility and reliability of the declaration.  Marine cannot adequately oppose summary judgment without discovery into these matters.  CPLR 3212(f) exists precisely for this situation.</w:t>
      </w:r>
    </w:p>
    <w:p>
      <w:pPr>
        <w:spacing w:after="120"/>
      </w:pPr>
      <w:r>
        <w:t xml:space="preserve"/>
      </w:r>
    </w:p>
    <w:p>
      <w:pPr>
        <w:spacing w:after="120" w:before="240"/>
        <w:jc w:val="center"/>
      </w:pPr>
      <w:r>
        <w:rPr>
          <w:b/>
          <w:bCs/>
          <w:u w:val="single"/>
        </w:rPr>
        <w:t xml:space="preserve">CONCLUSION</w:t>
      </w:r>
    </w:p>
    <w:p>
      <w:pPr>
        <w:spacing w:after="120"/>
      </w:pPr>
      <w:r>
        <w:t xml:space="preserve"/>
      </w:r>
    </w:p>
    <w:p>
      <w:pPr>
        <w:spacing w:after="180"/>
        <w:ind w:firstLine="720"/>
        <w:jc w:val="both"/>
      </w:pPr>
      <w:r>
        <w:t xml:space="preserve">For the foregoing reasons, Plaintiff Marine Bulkheading, Inc. respectfully requests that this Court deny Defendant 402 Avenue T LLC's motion to dismiss in its entirety.</w:t>
      </w:r>
    </w:p>
    <w:p>
      <w:pPr>
        <w:spacing w:after="180"/>
        <w:ind w:firstLine="720"/>
        <w:jc w:val="both"/>
      </w:pPr>
      <w:r>
        <w:t xml:space="preserve">The Longardo Declaration — the cornerstone of the motion — is internally contradicted by the AIA G702 Payment Application that the moving party itself submitted, executed by Longardo under oath approximately eleven weeks before Marine filed its lien, reflecting $176,442.66 currently due and owing from the Owner to JAT and over $3,000,000 in remaining contract balance.  The termination letter says nothing about payment status.  The November wire is designated for "Steel" and was not a general contract payment.  JAT's account was empty when it tried to pay Marine.  And the Longardo Declaration contains an embedded waiver of unknown consideration executed specifically for purposes of this litigation.</w:t>
      </w:r>
    </w:p>
    <w:p>
      <w:pPr>
        <w:spacing w:after="180"/>
        <w:ind w:firstLine="720"/>
        <w:jc w:val="both"/>
      </w:pPr>
      <w:r>
        <w:t xml:space="preserve">None of this constitutes the kind of unambiguous, authentic, indisputable documentary proof that "utterly refutes" Marine's claims and "conclusively establishes" a defense.  The motion should be denied.  Marine's claims should proceed to discovery and trial, where the truth of the payment history between 402 Avenue T LLC and JAT Construction Group Inc. can be tested under oath.</w:t>
      </w:r>
    </w:p>
    <w:p>
      <w:pPr>
        <w:spacing w:after="120"/>
      </w:pPr>
      <w:r>
        <w:t xml:space="preserve"/>
      </w:r>
    </w:p>
    <w:p>
      <w:pPr>
        <w:spacing w:after="120"/>
      </w:pPr>
      <w:r>
        <w:t xml:space="preserve"/>
      </w:r>
    </w:p>
    <w:p>
      <w:pPr>
        <w:spacing w:after="180"/>
        <w:jc w:val="left"/>
      </w:pPr>
      <w:r>
        <w:t xml:space="preserve">Dated: Commack, New York</w:t>
      </w:r>
    </w:p>
    <w:p>
      <w:pPr>
        <w:spacing w:after="180"/>
        <w:jc w:val="left"/>
      </w:pPr>
      <w:r>
        <w:t xml:space="preserve">April 10, 2026</w:t>
      </w:r>
    </w:p>
    <w:p>
      <w:pPr>
        <w:spacing w:after="120"/>
      </w:pPr>
      <w:r>
        <w:t xml:space="preserve"/>
      </w:r>
    </w:p>
    <w:p>
      <w:pPr>
        <w:spacing w:after="120"/>
      </w:pPr>
      <w:r>
        <w:t xml:space="preserve"/>
      </w:r>
    </w:p>
    <w:p>
      <w:pPr>
        <w:spacing w:after="180"/>
        <w:jc w:val="left"/>
      </w:pPr>
      <w:r>
        <w:rPr>
          <w:b/>
          <w:bCs/>
        </w:rPr>
        <w:t xml:space="preserve">_________________________________</w:t>
      </w:r>
    </w:p>
    <w:p>
      <w:pPr>
        <w:spacing w:after="180"/>
        <w:jc w:val="left"/>
      </w:pPr>
      <w:r>
        <w:rPr>
          <w:b/>
          <w:bCs/>
        </w:rPr>
        <w:t xml:space="preserve">John N. Cuomo, Esq.</w:t>
      </w:r>
    </w:p>
    <w:p>
      <w:pPr>
        <w:spacing w:after="180"/>
        <w:jc w:val="left"/>
      </w:pPr>
      <w:r>
        <w:t xml:space="preserve">Attorney for Plaintiff Marine Bulkheading, Inc.</w:t>
      </w:r>
    </w:p>
    <w:p>
      <w:pPr>
        <w:spacing w:after="180"/>
        <w:jc w:val="left"/>
      </w:pPr>
      <w:r>
        <w:t xml:space="preserve">11 Fern Drive</w:t>
      </w:r>
    </w:p>
    <w:p>
      <w:pPr>
        <w:spacing w:after="180"/>
        <w:jc w:val="left"/>
      </w:pPr>
      <w:r>
        <w:t xml:space="preserve">Commack, New York 11725</w:t>
      </w:r>
    </w:p>
    <w:p>
      <w:pPr>
        <w:spacing w:after="180"/>
        <w:jc w:val="left"/>
      </w:pPr>
      <w:r>
        <w:t xml:space="preserve">(631) 403-0515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2026-04-11T00:27:14.310Z</dcterms:created>
  <dcterms:modified xsi:type="dcterms:W3CDTF">2026-04-11T00:27:14.311Z</dcterms:modified>
</cp:coreProperties>
</file>

<file path=docProps/custom.xml><?xml version="1.0" encoding="utf-8"?>
<Properties xmlns="http://schemas.openxmlformats.org/officeDocument/2006/custom-properties" xmlns:vt="http://schemas.openxmlformats.org/officeDocument/2006/docPropsVTypes"/>
</file>