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1B5" w:rsidRPr="00C77ED1" w:rsidRDefault="000E52DC">
      <w:pPr>
        <w:pStyle w:val="Heading1"/>
        <w:rPr>
          <w:color w:val="auto"/>
        </w:rPr>
      </w:pPr>
      <w:r w:rsidRPr="00C77ED1">
        <w:rPr>
          <w:color w:val="auto"/>
        </w:rPr>
        <w:t>SUPREME COURT OF THE STATE OF NEW YORK</w:t>
      </w:r>
    </w:p>
    <w:p w:rsidR="007421B5" w:rsidRPr="00C77ED1" w:rsidRDefault="000E52DC">
      <w:pPr>
        <w:pStyle w:val="Heading1"/>
        <w:rPr>
          <w:color w:val="auto"/>
        </w:rPr>
      </w:pPr>
      <w:r w:rsidRPr="00C77ED1">
        <w:rPr>
          <w:color w:val="auto"/>
        </w:rPr>
        <w:t>COUNTY OF KINGS</w:t>
      </w:r>
    </w:p>
    <w:p w:rsidR="007421B5" w:rsidRPr="00C77ED1" w:rsidRDefault="000E52DC">
      <w:r w:rsidRPr="00C77ED1">
        <w:t>MARINE BULKHEADING, INC., Plaintiff,</w:t>
      </w:r>
      <w:r w:rsidRPr="00C77ED1">
        <w:br/>
        <w:t>-against-</w:t>
      </w:r>
      <w:r w:rsidRPr="00C77ED1">
        <w:br/>
        <w:t>JAT CONSTRUCTION GROUP INC. and 402 AVENUE T LLC, Defendants.</w:t>
      </w:r>
      <w:r w:rsidRPr="00C77ED1">
        <w:br/>
        <w:t>Index No.: 500420/2026</w:t>
      </w:r>
      <w:r w:rsidRPr="00C77ED1">
        <w:br/>
      </w:r>
    </w:p>
    <w:p w:rsidR="007421B5" w:rsidRPr="00C77ED1" w:rsidRDefault="000E52DC">
      <w:pPr>
        <w:pStyle w:val="Heading1"/>
        <w:rPr>
          <w:color w:val="auto"/>
        </w:rPr>
      </w:pPr>
      <w:r w:rsidRPr="00C77ED1">
        <w:rPr>
          <w:color w:val="auto"/>
        </w:rPr>
        <w:t>AFFIRMATION IN OPPOSITION AND MEMORANDUM OF LAW</w:t>
      </w:r>
    </w:p>
    <w:p w:rsidR="007421B5" w:rsidRPr="00C77ED1" w:rsidRDefault="000E52DC" w:rsidP="00C77ED1">
      <w:pPr>
        <w:pStyle w:val="Heading2"/>
        <w:spacing w:before="0" w:line="480" w:lineRule="auto"/>
        <w:ind w:firstLine="360"/>
        <w:rPr>
          <w:color w:val="auto"/>
        </w:rPr>
      </w:pPr>
      <w:r w:rsidRPr="00C77ED1">
        <w:rPr>
          <w:color w:val="auto"/>
        </w:rPr>
        <w:t xml:space="preserve">PRELIMINARY </w:t>
      </w:r>
      <w:r w:rsidRPr="00C77ED1">
        <w:rPr>
          <w:color w:val="auto"/>
        </w:rPr>
        <w:t>STATEMENT</w:t>
      </w:r>
    </w:p>
    <w:p w:rsidR="007421B5" w:rsidRPr="00C77ED1" w:rsidRDefault="000E52DC" w:rsidP="00C77ED1">
      <w:pPr>
        <w:pStyle w:val="ListParagraph"/>
        <w:numPr>
          <w:ilvl w:val="0"/>
          <w:numId w:val="10"/>
        </w:numPr>
        <w:spacing w:after="0" w:line="480" w:lineRule="auto"/>
        <w:ind w:left="0" w:firstLine="360"/>
      </w:pPr>
      <w:r w:rsidRPr="00C77ED1">
        <w:t>Defendant’s motion is a transparent attempt to short-circuit a fact-intensive construction dispute at the pleading stage. It relies on self-serving affidavits, incomplete financial assertions, and a misstatement of New York lien law. The Complain</w:t>
      </w:r>
      <w:r w:rsidRPr="00C77ED1">
        <w:t>t pleads detailed facts supporting a mechanic’s lien foreclosure, account stated, and quasi-contract claims. None are conclusively refuted by documentary e</w:t>
      </w:r>
      <w:bookmarkStart w:id="0" w:name="_GoBack"/>
      <w:bookmarkEnd w:id="0"/>
      <w:r w:rsidRPr="00C77ED1">
        <w:t>vidence. Instead, Defendant improperly asks this Court to weigh credibility, resolve factual disputes</w:t>
      </w:r>
      <w:r w:rsidRPr="00C77ED1">
        <w:t>, and draw inferences in its favor—each of which is impermissible on a CPLR 3211 motion. Further, Defendant’s position ignores controlling Second Department authority and improperly seeks to shift the burden to Plaintiff at the pleading stage. This Court s</w:t>
      </w:r>
      <w:r w:rsidRPr="00C77ED1">
        <w:t>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is a transparent attempt to short-circuit a fact-intensive construction dispute at the pleading stage. It relies on se</w:t>
      </w:r>
      <w:r w:rsidRPr="00C77ED1">
        <w:t>lf-serving affidavits, incomplete financial assertions, and a misstatement of New York lien law. The Complaint pleads detailed facts supporting a mechanic’s lien foreclosure, account stated, and quasi-contract claims. None are conclusively refuted by docum</w:t>
      </w:r>
      <w:r w:rsidRPr="00C77ED1">
        <w:t xml:space="preserve">entary evidence. Instead, Defendant </w:t>
      </w:r>
      <w:r w:rsidRPr="00C77ED1">
        <w:lastRenderedPageBreak/>
        <w:t>improperly asks this Court to weigh credibility, resolve factual disputes, and draw inferences in its favor—each of which is impermissible on a CPLR 3211 motion. Further, Defendant’s position ignores controlling Second D</w:t>
      </w:r>
      <w:r w:rsidRPr="00C77ED1">
        <w:t>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is a tran</w:t>
      </w:r>
      <w:r w:rsidRPr="00C77ED1">
        <w:t>sparent attempt to short-circuit a fact-intensive construction dispute at the pleading stage. It relies on self-serving affidavits, incomplete financial assertions, and a misstatement of New York lien law. The Complaint pleads detailed facts supporting a m</w:t>
      </w:r>
      <w:r w:rsidRPr="00C77ED1">
        <w:t>echanic’s lien foreclosure, account stated, and quasi-contract claims. None are conclusively refuted by documentary evidence. Instead, Defendant improperly asks this Court to weigh credibility, resolve factual disputes, and draw inferences in its favor—eac</w:t>
      </w:r>
      <w:r w:rsidRPr="00C77ED1">
        <w:t>h of which is impermissible on a CPLR 3211 motion. Further, Defendant’s position ignores controlling Second Department authority and improperly seeks to shift the burden to Plaintiff at the pleading stage. This Court should reject such efforts and permit t</w:t>
      </w:r>
      <w:r w:rsidRPr="00C77ED1">
        <w: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is a transparent attempt to short-circuit a fact-intensive construction dispute at the pleading stage. It relies on self-serving affidavits, incomplete fina</w:t>
      </w:r>
      <w:r w:rsidRPr="00C77ED1">
        <w:t>ncial assertions, and a misstatement of New York lien law. The Complaint pleads detailed facts supporting a mechanic’s lien foreclosure, account stated, and quasi-contract claims. None are conclusively refuted by documentary evidence. Instead, Defendant im</w:t>
      </w:r>
      <w:r w:rsidRPr="00C77ED1">
        <w:t xml:space="preserve">properly asks this Court to weigh credibility, resolve factual disputes, and draw inferences in its favor—each of which is impermissible on a CPLR 3211 motion. Further, Defendant’s position ignores controlling Second Department authority and improperly </w:t>
      </w:r>
      <w:r w:rsidRPr="00C77ED1">
        <w:lastRenderedPageBreak/>
        <w:t>see</w:t>
      </w:r>
      <w:r w:rsidRPr="00C77ED1">
        <w:t>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is a transparent attempt to short-circuit a fac</w:t>
      </w:r>
      <w:r w:rsidRPr="00C77ED1">
        <w:t>t-intensive construction dispute at the pleading stage. It relies on self-serving affidavits, incomplete financial assertions, and a misstatement of New York lien law. The Complaint pleads detailed facts supporting a mechanic’s lien foreclosure, account st</w:t>
      </w:r>
      <w:r w:rsidRPr="00C77ED1">
        <w:t xml:space="preserve">ated, and quasi-contract claims. None are conclusively refuted by documentary evidence. Instead, Defendant improperly asks this Court to weigh credibility, resolve factual disputes, and draw inferences in its favor—each of which is impermissible on a CPLR </w:t>
      </w:r>
      <w:r w:rsidRPr="00C77ED1">
        <w:t xml:space="preserve">3211 motion. Further, Defendant’s position ignores controlling Second Department authority and improperly seeks to shift the burden to Plaintiff at the pleading stage. This Court should reject such efforts and permit the case to proceed to discovery where </w:t>
      </w:r>
      <w:r w:rsidRPr="00C77ED1">
        <w:t>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is a transparent attempt to short-circuit a fact-intensive construction dispute at the pleading stage. It relies on self-serving affidavits, incomplete financial assertions, and a misstatement o</w:t>
      </w:r>
      <w:r w:rsidRPr="00C77ED1">
        <w:t>f New York lien law. The Complaint pleads detailed facts supporting a mechanic’s lien foreclosure, account stated, and quasi-contract claims. None are conclusively refuted by documentary evidence. Instead, Defendant improperly asks this Court to weigh cred</w:t>
      </w:r>
      <w:r w:rsidRPr="00C77ED1">
        <w:t>ibility, resolve factual disputes, and draw inferences in its favor—each of which is impermissible on a CPLR 3211 motion. Further, Defendant’s position ignores controlling Second Department authority and improperly seeks to shift the burden to Plaintiff at</w:t>
      </w:r>
      <w:r w:rsidRPr="00C77ED1">
        <w:t xml:space="preserve">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Defendant’s motion is a transparent attempt to short-circuit a fact-intensive construction dispute at th</w:t>
      </w:r>
      <w:r w:rsidRPr="00C77ED1">
        <w:t xml:space="preserve">e pleading stage. It relies on self-serving affidavits, incomplete financial assertions, and a misstatement of New York lien law. The Complaint pleads detailed facts supporting a mechanic’s lien foreclosure, account stated, and quasi-contract claims. None </w:t>
      </w:r>
      <w:r w:rsidRPr="00C77ED1">
        <w:t>are conclusively refuted by documentary evidence. Instead, Defendant improperly asks this Court to weigh credibility, resolve factual disputes, and draw inferences in its favor—each of which is impermissible on a CPLR 3211 motion. Further, Defendant’s posi</w:t>
      </w:r>
      <w:r w:rsidRPr="00C77ED1">
        <w:t>tion ignores controlling Second Department authority and improperly seeks to shift the burden to Plaintiff at the pleading stage. This Court should reject such efforts and permit the case to proceed to discovery where the factual record can be fully develo</w:t>
      </w:r>
      <w:r w:rsidRPr="00C77ED1">
        <w:t>ped.</w:t>
      </w:r>
    </w:p>
    <w:p w:rsidR="007421B5" w:rsidRPr="00C77ED1" w:rsidRDefault="000E52DC" w:rsidP="00C77ED1">
      <w:pPr>
        <w:pStyle w:val="ListParagraph"/>
        <w:numPr>
          <w:ilvl w:val="0"/>
          <w:numId w:val="10"/>
        </w:numPr>
        <w:spacing w:after="0" w:line="480" w:lineRule="auto"/>
        <w:ind w:left="0" w:firstLine="360"/>
      </w:pPr>
      <w:r w:rsidRPr="00C77ED1">
        <w:t>Defendant’s motion is a transparent attempt to short-circuit a fact-intensive construction dispute at the pleading stage. It relies on self-serving affidavits, incomplete financial assertions, and a misstatement of New York lien law. The Complaint ple</w:t>
      </w:r>
      <w:r w:rsidRPr="00C77ED1">
        <w:t>ads detailed facts supporting a mechanic’s lien foreclosure, account stated, and quasi-contract claims. None are conclusively refuted by documentary evidence. Instead, Defendant improperly asks this Court to weigh credibility, resolve factual disputes, and</w:t>
      </w:r>
      <w:r w:rsidRPr="00C77ED1">
        <w:t xml:space="preserve"> draw inferences in its favor—each of which is impermissible on a CPLR 3211 motion. Further, Defendant’s position ignores controlling Second Department authority and improperly seeks to shift the burden to Plaintiff at the pleading stage. This Court should</w:t>
      </w:r>
      <w:r w:rsidRPr="00C77ED1">
        <w:t xml:space="preserve">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t>L</w:t>
      </w:r>
      <w:r w:rsidRPr="00C77ED1">
        <w:rPr>
          <w:color w:val="auto"/>
        </w:rPr>
        <w:t>EGAL STANDARD</w:t>
      </w:r>
    </w:p>
    <w:p w:rsidR="007421B5" w:rsidRPr="00C77ED1" w:rsidRDefault="000E52DC" w:rsidP="00C77ED1">
      <w:pPr>
        <w:pStyle w:val="ListParagraph"/>
        <w:numPr>
          <w:ilvl w:val="0"/>
          <w:numId w:val="10"/>
        </w:numPr>
        <w:spacing w:after="0" w:line="480" w:lineRule="auto"/>
        <w:ind w:left="0" w:firstLine="360"/>
      </w:pPr>
      <w:r w:rsidRPr="00C77ED1">
        <w:t>On a motion pursuant to CPLR 3211(a)(7), the Court must accept the facts alleged in the complaint as true, accord plaintiff the</w:t>
      </w:r>
      <w:r w:rsidRPr="00C77ED1">
        <w:t xml:space="preserve"> benefit of every possible favorable inference, and </w:t>
      </w:r>
      <w:r w:rsidRPr="00C77ED1">
        <w:lastRenderedPageBreak/>
        <w:t>determine only whether the facts fit within any cognizable legal theory (Leon v. Martinez, 84 N.Y.2d 83 [1994]). Under CPLR 3211(a)(1), dismissal is warranted only where documentary evidence utterly refut</w:t>
      </w:r>
      <w:r w:rsidRPr="00C77ED1">
        <w:t>es the allegations (Goshen v. Mutual Life Ins. Co., 98 N.Y.2d 314 [2002]). Affidavits and conclusory statements do not qualify as documentary evidence (Fontanetta v. Doe, 73 A.D.3d 78 [2d Dept 2010]). Further, Defendant’s position ignores controlling Secon</w:t>
      </w:r>
      <w:r w:rsidRPr="00C77ED1">
        <w:t>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On a motion pursuant to C</w:t>
      </w:r>
      <w:r w:rsidRPr="00C77ED1">
        <w:t>PLR 3211(a)(7), the Court must accept the facts alleged in the complaint as true, accord plaintiff the benefit of every possible favorable inference, and determine only whether the facts fit within any cognizable legal theory (Leon v. Martinez, 84 N.Y.2d 8</w:t>
      </w:r>
      <w:r w:rsidRPr="00C77ED1">
        <w:t>3 [1994]). Under CPLR 3211(a)(1), dismissal is warranted only where documentary evidence utterly refutes the allegations (Goshen v. Mutual Life Ins. Co., 98 N.Y.2d 314 [2002]). Affidavits and conclusory statements do not qualify as documentary evidence (Fo</w:t>
      </w:r>
      <w:r w:rsidRPr="00C77ED1">
        <w:t>ntanetta v. Doe, 73 A.D.3d 78 [2d Dept 2010]). Further, Defendant’s position ignores controlling Second Department authority and improperly seeks to shift the burden to Plaintiff at the pleading stage. This Court should reject such efforts and permit the c</w:t>
      </w:r>
      <w:r w:rsidRPr="00C77ED1">
        <w:t>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On a motion pursuant to CPLR 3211(a)(7), the Court must accept the facts alleged in the complaint as true, accord plaintiff the benefit of every possible favorable inference, and </w:t>
      </w:r>
      <w:r w:rsidRPr="00C77ED1">
        <w:t xml:space="preserve">determine only whether the facts fit within any cognizable legal theory (Leon v. Martinez, 84 N.Y.2d 83 [1994]). Under CPLR 3211(a)(1), dismissal is warranted only where documentary evidence utterly refutes the allegations (Goshen v. Mutual Life Ins. Co., </w:t>
      </w:r>
      <w:r w:rsidRPr="00C77ED1">
        <w:t xml:space="preserve">98 N.Y.2d 314 [2002]). Affidavits and conclusory statements do not qualify as documentary evidence (Fontanetta v. Doe, 73 A.D.3d 78 [2d Dept 2010]). Further, Defendant’s position </w:t>
      </w:r>
      <w:r w:rsidRPr="00C77ED1">
        <w:lastRenderedPageBreak/>
        <w:t>ignores controlling Second Department authority and improperly seeks to shift</w:t>
      </w:r>
      <w:r w:rsidRPr="00C77ED1">
        <w:t xml:space="preserve">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On a motion pursuant to CPLR 3211(a)(7), the Court must accept the facts alle</w:t>
      </w:r>
      <w:r w:rsidRPr="00C77ED1">
        <w:t>ged in the complaint as true, accord plaintiff the benefit of every possible favorable inference, and determine only whether the facts fit within any cognizable legal theory (Leon v. Martinez, 84 N.Y.2d 83 [1994]). Under CPLR 3211(a)(1), dismissal is warra</w:t>
      </w:r>
      <w:r w:rsidRPr="00C77ED1">
        <w:t>nted only where documentary evidence utterly refutes the allegations (Goshen v. Mutual Life Ins. Co., 98 N.Y.2d 314 [2002]). Affidavits and conclusory statements do not qualify as documentary evidence (Fontanetta v. Doe, 73 A.D.3d 78 [2d Dept 2010]). Furth</w:t>
      </w:r>
      <w:r w:rsidRPr="00C77ED1">
        <w:t>er, Defendant’s position ignores controlling Second Department authority and improperly seeks to shift the burden to Plaintiff at the pleading stage. This Court should reject such efforts and permit the case to proceed to discovery where the factual record</w:t>
      </w:r>
      <w:r w:rsidRPr="00C77ED1">
        <w:t xml:space="preserve"> can be fully developed.</w:t>
      </w:r>
    </w:p>
    <w:p w:rsidR="007421B5" w:rsidRPr="00C77ED1" w:rsidRDefault="000E52DC" w:rsidP="00C77ED1">
      <w:pPr>
        <w:pStyle w:val="ListParagraph"/>
        <w:numPr>
          <w:ilvl w:val="0"/>
          <w:numId w:val="10"/>
        </w:numPr>
        <w:spacing w:after="0" w:line="480" w:lineRule="auto"/>
        <w:ind w:left="0" w:firstLine="360"/>
      </w:pPr>
      <w:r w:rsidRPr="00C77ED1">
        <w:t>On a motion pursuant to CPLR 3211(a)(7), the Court must accept the facts alleged in the complaint as true, accord plaintiff the benefit of every possible favorable inference, and determine only whether the facts fit within any cogn</w:t>
      </w:r>
      <w:r w:rsidRPr="00C77ED1">
        <w:t>izable legal theory (Leon v. Martinez, 84 N.Y.2d 83 [1994]). Under CPLR 3211(a)(1), dismissal is warranted only where documentary evidence utterly refutes the allegations (Goshen v. Mutual Life Ins. Co., 98 N.Y.2d 314 [2002]). Affidavits and conclusory sta</w:t>
      </w:r>
      <w:r w:rsidRPr="00C77ED1">
        <w:t>tements do not qualify as documentary evidence (Fontanetta v. Doe, 73 A.D.3d 78 [2d Dept 2010]). Further, Defendant’s position ignores controlling Second Department authority and improperly seeks to shift the burden to Plaintiff at the pleading stage. This</w:t>
      </w:r>
      <w:r w:rsidRPr="00C77ED1">
        <w:t xml:space="preserve">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On a motion pursuant to CPLR 3211(a)(7), the Court must accept the facts alleged in the complaint as true, accord plaintiff the b</w:t>
      </w:r>
      <w:r w:rsidRPr="00C77ED1">
        <w:t xml:space="preserve">enefit of every possible favorable inference, and </w:t>
      </w:r>
      <w:r w:rsidRPr="00C77ED1">
        <w:lastRenderedPageBreak/>
        <w:t>determine only whether the facts fit within any cognizable legal theory (Leon v. Martinez, 84 N.Y.2d 83 [1994]). Under CPLR 3211(a)(1), dismissal is warranted only where documentary evidence utterly refutes</w:t>
      </w:r>
      <w:r w:rsidRPr="00C77ED1">
        <w:t xml:space="preserve"> the allegations (Goshen v. Mutual Life Ins. Co., 98 N.Y.2d 314 [2002]). Affidavits and conclusory statements do not qualify as documentary evidence (Fontanetta v. Doe, 73 A.D.3d 78 [2d Dept 2010]). Further, Defendant’s position ignores controlling Second </w:t>
      </w:r>
      <w:r w:rsidRPr="00C77ED1">
        <w:t>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On a motion pursuant to CPL</w:t>
      </w:r>
      <w:r w:rsidRPr="00C77ED1">
        <w:t xml:space="preserve">R 3211(a)(7), the Court must accept the facts alleged in the complaint as true, accord plaintiff the benefit of every possible favorable inference, and determine only whether the facts fit within any cognizable legal theory (Leon v. Martinez, 84 N.Y.2d 83 </w:t>
      </w:r>
      <w:r w:rsidRPr="00C77ED1">
        <w:t>[1994]). Under CPLR 3211(a)(1), dismissal is warranted only where documentary evidence utterly refutes the allegations (Goshen v. Mutual Life Ins. Co., 98 N.Y.2d 314 [2002]). Affidavits and conclusory statements do not qualify as documentary evidence (Font</w:t>
      </w:r>
      <w:r w:rsidRPr="00C77ED1">
        <w:t>anetta v. Doe, 73 A.D.3d 78 [2d Dept 2010]). Further, Defendant’s position ignores controlling Second Department authority and improperly seeks to shift the burden to Plaintiff at the pleading stage. This Court should reject such efforts and permit the cas</w:t>
      </w:r>
      <w:r w:rsidRPr="00C77ED1">
        <w:t>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On a motion pursuant to CPLR 3211(a)(7), the Court must accept the facts alleged in the complaint as true, accord plaintiff the benefit of every possible favorable inference, and de</w:t>
      </w:r>
      <w:r w:rsidRPr="00C77ED1">
        <w:t>termine only whether the facts fit within any cognizable legal theory (Leon v. Martinez, 84 N.Y.2d 83 [1994]). Under CPLR 3211(a)(1), dismissal is warranted only where documentary evidence utterly refutes the allegations (Goshen v. Mutual Life Ins. Co., 98</w:t>
      </w:r>
      <w:r w:rsidRPr="00C77ED1">
        <w:t xml:space="preserve"> N.Y.2d 314 [2002]). Affidavits and conclusory statements do not qualify as documentary evidence (Fontanetta v. Doe, 73 A.D.3d 78 [2d Dept 2010]). Further, Defendant’s position </w:t>
      </w:r>
      <w:r w:rsidRPr="00C77ED1">
        <w:lastRenderedPageBreak/>
        <w:t>ignores controlling Second Department authority and improperly seeks to shift t</w:t>
      </w:r>
      <w:r w:rsidRPr="00C77ED1">
        <w:t>he burden to Plaintiff at the pleading stage. This Court should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t>P</w:t>
      </w:r>
      <w:r w:rsidRPr="00C77ED1">
        <w:rPr>
          <w:color w:val="auto"/>
        </w:rPr>
        <w:t>OINT I – THE MECHANIC’S LIEN CLAIM IS PROPERLY PLED</w:t>
      </w:r>
    </w:p>
    <w:p w:rsidR="007421B5" w:rsidRPr="00C77ED1" w:rsidRDefault="000E52DC" w:rsidP="00C77ED1">
      <w:pPr>
        <w:pStyle w:val="ListParagraph"/>
        <w:numPr>
          <w:ilvl w:val="0"/>
          <w:numId w:val="10"/>
        </w:numPr>
        <w:spacing w:after="0" w:line="480" w:lineRule="auto"/>
        <w:ind w:left="0" w:firstLine="360"/>
      </w:pPr>
      <w:r w:rsidRPr="00C77ED1">
        <w:t>Plaintiff has sufficiently</w:t>
      </w:r>
      <w:r w:rsidRPr="00C77ED1">
        <w:t xml:space="preserve"> alleged that it furnished labor and materials for the improvement of real property with the knowledge and consent of the Owner, and that it has not been paid. These allegations alone are sufficient to sustain a lien foreclosure claim. Defendant’s contenti</w:t>
      </w:r>
      <w:r w:rsidRPr="00C77ED1">
        <w:t>on that no lien fund exists is both legally flawed and factually unsupported. Further, Defendant’s position ignores controlling Second Department authority and improperly seeks to shift the burden to Plaintiff at the pleading stage. This Court should rejec</w:t>
      </w:r>
      <w:r w:rsidRPr="00C77ED1">
        <w:t>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Plaintiff has sufficiently alleged that it furnished labor and materials for the improvement of real property with the knowledge and consent of the </w:t>
      </w:r>
      <w:r w:rsidRPr="00C77ED1">
        <w:t>Owner, and that it has not been paid. These allegations alone are sufficient to sustain a lien foreclosure claim. Defendant’s contention that no lien fund exists is both legally flawed and factually unsupported. Further, Defendant’s position ignores contro</w:t>
      </w:r>
      <w:r w:rsidRPr="00C77ED1">
        <w:t>lling Second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Plaintiff has </w:t>
      </w:r>
      <w:r w:rsidRPr="00C77ED1">
        <w:t>sufficiently alleged that it furnished labor and materials for the improvement of real property with the knowledge and consent of the Owner, and that it has not been paid. These allegations alone are sufficient to sustain a lien foreclosure claim. Defendan</w:t>
      </w:r>
      <w:r w:rsidRPr="00C77ED1">
        <w:t xml:space="preserve">t’s contention that no lien fund exists is both legally flawed and factually unsupported. Further, Defendant’s position ignores controlling Second Department </w:t>
      </w:r>
      <w:r w:rsidRPr="00C77ED1">
        <w:lastRenderedPageBreak/>
        <w:t xml:space="preserve">authority and improperly seeks to shift the burden to Plaintiff at the pleading stage. This Court </w:t>
      </w:r>
      <w:r w:rsidRPr="00C77ED1">
        <w:t>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has sufficiently alleged that it furnished labor and materials for the improvement of real property with the knowledge and con</w:t>
      </w:r>
      <w:r w:rsidRPr="00C77ED1">
        <w:t>sent of the Owner, and that it has not been paid. These allegations alone are sufficient to sustain a lien foreclosure claim. Defendant’s contention that no lien fund exists is both legally flawed and factually unsupported. Further, Defendant’s position ig</w:t>
      </w:r>
      <w:r w:rsidRPr="00C77ED1">
        <w:t>nores controlling Second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w:t>
      </w:r>
      <w:r w:rsidRPr="00C77ED1">
        <w:t>aintiff has sufficiently alleged that it furnished labor and materials for the improvement of real property with the knowledge and consent of the Owner, and that it has not been paid. These allegations alone are sufficient to sustain a lien foreclosure cla</w:t>
      </w:r>
      <w:r w:rsidRPr="00C77ED1">
        <w:t>im. Defendant’s contention that no lien fund exists is both legally flawed and factually unsupported. Further, Defendant’s position ignores controlling Second Department authority and improperly seeks to shift the burden to Plaintiff at the pleading stage.</w:t>
      </w:r>
      <w:r w:rsidRPr="00C77ED1">
        <w:t xml:space="preserv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has sufficiently alleged that it furnished labor and materials for the improvement of real property with the knowl</w:t>
      </w:r>
      <w:r w:rsidRPr="00C77ED1">
        <w:t>edge and consent of the Owner, and that it has not been paid. These allegations alone are sufficient to sustain a lien foreclosure claim. Defendant’s contention that no lien fund exists is both legally flawed and factually unsupported. Further, Defendant’s</w:t>
      </w:r>
      <w:r w:rsidRPr="00C77ED1">
        <w:t xml:space="preserve"> position ignores controlling Second Department authority and improperly seeks to shift the burden to Plaintiff at the pleading stage. This </w:t>
      </w:r>
      <w:r w:rsidRPr="00C77ED1">
        <w:lastRenderedPageBreak/>
        <w:t>Court should reject such efforts and permit the case to proceed to discovery where the factual record can be fully d</w:t>
      </w:r>
      <w:r w:rsidRPr="00C77ED1">
        <w:t>eveloped.</w:t>
      </w:r>
    </w:p>
    <w:p w:rsidR="007421B5" w:rsidRPr="00C77ED1" w:rsidRDefault="000E52DC" w:rsidP="00C77ED1">
      <w:pPr>
        <w:pStyle w:val="ListParagraph"/>
        <w:numPr>
          <w:ilvl w:val="0"/>
          <w:numId w:val="10"/>
        </w:numPr>
        <w:spacing w:after="0" w:line="480" w:lineRule="auto"/>
        <w:ind w:left="0" w:firstLine="360"/>
      </w:pPr>
      <w:r w:rsidRPr="00C77ED1">
        <w:t xml:space="preserve">Plaintiff has sufficiently alleged that it furnished labor and materials for the improvement of real property with the knowledge and consent of the Owner, and that it has not been paid. These allegations alone are sufficient to sustain a lien </w:t>
      </w:r>
      <w:r w:rsidRPr="00C77ED1">
        <w:t xml:space="preserve">foreclosure claim. Defendant’s contention that no lien fund exists is both legally flawed and factually unsupported. Further, Defendant’s position ignores controlling Second Department authority and improperly seeks to shift the burden to Plaintiff at the </w:t>
      </w:r>
      <w:r w:rsidRPr="00C77ED1">
        <w:t>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has sufficiently alleged that it furnished labor and materials for the improvement of real property</w:t>
      </w:r>
      <w:r w:rsidRPr="00C77ED1">
        <w:t xml:space="preserve"> with the knowledge and consent of the Owner, and that it has not been paid. These allegations alone are sufficient to sustain a lien foreclosure claim. Defendant’s contention that no lien fund exists is both legally flawed and factually unsupported. Furth</w:t>
      </w:r>
      <w:r w:rsidRPr="00C77ED1">
        <w:t>er, Defendant’s position ignores controlling Second Department authority and improperly seeks to shift the burden to Plaintiff at the pleading stage. This Court should reject such efforts and permit the case to proceed to discovery where the factual record</w:t>
      </w:r>
      <w:r w:rsidRPr="00C77ED1">
        <w:t xml:space="preserve"> can be fully developed.</w:t>
      </w:r>
    </w:p>
    <w:p w:rsidR="007421B5" w:rsidRPr="00C77ED1" w:rsidRDefault="000E52DC" w:rsidP="00C77ED1">
      <w:pPr>
        <w:pStyle w:val="Heading2"/>
        <w:spacing w:before="0" w:line="480" w:lineRule="auto"/>
        <w:ind w:firstLine="360"/>
        <w:rPr>
          <w:color w:val="auto"/>
        </w:rPr>
      </w:pPr>
      <w:r w:rsidRPr="00C77ED1">
        <w:rPr>
          <w:color w:val="auto"/>
        </w:rPr>
        <w:t>L</w:t>
      </w:r>
      <w:r w:rsidRPr="00C77ED1">
        <w:rPr>
          <w:color w:val="auto"/>
        </w:rPr>
        <w:t>IEN FUND ANALYSIS</w:t>
      </w:r>
    </w:p>
    <w:p w:rsidR="007421B5" w:rsidRPr="00C77ED1" w:rsidRDefault="000E52DC" w:rsidP="00C77ED1">
      <w:pPr>
        <w:pStyle w:val="ListParagraph"/>
        <w:numPr>
          <w:ilvl w:val="0"/>
          <w:numId w:val="10"/>
        </w:numPr>
        <w:spacing w:after="0" w:line="480" w:lineRule="auto"/>
        <w:ind w:left="0" w:firstLine="360"/>
      </w:pPr>
      <w:r w:rsidRPr="00C77ED1">
        <w:t>The existence of a lien fund depends on the amount due or to become due to the contractor at the time of lien filing. Courts in the Second Department have consistently held that disputes over payments, allocation</w:t>
      </w:r>
      <w:r w:rsidRPr="00C77ED1">
        <w:t>, and timing are factual issues not resolvable on a motion to dismiss (Peri Formwork Sys., Inc. v. Lumbermens Mut. Cas. Co., 65 A.D.3d 533 [2d Dept 2009]). Even full payment to a contractor does not automatically extinguish lien rights where diversion, mis</w:t>
      </w:r>
      <w:r w:rsidRPr="00C77ED1">
        <w:t xml:space="preserve">application, or improper accounting is alleged or inferable. Further, </w:t>
      </w:r>
      <w:r w:rsidRPr="00C77ED1">
        <w:lastRenderedPageBreak/>
        <w:t>Defendant’s position ignores controlling Second Department authority and improperly seeks to shift the burden to Plaintiff at the pleading stage. This Court should reject such efforts an</w:t>
      </w:r>
      <w:r w:rsidRPr="00C77ED1">
        <w:t>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The existence of a lien fund depends on the amount due or to become due to the contractor at the time of lien filing. Courts in the Second Department have consistent</w:t>
      </w:r>
      <w:r w:rsidRPr="00C77ED1">
        <w:t>ly held that disputes over payments, allocation, and timing are factual issues not resolvable on a motion to dismiss (Peri Formwork Sys., Inc. v. Lumbermens Mut. Cas. Co., 65 A.D.3d 533 [2d Dept 2009]). Even full payment to a contractor does not automatica</w:t>
      </w:r>
      <w:r w:rsidRPr="00C77ED1">
        <w:t xml:space="preserve">lly extinguish lien rights where diversion, misapplication, or improper accounting is alleged or inferable. Further, Defendant’s position ignores controlling Second Department authority and improperly seeks to shift the burden to Plaintiff at the pleading </w:t>
      </w:r>
      <w:r w:rsidRPr="00C77ED1">
        <w:t>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The existence of a lien fund depends on the amount due or to become due to the contractor at the time of lien filing. </w:t>
      </w:r>
      <w:r w:rsidRPr="00C77ED1">
        <w:t>Courts in the Second Department have consistently held that disputes over payments, allocation, and timing are factual issues not resolvable on a motion to dismiss (Peri Formwork Sys., Inc. v. Lumbermens Mut. Cas. Co., 65 A.D.3d 533 [2d Dept 2009]). Even f</w:t>
      </w:r>
      <w:r w:rsidRPr="00C77ED1">
        <w:t>ull payment to a contractor does not automatically extinguish lien rights where diversion, misapplication, or improper accounting is alleged or inferable. Further, Defendant’s position ignores controlling Second Department authority and improperly seeks to</w:t>
      </w:r>
      <w:r w:rsidRPr="00C77ED1">
        <w:t xml:space="preserve">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The existence of a lien fund depends on the amount due or to become due</w:t>
      </w:r>
      <w:r w:rsidRPr="00C77ED1">
        <w:t xml:space="preserve"> to the contractor at the time of lien filing. Courts in the Second Department have consistently held that disputes over payments, allocation, and timing are factual issues not resolvable on a motion to dismiss (Peri Formwork Sys., Inc. v. Lumbermens Mut. </w:t>
      </w:r>
      <w:r w:rsidRPr="00C77ED1">
        <w:t>Cas. Co., 65 A.D.3d 533 [2d Dept 2009]). Even full payment to a contractor does not automatically extinguish lien rights where diversion, misapplication, or improper accounting is alleged or inferable. Further, Defendant’s position ignores controlling Seco</w:t>
      </w:r>
      <w:r w:rsidRPr="00C77ED1">
        <w:t>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The existence of a lien </w:t>
      </w:r>
      <w:r w:rsidRPr="00C77ED1">
        <w:t>fund depends on the amount due or to become due to the contractor at the time of lien filing. Courts in the Second Department have consistently held that disputes over payments, allocation, and timing are factual issues not resolvable on a motion to dismis</w:t>
      </w:r>
      <w:r w:rsidRPr="00C77ED1">
        <w:t>s (Peri Formwork Sys., Inc. v. Lumbermens Mut. Cas. Co., 65 A.D.3d 533 [2d Dept 2009]). Even full payment to a contractor does not automatically extinguish lien rights where diversion, misapplication, or improper accounting is alleged or inferable. Further</w:t>
      </w:r>
      <w:r w:rsidRPr="00C77ED1">
        <w:t>, Defendant’s position ignores controlling Second Department authority and improperly seeks to shift the burden to Plaintiff at the pleading stage. This Court should reject such efforts and permit the case to proceed to discovery where the factual record c</w:t>
      </w:r>
      <w:r w:rsidRPr="00C77ED1">
        <w:t>an be fully developed.</w:t>
      </w:r>
    </w:p>
    <w:p w:rsidR="007421B5" w:rsidRPr="00C77ED1" w:rsidRDefault="000E52DC" w:rsidP="00C77ED1">
      <w:pPr>
        <w:pStyle w:val="ListParagraph"/>
        <w:numPr>
          <w:ilvl w:val="0"/>
          <w:numId w:val="10"/>
        </w:numPr>
        <w:spacing w:after="0" w:line="480" w:lineRule="auto"/>
        <w:ind w:left="0" w:firstLine="360"/>
      </w:pPr>
      <w:r w:rsidRPr="00C77ED1">
        <w:t>The existence of a lien fund depends on the amount due or to become due to the contractor at the time of lien filing. Courts in the Second Department have consistently held that disputes over payments, allocation, and timing are fact</w:t>
      </w:r>
      <w:r w:rsidRPr="00C77ED1">
        <w:t xml:space="preserve">ual issues not resolvable on a motion to dismiss (Peri Formwork Sys., Inc. v. Lumbermens Mut. Cas. Co., 65 A.D.3d 533 [2d Dept 2009]). Even full payment to a contractor does not automatically extinguish lien rights </w:t>
      </w:r>
      <w:r w:rsidRPr="00C77ED1">
        <w:lastRenderedPageBreak/>
        <w:t>where diversion, misapplication, or impro</w:t>
      </w:r>
      <w:r w:rsidRPr="00C77ED1">
        <w:t xml:space="preserve">per accounting is alleged or inferable. Further, Defendant’s position ignores controlling Second Department authority and improperly seeks to shift the burden to Plaintiff at the pleading stage. This Court should reject such efforts and permit the case to </w:t>
      </w:r>
      <w:r w:rsidRPr="00C77ED1">
        <w:t>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The existence of a lien fund depends on the amount due or to become due to the contractor at the time of lien filing. Courts in the Second Department have consistently held that disputes</w:t>
      </w:r>
      <w:r w:rsidRPr="00C77ED1">
        <w:t xml:space="preserve"> over payments, allocation, and timing are factual issues not resolvable on a motion to dismiss (Peri Formwork Sys., Inc. v. Lumbermens Mut. Cas. Co., 65 A.D.3d 533 [2d Dept 2009]). Even full payment to a contractor does not automatically extinguish lien r</w:t>
      </w:r>
      <w:r w:rsidRPr="00C77ED1">
        <w:t>ights where diversion, misapplication, or improper accounting is alleged or inferable. Further, Defendant’s position ignores controlling Second Department authority and improperly seeks to shift the burden to Plaintiff at the pleading stage. This Court sho</w:t>
      </w:r>
      <w:r w:rsidRPr="00C77ED1">
        <w:t>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The existence of a lien fund depends on the amount due or to become due to the contractor at the time of lien filing. Courts in the Second </w:t>
      </w:r>
      <w:r w:rsidRPr="00C77ED1">
        <w:t>Department have consistently held that disputes over payments, allocation, and timing are factual issues not resolvable on a motion to dismiss (Peri Formwork Sys., Inc. v. Lumbermens Mut. Cas. Co., 65 A.D.3d 533 [2d Dept 2009]). Even full payment to a cont</w:t>
      </w:r>
      <w:r w:rsidRPr="00C77ED1">
        <w:t xml:space="preserve">ractor does not automatically extinguish lien rights where diversion, misapplication, or improper accounting is alleged or inferable. Further, Defendant’s position ignores controlling Second Department authority and improperly seeks to shift the burden to </w:t>
      </w:r>
      <w:r w:rsidRPr="00C77ED1">
        <w:t>Plaintiff at the pleading stage. This Court should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lastRenderedPageBreak/>
        <w:t>P</w:t>
      </w:r>
      <w:r w:rsidRPr="00C77ED1">
        <w:rPr>
          <w:color w:val="auto"/>
        </w:rPr>
        <w:t>OINT II – DEFENDANT FAILS UNDER CPLR 3211(a)(1)</w:t>
      </w:r>
    </w:p>
    <w:p w:rsidR="007421B5" w:rsidRPr="00C77ED1" w:rsidRDefault="000E52DC" w:rsidP="00C77ED1">
      <w:pPr>
        <w:pStyle w:val="ListParagraph"/>
        <w:numPr>
          <w:ilvl w:val="0"/>
          <w:numId w:val="10"/>
        </w:numPr>
        <w:spacing w:after="0" w:line="480" w:lineRule="auto"/>
        <w:ind w:left="0" w:firstLine="360"/>
      </w:pPr>
      <w:r w:rsidRPr="00C77ED1">
        <w:t>Defendant’s reliance on affidavits and sele</w:t>
      </w:r>
      <w:r w:rsidRPr="00C77ED1">
        <w:t>ctive payment records fails as a matter of law. Such materials are not documentary evidence and cannot conclusively establish a defense. The absence of a full accounting, requisition breakdown, and proof of allocation is fatal to Defendant’s argument. Furt</w:t>
      </w:r>
      <w:r w:rsidRPr="00C77ED1">
        <w:t>her, Defendant’s position ignores controlling Second Department authority and improperly seeks to shift the burden to Plaintiff at the pleading stage. This Court should reject such efforts and permit the case to proceed to discovery where the factual recor</w:t>
      </w:r>
      <w:r w:rsidRPr="00C77ED1">
        <w:t>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reliance on affidavits and selective payment records fails as a matter of law. Such materials are not documentary evidence and cannot conclusively establish a defense. The absence of a full accounting, requisition brea</w:t>
      </w:r>
      <w:r w:rsidRPr="00C77ED1">
        <w:t>kdown, and proof of allocation is fatal to Defendant’s argument. Further, Defendant’s position ignores controlling Second Department authority and improperly seeks to shift the burden to Plaintiff at the pleading stage. This Court should reject such effort</w:t>
      </w:r>
      <w:r w:rsidRPr="00C77ED1">
        <w: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reliance on affidavits and selective payment records fails as a matter of law. Such materials are not documentary evidence and cannot conclusively es</w:t>
      </w:r>
      <w:r w:rsidRPr="00C77ED1">
        <w:t xml:space="preserve">tablish a defense. The absence of a full accounting, requisition breakdown, and proof of allocation is fatal to Defendant’s argument. Further, Defendant’s position ignores controlling Second Department authority and improperly seeks to shift the burden to </w:t>
      </w:r>
      <w:r w:rsidRPr="00C77ED1">
        <w:t>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reliance on affidavits and selective payment records fails as a matter of law. S</w:t>
      </w:r>
      <w:r w:rsidRPr="00C77ED1">
        <w:t xml:space="preserve">uch materials are not documentary evidence and cannot conclusively establish a defense. The absence of a full accounting, requisition breakdown, and proof of allocation is </w:t>
      </w:r>
      <w:r w:rsidRPr="00C77ED1">
        <w:lastRenderedPageBreak/>
        <w:t>fatal to Defendant’s argument. Further, Defendant’s position ignores controlling Sec</w:t>
      </w:r>
      <w:r w:rsidRPr="00C77ED1">
        <w:t>ond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reliance on</w:t>
      </w:r>
      <w:r w:rsidRPr="00C77ED1">
        <w:t xml:space="preserve"> affidavits and selective payment records fails as a matter of law. Such materials are not documentary evidence and cannot conclusively establish a defense. The absence of a full accounting, requisition breakdown, and proof of allocation is fatal to Defend</w:t>
      </w:r>
      <w:r w:rsidRPr="00C77ED1">
        <w:t>ant’s argument. Further, Defendant’s position ignores controlling Second Department authority and improperly seeks to shift the burden to Plaintiff at the pleading stage. This Court should reject such efforts and permit the case to proceed to discovery whe</w:t>
      </w:r>
      <w:r w:rsidRPr="00C77ED1">
        <w:t>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reliance on affidavits and selective payment records fails as a matter of law. Such materials are not documentary evidence and cannot conclusively establish a defense. The absence of a full accounti</w:t>
      </w:r>
      <w:r w:rsidRPr="00C77ED1">
        <w:t>ng, requisition breakdown, and proof of allocation is fatal to Defendant’s argument. Further, Defendant’s position ignores controlling Second Department authority and improperly seeks to shift the burden to Plaintiff at the pleading stage. This Court shoul</w:t>
      </w:r>
      <w:r w:rsidRPr="00C77ED1">
        <w:t>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reliance on affidavits and selective payment records fails as a matter of law. Such materials are not documentary evidence and ca</w:t>
      </w:r>
      <w:r w:rsidRPr="00C77ED1">
        <w:t xml:space="preserve">nnot conclusively establish a defense. The absence of a full accounting, requisition breakdown, and proof of allocation is fatal to Defendant’s argument. Further, Defendant’s position ignores controlling Second Department authority and improperly seeks to </w:t>
      </w:r>
      <w:r w:rsidRPr="00C77ED1">
        <w:t>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Defendant’s reliance on affidavits and selective payment records fails a</w:t>
      </w:r>
      <w:r w:rsidRPr="00C77ED1">
        <w:t>s a matter of law. Such materials are not documentary evidence and cannot conclusively establish a defense. The absence of a full accounting, requisition breakdown, and proof of allocation is fatal to Defendant’s argument. Further, Defendant’s position ign</w:t>
      </w:r>
      <w:r w:rsidRPr="00C77ED1">
        <w:t>ores controlling Second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t>P</w:t>
      </w:r>
      <w:r w:rsidRPr="00C77ED1">
        <w:rPr>
          <w:color w:val="auto"/>
        </w:rPr>
        <w:t>OI</w:t>
      </w:r>
      <w:r w:rsidRPr="00C77ED1">
        <w:rPr>
          <w:color w:val="auto"/>
        </w:rPr>
        <w:t>NT III – OWNER CONSENT IS ADEQUATELY ALLEGED</w:t>
      </w:r>
    </w:p>
    <w:p w:rsidR="007421B5" w:rsidRPr="00C77ED1" w:rsidRDefault="000E52DC" w:rsidP="00C77ED1">
      <w:pPr>
        <w:pStyle w:val="ListParagraph"/>
        <w:numPr>
          <w:ilvl w:val="0"/>
          <w:numId w:val="10"/>
        </w:numPr>
        <w:spacing w:after="0" w:line="480" w:lineRule="auto"/>
        <w:ind w:left="0" w:firstLine="360"/>
      </w:pPr>
      <w:r w:rsidRPr="00C77ED1">
        <w:t xml:space="preserve">A mechanic’s lien requires only that the work be performed with the owner’s consent. Plaintiff alleges that the Owner retained the general contractor, authorized the improvements, and knowingly accepted the </w:t>
      </w:r>
      <w:r w:rsidRPr="00C77ED1">
        <w:t xml:space="preserve">benefits of Plaintiff’s work. These allegations are sufficient under controlling precedent (Ferrara v. Peaches Café LLC, 32 N.Y.3d 348 [2018]). Further, Defendant’s position ignores controlling Second Department authority and improperly seeks to shift the </w:t>
      </w:r>
      <w:r w:rsidRPr="00C77ED1">
        <w:t>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A mechanic’s lien requires only that the work be performed with the owner’s consen</w:t>
      </w:r>
      <w:r w:rsidRPr="00C77ED1">
        <w:t xml:space="preserve">t. Plaintiff alleges that the Owner retained the general contractor, authorized the improvements, and knowingly accepted the benefits of Plaintiff’s work. These allegations are sufficient under controlling precedent (Ferrara v. Peaches Café LLC, 32 N.Y.3d </w:t>
      </w:r>
      <w:r w:rsidRPr="00C77ED1">
        <w:t xml:space="preserve">348 [2018]). Further, Defendant’s position ignores controlling Second Department authority and improperly seeks to shift the burden to Plaintiff at the pleading stage. This Court should reject such efforts and permit the case to proceed to discovery where </w:t>
      </w:r>
      <w:r w:rsidRPr="00C77ED1">
        <w:t>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A mechanic’s lien requires only that the work be performed with the owner’s consent. Plaintiff alleges that the Owner retained the general contractor, authorized the improvements, and knowingly accepted the benefi</w:t>
      </w:r>
      <w:r w:rsidRPr="00C77ED1">
        <w:t>ts of Plaintiff’s work. These allegations are sufficient under controlling precedent (Ferrara v. Peaches Café LLC, 32 N.Y.3d 348 [2018]). Further, Defendant’s position ignores controlling Second Department authority and improperly seeks to shift the burden</w:t>
      </w:r>
      <w:r w:rsidRPr="00C77ED1">
        <w:t xml:space="preserve">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A mechanic’s lien requires only that the work be performed with the owner’s consent. Pla</w:t>
      </w:r>
      <w:r w:rsidRPr="00C77ED1">
        <w:t>intiff alleges that the Owner retained the general contractor, authorized the improvements, and knowingly accepted the benefits of Plaintiff’s work. These allegations are sufficient under controlling precedent (Ferrara v. Peaches Café LLC, 32 N.Y.3d 348 [2</w:t>
      </w:r>
      <w:r w:rsidRPr="00C77ED1">
        <w:t>018]). Further, Defendant’s position ignores controlling Second Department authority and improperly seeks to shift the burden to Plaintiff at the pleading stage. This Court should reject such efforts and permit the case to proceed to discovery where the fa</w:t>
      </w:r>
      <w:r w:rsidRPr="00C77ED1">
        <w:t>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A mechanic’s lien requires only that the work be performed with the owner’s consent. Plaintiff alleges that the Owner retained the general contractor, authorized the improvements, and knowingly accepted the benefits of </w:t>
      </w:r>
      <w:r w:rsidRPr="00C77ED1">
        <w:t>Plaintiff’s work. These allegations are sufficient under controlling precedent (Ferrara v. Peaches Café LLC, 32 N.Y.3d 348 [2018]). Further, Defendant’s position ignores controlling Second Department authority and improperly seeks to shift the burden to Pl</w:t>
      </w:r>
      <w:r w:rsidRPr="00C77ED1">
        <w:t>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A mechanic’s lien requires only that the work be performed with the owner’s consent. Plaintiff</w:t>
      </w:r>
      <w:r w:rsidRPr="00C77ED1">
        <w:t xml:space="preserve"> alleges that the Owner retained the general contractor, authorized the improvements, and knowingly accepted the benefits of Plaintiff’s work. These allegations are sufficient under controlling precedent (Ferrara v. Peaches Café LLC, 32 N.Y.3d 348 [2018]).</w:t>
      </w:r>
      <w:r w:rsidRPr="00C77ED1">
        <w:t xml:space="preserve"> Further, Defendant’s position ignores controlling Second Department authority and improperly seeks to shift the burden to Plaintiff at the pleading stage. This Court should reject such efforts and permit the case to proceed to discovery where the factual </w:t>
      </w:r>
      <w:r w:rsidRPr="00C77ED1">
        <w:t>record can be fully developed.</w:t>
      </w:r>
    </w:p>
    <w:p w:rsidR="007421B5" w:rsidRPr="00C77ED1" w:rsidRDefault="000E52DC" w:rsidP="00C77ED1">
      <w:pPr>
        <w:pStyle w:val="ListParagraph"/>
        <w:numPr>
          <w:ilvl w:val="0"/>
          <w:numId w:val="10"/>
        </w:numPr>
        <w:spacing w:after="0" w:line="480" w:lineRule="auto"/>
        <w:ind w:left="0" w:firstLine="360"/>
      </w:pPr>
      <w:r w:rsidRPr="00C77ED1">
        <w:t>A mechanic’s lien requires only that the work be performed with the owner’s consent. Plaintiff alleges that the Owner retained the general contractor, authorized the improvements, and knowingly accepted the benefits of Plaint</w:t>
      </w:r>
      <w:r w:rsidRPr="00C77ED1">
        <w:t>iff’s work. These allegations are sufficient under controlling precedent (Ferrara v. Peaches Café LLC, 32 N.Y.3d 348 [2018]). Further, Defendant’s position ignores controlling Second Department authority and improperly seeks to shift the burden to Plaintif</w:t>
      </w:r>
      <w:r w:rsidRPr="00C77ED1">
        <w:t>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A mechanic’s lien requires only that the work be performed with the owner’s consent. Plaintiff alleg</w:t>
      </w:r>
      <w:r w:rsidRPr="00C77ED1">
        <w:t>es that the Owner retained the general contractor, authorized the improvements, and knowingly accepted the benefits of Plaintiff’s work. These allegations are sufficient under controlling precedent (Ferrara v. Peaches Café LLC, 32 N.Y.3d 348 [2018]). Furth</w:t>
      </w:r>
      <w:r w:rsidRPr="00C77ED1">
        <w:t>er, Defendant’s position ignores controlling Second Department authority and improperly seeks to shift the burden to Plaintiff at the pleading stage. This Court should reject such efforts and permit the case to proceed to discovery where the factual record</w:t>
      </w:r>
      <w:r w:rsidRPr="00C77ED1">
        <w:t xml:space="preserve"> can be fully developed.</w:t>
      </w:r>
    </w:p>
    <w:p w:rsidR="007421B5" w:rsidRPr="00C77ED1" w:rsidRDefault="000E52DC" w:rsidP="00C77ED1">
      <w:pPr>
        <w:pStyle w:val="Heading2"/>
        <w:spacing w:before="0" w:line="480" w:lineRule="auto"/>
        <w:ind w:firstLine="360"/>
        <w:rPr>
          <w:color w:val="auto"/>
        </w:rPr>
      </w:pPr>
      <w:r w:rsidRPr="00C77ED1">
        <w:rPr>
          <w:color w:val="auto"/>
        </w:rPr>
        <w:lastRenderedPageBreak/>
        <w:t>P</w:t>
      </w:r>
      <w:r w:rsidRPr="00C77ED1">
        <w:rPr>
          <w:color w:val="auto"/>
        </w:rPr>
        <w:t>OINT IV – AGENCY CLAIMS CANNOT BE DISMISSED</w:t>
      </w:r>
    </w:p>
    <w:p w:rsidR="007421B5" w:rsidRPr="00C77ED1" w:rsidRDefault="000E52DC" w:rsidP="00C77ED1">
      <w:pPr>
        <w:pStyle w:val="ListParagraph"/>
        <w:numPr>
          <w:ilvl w:val="0"/>
          <w:numId w:val="10"/>
        </w:numPr>
        <w:spacing w:after="0" w:line="480" w:lineRule="auto"/>
        <w:ind w:left="0" w:firstLine="360"/>
      </w:pPr>
      <w:r w:rsidRPr="00C77ED1">
        <w:t xml:space="preserve">Agency is inherently fact-driven and may be inferred from conduct, control, and relationship. Plaintiff alleges that JAT acted on behalf of the Owner in managing the project. Discovery </w:t>
      </w:r>
      <w:r w:rsidRPr="00C77ED1">
        <w:t>is required to determine the scope of that relationship. Further, Defendant’s position ignores controlling Second Department authority and improperly seeks to shift the burden to Plaintiff at the pleading stage. This Court should reject such efforts and pe</w:t>
      </w:r>
      <w:r w:rsidRPr="00C77ED1">
        <w:t>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Agency is inherently fact-driven and may be inferred from conduct, control, and relationship. Plaintiff alleges that JAT acted on behalf of the Owner in managing the pro</w:t>
      </w:r>
      <w:r w:rsidRPr="00C77ED1">
        <w:t>ject. Discovery is required to determine the scope of that relationship. Further, Defendant’s position ignores controlling Second Department authority and improperly seeks to shift the burden to Plaintiff at the pleading stage. This Court should reject suc</w:t>
      </w:r>
      <w:r w:rsidRPr="00C77ED1">
        <w:t>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Agency is inherently fact-driven and may be inferred from conduct, control, and relationship. Plaintiff alleges that JAT acted on behalf of the Owner in </w:t>
      </w:r>
      <w:r w:rsidRPr="00C77ED1">
        <w:t>managing the project. Discovery is required to determine the scope of that relationship. Further, Defendant’s position ignores controlling Second Department authority and improperly seeks to shift the burden to Plaintiff at the pleading stage. This Court s</w:t>
      </w:r>
      <w:r w:rsidRPr="00C77ED1">
        <w:t>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Agency is inherently fact-driven and may be inferred from conduct, control, and relationship. Plaintiff alleges that JAT acted on behalf </w:t>
      </w:r>
      <w:r w:rsidRPr="00C77ED1">
        <w:t>of the Owner in managing the project. Discovery is required to determine the scope of that relationship. Further, Defendant’s position ignores controlling Second Department authority and improperly seeks to shift the burden to Plaintiff at the pleading sta</w:t>
      </w:r>
      <w:r w:rsidRPr="00C77ED1">
        <w:t>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 xml:space="preserve">Agency is inherently fact-driven and may be inferred from conduct, control, and relationship. Plaintiff alleges that JAT </w:t>
      </w:r>
      <w:r w:rsidRPr="00C77ED1">
        <w:t xml:space="preserve">acted on behalf of the Owner in managing the project. Discovery is required to determine the scope of that relationship. Further, Defendant’s position ignores controlling Second Department authority and improperly seeks to shift the burden to Plaintiff at </w:t>
      </w:r>
      <w:r w:rsidRPr="00C77ED1">
        <w:t>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Agency is inherently fact-driven and may be inferred from conduct, control, and relationship. Plaintiff a</w:t>
      </w:r>
      <w:r w:rsidRPr="00C77ED1">
        <w:t xml:space="preserve">lleges that JAT acted on behalf of the Owner in managing the project. Discovery is required to determine the scope of that relationship. Further, Defendant’s position ignores controlling Second Department authority and improperly seeks to shift the burden </w:t>
      </w:r>
      <w:r w:rsidRPr="00C77ED1">
        <w:t>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Agency is inherently fact-driven and may be inferred from conduct, control, and relations</w:t>
      </w:r>
      <w:r w:rsidRPr="00C77ED1">
        <w:t>hip. Plaintiff alleges that JAT acted on behalf of the Owner in managing the project. Discovery is required to determine the scope of that relationship. Further, Defendant’s position ignores controlling Second Department authority and improperly seeks to s</w:t>
      </w:r>
      <w:r w:rsidRPr="00C77ED1">
        <w:t>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Agency is inherently fact-driven and may be inferred from conduct, contro</w:t>
      </w:r>
      <w:r w:rsidRPr="00C77ED1">
        <w:t>l, and relationship. Plaintiff alleges that JAT acted on behalf of the Owner in managing the project. Discovery is required to determine the scope of that relationship. Further, Defendant’s position ignores controlling Second Department authority and impro</w:t>
      </w:r>
      <w:r w:rsidRPr="00C77ED1">
        <w:t>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lastRenderedPageBreak/>
        <w:t>P</w:t>
      </w:r>
      <w:r w:rsidRPr="00C77ED1">
        <w:rPr>
          <w:color w:val="auto"/>
        </w:rPr>
        <w:t>OINT V – ACCOUNT STATED</w:t>
      </w:r>
    </w:p>
    <w:p w:rsidR="007421B5" w:rsidRPr="00C77ED1" w:rsidRDefault="000E52DC" w:rsidP="00C77ED1">
      <w:pPr>
        <w:pStyle w:val="ListParagraph"/>
        <w:numPr>
          <w:ilvl w:val="0"/>
          <w:numId w:val="10"/>
        </w:numPr>
        <w:spacing w:after="0" w:line="480" w:lineRule="auto"/>
        <w:ind w:left="0" w:firstLine="360"/>
      </w:pPr>
      <w:r w:rsidRPr="00C77ED1">
        <w:t xml:space="preserve">Plaintiff alleges that invoices </w:t>
      </w:r>
      <w:r w:rsidRPr="00C77ED1">
        <w:t>were sent, received, and retained without objection. This is sufficient to state an account stated claim (Jim-Mar Corp. v. Aquatic Constr., Ltd., 195 A.D.3d 868 [2d Dept 2021]). Defendant’s arguments raise factual disputes that cannot be resolved at this s</w:t>
      </w:r>
      <w:r w:rsidRPr="00C77ED1">
        <w:t>tage. Further, Defendant’s position ignores controlling Second Department authority and improperly seeks to shift the burden to Plaintiff at the pleading stage. This Court should reject such efforts and permit the case to proceed to discovery where the fac</w:t>
      </w:r>
      <w:r w:rsidRPr="00C77ED1">
        <w:t>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alleges that invoices were sent, received, and retained without objection. This is sufficient to state an account stated claim (Jim-Mar Corp. v. Aquatic Constr., Ltd., 195 A.D.3d 868 [2d Dept 2021]). Defendant’</w:t>
      </w:r>
      <w:r w:rsidRPr="00C77ED1">
        <w:t>s arguments raise factual disputes that cannot be resolved at this stage. Further, Defendant’s position ignores controlling Second Department authority and improperly seeks to shift the burden to Plaintiff at the pleading stage. This Court should reject su</w:t>
      </w:r>
      <w:r w:rsidRPr="00C77ED1">
        <w:t>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Plaintiff alleges that invoices were sent, received, and retained without objection. This is sufficient to state an account stated claim (Jim-Mar Corp. </w:t>
      </w:r>
      <w:r w:rsidRPr="00C77ED1">
        <w:t>v. Aquatic Constr., Ltd., 195 A.D.3d 868 [2d Dept 2021]). Defendant’s arguments raise factual disputes that cannot be resolved at this stage. Further, Defendant’s position ignores controlling Second Department authority and improperly seeks to shift the bu</w:t>
      </w:r>
      <w:r w:rsidRPr="00C77ED1">
        <w:t>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alleges that invoices were sent, received, and retained without objection.</w:t>
      </w:r>
      <w:r w:rsidRPr="00C77ED1">
        <w:t xml:space="preserve"> This is sufficient to state an account stated claim (Jim-Mar Corp. v. Aquatic Constr., Ltd., 195 A.D.3d 868 [2d Dept 2021]). Defendant’s arguments raise factual disputes that cannot be </w:t>
      </w:r>
      <w:r w:rsidRPr="00C77ED1">
        <w:lastRenderedPageBreak/>
        <w:t>resolved at this stage. Further, Defendant’s position ignores controll</w:t>
      </w:r>
      <w:r w:rsidRPr="00C77ED1">
        <w:t>ing Second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allege</w:t>
      </w:r>
      <w:r w:rsidRPr="00C77ED1">
        <w:t>s that invoices were sent, received, and retained without objection. This is sufficient to state an account stated claim (Jim-Mar Corp. v. Aquatic Constr., Ltd., 195 A.D.3d 868 [2d Dept 2021]). Defendant’s arguments raise factual disputes that cannot be re</w:t>
      </w:r>
      <w:r w:rsidRPr="00C77ED1">
        <w:t>solved at this stage. Further, Defendant’s position ignores controlling Second Department authority and improperly seeks to shift the burden to Plaintiff at the pleading stage. This Court should reject such efforts and permit the case to proceed to discove</w:t>
      </w:r>
      <w:r w:rsidRPr="00C77ED1">
        <w:t>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alleges that invoices were sent, received, and retained without objection. This is sufficient to state an account stated claim (Jim-Mar Corp. v. Aquatic Constr., Ltd., 195 A.D.3d 868 [2d Dept 20</w:t>
      </w:r>
      <w:r w:rsidRPr="00C77ED1">
        <w:t xml:space="preserve">21]). Defendant’s arguments raise factual disputes that cannot be resolved at this stage. Further, Defendant’s position ignores controlling Second Department authority and improperly seeks to shift the burden to Plaintiff at the pleading stage. This Court </w:t>
      </w:r>
      <w:r w:rsidRPr="00C77ED1">
        <w:t>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alleges that invoices were sent, received, and retained without objection. This is sufficient to state an account stated claim</w:t>
      </w:r>
      <w:r w:rsidRPr="00C77ED1">
        <w:t xml:space="preserve"> (Jim-Mar Corp. v. Aquatic Constr., Ltd., 195 A.D.3d 868 [2d Dept 2021]). Defendant’s arguments raise factual disputes that cannot be resolved at this stage. Further, Defendant’s position ignores controlling Second Department authority and improperly seeks</w:t>
      </w:r>
      <w:r w:rsidRPr="00C77ED1">
        <w:t xml:space="preserve">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Plaintiff alleges that invoices were sent, received, and retained wi</w:t>
      </w:r>
      <w:r w:rsidRPr="00C77ED1">
        <w:t xml:space="preserve">thout objection. This is sufficient to state an account stated claim (Jim-Mar Corp. v. Aquatic Constr., Ltd., 195 A.D.3d 868 [2d Dept 2021]). Defendant’s arguments raise factual disputes that cannot be resolved at this stage. Further, Defendant’s position </w:t>
      </w:r>
      <w:r w:rsidRPr="00C77ED1">
        <w:t>ignores controlling Second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t>P</w:t>
      </w:r>
      <w:r w:rsidRPr="00C77ED1">
        <w:rPr>
          <w:color w:val="auto"/>
        </w:rPr>
        <w:t>OINT VI – QUANTUM MERUIT AND UNJUST ENRICHMENT</w:t>
      </w:r>
    </w:p>
    <w:p w:rsidR="007421B5" w:rsidRPr="00C77ED1" w:rsidRDefault="000E52DC" w:rsidP="00C77ED1">
      <w:pPr>
        <w:pStyle w:val="ListParagraph"/>
        <w:numPr>
          <w:ilvl w:val="0"/>
          <w:numId w:val="10"/>
        </w:numPr>
        <w:spacing w:after="0" w:line="480" w:lineRule="auto"/>
        <w:ind w:left="0" w:firstLine="360"/>
      </w:pPr>
      <w:r w:rsidRPr="00C77ED1">
        <w:t>Plaintiff pleads these claims in the alternative, alleging that Defendant accepted and benefited from its work. Courts routinely permit such claims at the pleading stage, particularly where the scope of contr</w:t>
      </w:r>
      <w:r w:rsidRPr="00C77ED1">
        <w:t>actual relationships is disputed. Further, Defendant’s position ignores controlling Second Department authority and improperly seeks to shift the burden to Plaintiff at the pleading stage. This Court should reject such efforts and permit the case to procee</w:t>
      </w:r>
      <w:r w:rsidRPr="00C77ED1">
        <w:t>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pleads these claims in the alternative, alleging that Defendant accepted and benefited from its work. Courts routinely permit such claims at the pleading stage, particularly where th</w:t>
      </w:r>
      <w:r w:rsidRPr="00C77ED1">
        <w:t>e scope of contractual relationships is disputed. Further, Defendant’s position ignores controlling Second Department authority and improperly seeks to shift the burden to Plaintiff at the pleading stage. This Court should reject such efforts and permit th</w:t>
      </w:r>
      <w:r w:rsidRPr="00C77ED1">
        <w:t>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pleads these claims in the alternative, alleging that Defendant accepted and benefited from its work. Courts routinely permit such claims at the pleading stage, parti</w:t>
      </w:r>
      <w:r w:rsidRPr="00C77ED1">
        <w:t xml:space="preserve">cularly where the scope of contractual relationships is disputed. Further, Defendant’s position ignores controlling Second Department authority and improperly seeks to shift the </w:t>
      </w:r>
      <w:r w:rsidRPr="00C77ED1">
        <w:lastRenderedPageBreak/>
        <w:t>burden to Plaintiff at the pleading stage. This Court should reject such effor</w:t>
      </w:r>
      <w:r w:rsidRPr="00C77ED1">
        <w:t>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pleads these claims in the alternative, alleging that Defendant accepted and benefited from its work. Courts routinely permit such claims at the plead</w:t>
      </w:r>
      <w:r w:rsidRPr="00C77ED1">
        <w:t>ing stage, particularly where the scope of contractual relationships is disputed. Further, Defendant’s position ignores controlling Second Department authority and improperly seeks to shift the burden to Plaintiff at the pleading stage. This Court should r</w:t>
      </w:r>
      <w:r w:rsidRPr="00C77ED1">
        <w:t>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pleads these claims in the alternative, alleging that Defendant accepted and benefited from its work. Courts routinely permit such cla</w:t>
      </w:r>
      <w:r w:rsidRPr="00C77ED1">
        <w:t>ims at the pleading stage, particularly where the scope of contractual relationships is disputed. Further, Defendant’s position ignores controlling Second Department authority and improperly seeks to shift the burden to Plaintiff at the pleading stage. Thi</w:t>
      </w:r>
      <w:r w:rsidRPr="00C77ED1">
        <w:t>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pleads these claims in the alternative, alleging that Defendant accepted and benefited from its work. Courts routinely</w:t>
      </w:r>
      <w:r w:rsidRPr="00C77ED1">
        <w:t xml:space="preserve"> permit such claims at the pleading stage, particularly where the scope of contractual relationships is disputed. Further, Defendant’s position ignores controlling Second Department authority and improperly seeks to shift the burden to Plaintiff at the ple</w:t>
      </w:r>
      <w:r w:rsidRPr="00C77ED1">
        <w:t>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Plaintiff pleads these claims in the alternative, alleging that Defendant accepted and benefited from its work. </w:t>
      </w:r>
      <w:r w:rsidRPr="00C77ED1">
        <w:t xml:space="preserve">Courts routinely permit such claims at the pleading stage, particularly where the scope of contractual relationships is disputed. Further, Defendant’s position ignores controlling Second Department authority and improperly seeks to shift the </w:t>
      </w:r>
      <w:r w:rsidRPr="00C77ED1">
        <w:lastRenderedPageBreak/>
        <w:t>burden to Plai</w:t>
      </w:r>
      <w:r w:rsidRPr="00C77ED1">
        <w:t>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Plaintiff pleads these claims in the alternative, alleging that Defendant accepted and benefited</w:t>
      </w:r>
      <w:r w:rsidRPr="00C77ED1">
        <w:t xml:space="preserve"> from its work. Courts routinely permit such claims at the pleading stage, particularly where the scope of contractual relationships is disputed. Further, Defendant’s position ignores controlling Second Department authority and improperly seeks to shift th</w:t>
      </w:r>
      <w:r w:rsidRPr="00C77ED1">
        <w:t>e burden to Plaintiff at the pleading stage. This Court should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t>P</w:t>
      </w:r>
      <w:r w:rsidRPr="00C77ED1">
        <w:rPr>
          <w:color w:val="auto"/>
        </w:rPr>
        <w:t>OINT VII – NOTICE OF PENDENCY</w:t>
      </w:r>
    </w:p>
    <w:p w:rsidR="007421B5" w:rsidRPr="00C77ED1" w:rsidRDefault="000E52DC" w:rsidP="00C77ED1">
      <w:pPr>
        <w:pStyle w:val="ListParagraph"/>
        <w:numPr>
          <w:ilvl w:val="0"/>
          <w:numId w:val="10"/>
        </w:numPr>
        <w:spacing w:after="0" w:line="480" w:lineRule="auto"/>
        <w:ind w:left="0" w:firstLine="360"/>
      </w:pPr>
      <w:r w:rsidRPr="00C77ED1">
        <w:t>Because this action seeks to enforce a mechanic’s</w:t>
      </w:r>
      <w:r w:rsidRPr="00C77ED1">
        <w:t xml:space="preserve"> lien against real property, it directly affects title. The notice of pendency is therefore proper and should not be cancelled. Further, Defendant’s position ignores controlling Second Department authority and improperly seeks to shift the burden to Plaint</w:t>
      </w:r>
      <w:r w:rsidRPr="00C77ED1">
        <w: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Because this action seeks to enforce a mechanic’s lien against real property, it directly affects </w:t>
      </w:r>
      <w:r w:rsidRPr="00C77ED1">
        <w:t>title. The notice of pendency is therefore proper and should not be cancelled. Further, Defendant’s position ignores controlling Second Department authority and improperly seeks to shift the burden to Plaintiff at the pleading stage. This Court should reje</w:t>
      </w:r>
      <w:r w:rsidRPr="00C77ED1">
        <w:t>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Because this action seeks to enforce a mechanic’s lien against real property, it directly affects title. The notice of pendency is therefore proper</w:t>
      </w:r>
      <w:r w:rsidRPr="00C77ED1">
        <w:t xml:space="preserve"> and should not be cancelled. Further, Defendant’s position ignores controlling Second Department authority and improperly seeks to shift the burden to Plaintiff at the pleading stage. This Court should </w:t>
      </w:r>
      <w:r w:rsidRPr="00C77ED1">
        <w:lastRenderedPageBreak/>
        <w:t>reject such efforts and permit the case to proceed to</w:t>
      </w:r>
      <w:r w:rsidRPr="00C77ED1">
        <w:t xml:space="preserve">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Because this action seeks to enforce a mechanic’s lien against real property, it directly affects title. The notice of pendency is therefore proper and should not be cancelled. Further, Defendant’</w:t>
      </w:r>
      <w:r w:rsidRPr="00C77ED1">
        <w:t xml:space="preserve">s position ignores controlling Second Department authority and improperly seeks to shift the burden to Plaintiff at the pleading stage. This Court should reject such efforts and permit the case to proceed to discovery where the factual record can be fully </w:t>
      </w:r>
      <w:r w:rsidRPr="00C77ED1">
        <w:t>developed.</w:t>
      </w:r>
    </w:p>
    <w:p w:rsidR="007421B5" w:rsidRPr="00C77ED1" w:rsidRDefault="000E52DC" w:rsidP="00C77ED1">
      <w:pPr>
        <w:pStyle w:val="ListParagraph"/>
        <w:numPr>
          <w:ilvl w:val="0"/>
          <w:numId w:val="10"/>
        </w:numPr>
        <w:spacing w:after="0" w:line="480" w:lineRule="auto"/>
        <w:ind w:left="0" w:firstLine="360"/>
      </w:pPr>
      <w:r w:rsidRPr="00C77ED1">
        <w:t xml:space="preserve">Because this action seeks to enforce a mechanic’s lien against real property, it directly affects title. The notice of pendency is therefore proper and should not be cancelled. Further, Defendant’s position ignores controlling Second Department </w:t>
      </w:r>
      <w:r w:rsidRPr="00C77ED1">
        <w:t>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Because this action seeks to enforce a</w:t>
      </w:r>
      <w:r w:rsidRPr="00C77ED1">
        <w:t xml:space="preserve"> mechanic’s lien against real property, it directly affects title. The notice of pendency is therefore proper and should not be cancelled. Further, Defendant’s position ignores controlling Second Department authority and improperly seeks to shift the burde</w:t>
      </w:r>
      <w:r w:rsidRPr="00C77ED1">
        <w:t>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Because this action seeks to enforce a mechanic’s lien against real property, it direct</w:t>
      </w:r>
      <w:r w:rsidRPr="00C77ED1">
        <w:t xml:space="preserve">ly affects title. The notice of pendency is therefore proper and should not be cancelled. Further, Defendant’s position ignores controlling Second Department authority and improperly seeks to shift the burden to Plaintiff at the pleading stage. This Court </w:t>
      </w:r>
      <w:r w:rsidRPr="00C77ED1">
        <w:t xml:space="preserve">should </w:t>
      </w:r>
      <w:r w:rsidRPr="00C77ED1">
        <w:lastRenderedPageBreak/>
        <w:t>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Because this action seeks to enforce a mechanic’s lien against real property, it directly affects title. The notice of pendency is there</w:t>
      </w:r>
      <w:r w:rsidRPr="00C77ED1">
        <w:t>fore proper and should not be cancelled. Further, Defendant’s position ignores controlling Second Department authority and improperly seeks to shift the burden to Plaintiff at the pleading stage. This Court should reject such efforts and permit the case to</w:t>
      </w:r>
      <w:r w:rsidRPr="00C77ED1">
        <w:t xml:space="preserve">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t>P</w:t>
      </w:r>
      <w:r w:rsidRPr="00C77ED1">
        <w:rPr>
          <w:color w:val="auto"/>
        </w:rPr>
        <w:t>OINT VIII – CPLR 3211(c)</w:t>
      </w:r>
    </w:p>
    <w:p w:rsidR="007421B5" w:rsidRPr="00C77ED1" w:rsidRDefault="000E52DC" w:rsidP="00C77ED1">
      <w:pPr>
        <w:pStyle w:val="ListParagraph"/>
        <w:numPr>
          <w:ilvl w:val="0"/>
          <w:numId w:val="10"/>
        </w:numPr>
        <w:spacing w:after="0" w:line="480" w:lineRule="auto"/>
        <w:ind w:left="0" w:firstLine="360"/>
      </w:pPr>
      <w:r w:rsidRPr="00C77ED1">
        <w:t>Defendant’s request to convert this motion to summary judgment must be denied. No notice was provided and discovery has not occurred. Further, Defendant’s posi</w:t>
      </w:r>
      <w:r w:rsidRPr="00C77ED1">
        <w:t>tion ignores controlling Second Department authority and improperly seeks to shift the burden to Plaintiff at the pleading stage. This Court should reject such efforts and permit the case to proceed to discovery where the factual record can be fully develo</w:t>
      </w:r>
      <w:r w:rsidRPr="00C77ED1">
        <w:t>ped.</w:t>
      </w:r>
    </w:p>
    <w:p w:rsidR="007421B5" w:rsidRPr="00C77ED1" w:rsidRDefault="000E52DC" w:rsidP="00C77ED1">
      <w:pPr>
        <w:pStyle w:val="ListParagraph"/>
        <w:numPr>
          <w:ilvl w:val="0"/>
          <w:numId w:val="10"/>
        </w:numPr>
        <w:spacing w:after="0" w:line="480" w:lineRule="auto"/>
        <w:ind w:left="0" w:firstLine="360"/>
      </w:pPr>
      <w:r w:rsidRPr="00C77ED1">
        <w:t>Defendant’s request to convert this motion to summary judgment must be denied. No notice was provided and discovery has not occurred. Further, Defendant’s position ignores controlling Second Department authority and improperly seeks to shift the burde</w:t>
      </w:r>
      <w:r w:rsidRPr="00C77ED1">
        <w:t>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request to convert this motion to summary judgment must be denied. No notic</w:t>
      </w:r>
      <w:r w:rsidRPr="00C77ED1">
        <w:t>e was provided and discovery has not occurred. Further, Defendant’s position ignores controlling Second Department authority and improperly seeks to shift the burden to Plaintiff at the pleading stage. This Court should reject such efforts and permit the c</w:t>
      </w:r>
      <w:r w:rsidRPr="00C77ED1">
        <w:t>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Defendant’s request to convert this motion to summary judgment must be denied. No notice was provided and discovery has not occurred. Further, Defendant’s position ignores control</w:t>
      </w:r>
      <w:r w:rsidRPr="00C77ED1">
        <w:t>ling Second Department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req</w:t>
      </w:r>
      <w:r w:rsidRPr="00C77ED1">
        <w:t>uest to convert this motion to summary judgment must be denied. No notice was provided and discovery has not occurred. Further, Defendant’s position ignores controlling Second Department authority and improperly seeks to shift the burden to Plaintiff at th</w:t>
      </w:r>
      <w:r w:rsidRPr="00C77ED1">
        <w:t>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Defendant’s request to convert this motion to summary judgment must be denied. No notice was provided and </w:t>
      </w:r>
      <w:r w:rsidRPr="00C77ED1">
        <w:t>discovery has not occurred. Further, Defendant’s position ignores controlling Second Department authority and improperly seeks to shift the burden to Plaintiff at the pleading stage. This Court should reject such efforts and permit the case to proceed to d</w:t>
      </w:r>
      <w:r w:rsidRPr="00C77ED1">
        <w:t>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request to convert this motion to summary judgment must be denied. No notice was provided and discovery has not occurred. Further, Defendant’s position ignores controlling Second Departm</w:t>
      </w:r>
      <w:r w:rsidRPr="00C77ED1">
        <w:t>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request to convert thi</w:t>
      </w:r>
      <w:r w:rsidRPr="00C77ED1">
        <w:t>s motion to summary judgment must be denied. No notice was provided and discovery has not occurred. Further, Defendant’s position ignores controlling Second Department authority and improperly seeks to shift the burden to Plaintiff at the pleading stage. T</w:t>
      </w:r>
      <w:r w:rsidRPr="00C77ED1">
        <w:t>his Court should reject such efforts and permit the case to proceed to discovery where the factual record can be fully developed.</w:t>
      </w:r>
    </w:p>
    <w:p w:rsidR="007421B5" w:rsidRPr="00C77ED1" w:rsidRDefault="000E52DC" w:rsidP="00C77ED1">
      <w:pPr>
        <w:pStyle w:val="Heading2"/>
        <w:spacing w:before="0" w:line="480" w:lineRule="auto"/>
        <w:ind w:firstLine="360"/>
        <w:rPr>
          <w:color w:val="auto"/>
        </w:rPr>
      </w:pPr>
      <w:r w:rsidRPr="00C77ED1">
        <w:rPr>
          <w:color w:val="auto"/>
        </w:rPr>
        <w:lastRenderedPageBreak/>
        <w:t>C</w:t>
      </w:r>
      <w:r w:rsidRPr="00C77ED1">
        <w:rPr>
          <w:color w:val="auto"/>
        </w:rPr>
        <w:t>ONCLUSION</w:t>
      </w:r>
    </w:p>
    <w:p w:rsidR="007421B5" w:rsidRPr="00C77ED1" w:rsidRDefault="000E52DC" w:rsidP="00C77ED1">
      <w:pPr>
        <w:pStyle w:val="ListParagraph"/>
        <w:numPr>
          <w:ilvl w:val="0"/>
          <w:numId w:val="10"/>
        </w:numPr>
        <w:spacing w:after="0" w:line="480" w:lineRule="auto"/>
        <w:ind w:left="0" w:firstLine="360"/>
      </w:pPr>
      <w:r w:rsidRPr="00C77ED1">
        <w:t>Defendant’s motion should be denied in its entirety. Further, Defendant’s position ignores controlling Second Depar</w:t>
      </w:r>
      <w:r w:rsidRPr="00C77ED1">
        <w:t>tment authority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should be den</w:t>
      </w:r>
      <w:r w:rsidRPr="00C77ED1">
        <w:t>ied in its entirety. Further, Defendant’s position ignores controlling Second Department authority and improperly seeks to shift the burden to Plaintiff at the pleading stage. This Court should reject such efforts and permit the case to proceed to discover</w:t>
      </w:r>
      <w:r w:rsidRPr="00C77ED1">
        <w:t>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should be denied in its entirety. Further, Defendant’s position ignores controlling Second Department authority and improperly seeks to shift the burden to Plaintiff at the pleading stag</w:t>
      </w:r>
      <w:r w:rsidRPr="00C77ED1">
        <w:t>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should be denied in its entirety. Further, Defendant’s position ignores controlling Second Department a</w:t>
      </w:r>
      <w:r w:rsidRPr="00C77ED1">
        <w:t>uthority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 xml:space="preserve">Defendant’s motion should be denied in </w:t>
      </w:r>
      <w:r w:rsidRPr="00C77ED1">
        <w:t>its entirety. Further, Defendant’s position ignores controlling Second Department authority and improperly seeks to shift the burden to Plaintiff at the pleading stage. This Court should reject such efforts and permit the case to proceed to discovery where</w:t>
      </w:r>
      <w:r w:rsidRPr="00C77ED1">
        <w:t xml:space="preserv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should be denied in its entirety. Further, Defendant’s position ignores controlling Second Department authority and improperly seeks to shift the burden to Plaintiff at the pleading stage. This</w:t>
      </w:r>
      <w:r w:rsidRPr="00C77ED1">
        <w:t xml:space="preserve">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lastRenderedPageBreak/>
        <w:t>Defendant’s motion should be denied in its entirety. Further, Defendant’s position ignores controlling Second Department authorit</w:t>
      </w:r>
      <w:r w:rsidRPr="00C77ED1">
        <w:t>y and improperly seeks to shift the burden to Plaintiff at the pleading stage. This Court should reject such efforts and permit the case to proceed to discovery where the factual record can be fully developed.</w:t>
      </w:r>
    </w:p>
    <w:p w:rsidR="007421B5" w:rsidRPr="00C77ED1" w:rsidRDefault="000E52DC" w:rsidP="00C77ED1">
      <w:pPr>
        <w:pStyle w:val="ListParagraph"/>
        <w:numPr>
          <w:ilvl w:val="0"/>
          <w:numId w:val="10"/>
        </w:numPr>
        <w:spacing w:after="0" w:line="480" w:lineRule="auto"/>
        <w:ind w:left="0" w:firstLine="360"/>
      </w:pPr>
      <w:r w:rsidRPr="00C77ED1">
        <w:t>Defendant’s motion should be denied in its ent</w:t>
      </w:r>
      <w:r w:rsidRPr="00C77ED1">
        <w:t>irety. Further, Defendant’s position ignores controlling Second Department authority and improperly seeks to shift the burden to Plaintiff at the pleading stage. This Court should reject such efforts and permit the case to proceed to discovery where the fa</w:t>
      </w:r>
      <w:r w:rsidRPr="00C77ED1">
        <w:t>ctual record can be fully developed.</w:t>
      </w:r>
    </w:p>
    <w:sectPr w:rsidR="007421B5" w:rsidRPr="00C77ED1" w:rsidSect="00C77ED1">
      <w:footerReference w:type="defaul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52DC" w:rsidRDefault="000E52DC" w:rsidP="00C77ED1">
      <w:pPr>
        <w:spacing w:after="0" w:line="240" w:lineRule="auto"/>
      </w:pPr>
      <w:r>
        <w:separator/>
      </w:r>
    </w:p>
  </w:endnote>
  <w:endnote w:type="continuationSeparator" w:id="0">
    <w:p w:rsidR="000E52DC" w:rsidRDefault="000E52DC" w:rsidP="00C77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6559080"/>
      <w:docPartObj>
        <w:docPartGallery w:val="Page Numbers (Bottom of Page)"/>
        <w:docPartUnique/>
      </w:docPartObj>
    </w:sdtPr>
    <w:sdtContent>
      <w:sdt>
        <w:sdtPr>
          <w:id w:val="1728636285"/>
          <w:docPartObj>
            <w:docPartGallery w:val="Page Numbers (Top of Page)"/>
            <w:docPartUnique/>
          </w:docPartObj>
        </w:sdtPr>
        <w:sdtContent>
          <w:p w:rsidR="00C77ED1" w:rsidRDefault="00C77ED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B61BE">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B61BE">
              <w:rPr>
                <w:b/>
                <w:bCs/>
                <w:noProof/>
              </w:rPr>
              <w:t>30</w:t>
            </w:r>
            <w:r>
              <w:rPr>
                <w:b/>
                <w:bCs/>
                <w:sz w:val="24"/>
                <w:szCs w:val="24"/>
              </w:rPr>
              <w:fldChar w:fldCharType="end"/>
            </w:r>
          </w:p>
        </w:sdtContent>
      </w:sdt>
    </w:sdtContent>
  </w:sdt>
  <w:p w:rsidR="00C77ED1" w:rsidRDefault="00C77E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52DC" w:rsidRDefault="000E52DC" w:rsidP="00C77ED1">
      <w:pPr>
        <w:spacing w:after="0" w:line="240" w:lineRule="auto"/>
      </w:pPr>
      <w:r>
        <w:separator/>
      </w:r>
    </w:p>
  </w:footnote>
  <w:footnote w:type="continuationSeparator" w:id="0">
    <w:p w:rsidR="000E52DC" w:rsidRDefault="000E52DC" w:rsidP="00C77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6026F"/>
    <w:multiLevelType w:val="hybridMultilevel"/>
    <w:tmpl w:val="297CC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52DC"/>
    <w:rsid w:val="0015074B"/>
    <w:rsid w:val="0029639D"/>
    <w:rsid w:val="00326F90"/>
    <w:rsid w:val="007421B5"/>
    <w:rsid w:val="009B61BE"/>
    <w:rsid w:val="00AA1D8D"/>
    <w:rsid w:val="00B47730"/>
    <w:rsid w:val="00C77E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4F324"/>
  <w14:defaultImageDpi w14:val="300"/>
  <w15:docId w15:val="{B0630CC2-698C-46C5-B80F-A56343D9C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AB9B9-6492-4138-B9B4-D94F29775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8791</Words>
  <Characters>50109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CMB SSD</cp:lastModifiedBy>
  <cp:revision>2</cp:revision>
  <dcterms:created xsi:type="dcterms:W3CDTF">2026-04-08T22:26:00Z</dcterms:created>
  <dcterms:modified xsi:type="dcterms:W3CDTF">2026-04-08T22:26:00Z</dcterms:modified>
  <cp:category/>
</cp:coreProperties>
</file>