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rsidR="00A77B3E">
      <w:r>
        <w:drawing>
          <wp:inline>
            <wp:extent cx="1876425" cy="381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425" cy="381000"/>
                    </a:xfrm>
                    <a:prstGeom prst="rect">
                      <a:avLst/>
                    </a:prstGeom>
                  </pic:spPr>
                </pic:pic>
              </a:graphicData>
            </a:graphic>
          </wp:inline>
        </w:drawing>
      </w:r>
      <w:r>
        <w:br/>
      </w:r>
    </w:p>
    <w:p>
      <w:pPr>
        <w:pBdr>
          <w:top w:val="single" w:sz="12" w:space="11" w:color="7247C9"/>
          <w:left w:val="single" w:sz="12" w:space="7" w:color="7247C9"/>
          <w:bottom w:val="single" w:sz="12" w:space="11" w:color="7247C9"/>
          <w:right w:val="single" w:sz="12" w:space="7" w:color="7247C9"/>
        </w:pBdr>
        <w:shd w:val="clear" w:color="auto" w:fill="F1EBFC"/>
        <w:spacing w:before="0" w:after="0"/>
        <w:ind w:left="180" w:right="18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Daniel Glascoe:</w:t>
      </w:r>
    </w:p>
    <w:p>
      <w:pPr>
        <w:pBdr>
          <w:top w:val="single" w:sz="12" w:space="11" w:color="7247C9"/>
          <w:left w:val="single" w:sz="12" w:space="7" w:color="7247C9"/>
          <w:bottom w:val="single" w:sz="12" w:space="11" w:color="7247C9"/>
          <w:right w:val="single" w:sz="12" w:space="7" w:color="7247C9"/>
        </w:pBdr>
        <w:shd w:val="clear" w:color="auto" w:fill="F1EBFC"/>
        <w:spacing w:before="0" w:after="0"/>
        <w:ind w:left="180" w:right="18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Draft an affirmation in opposition to the motion</w:t>
      </w: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strike w:val="0"/>
          <w:color w:val="00172E"/>
          <w:sz w:val="24"/>
          <w:u w:val="none"/>
        </w:rPr>
        <w:drawing>
          <wp:inline>
            <wp:extent cx="228600" cy="228600"/>
            <wp:docPr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5"/>
                    <a:stretch>
                      <a:fillRect/>
                    </a:stretch>
                  </pic:blipFill>
                  <pic:spPr>
                    <a:xfrm>
                      <a:off x="0" y="0"/>
                      <a:ext cx="228600" cy="228600"/>
                    </a:xfrm>
                    <a:prstGeom prst="rect">
                      <a:avLst/>
                    </a:prstGeom>
                  </pic:spPr>
                </pic:pic>
              </a:graphicData>
            </a:graphic>
          </wp:inline>
        </w:drawing>
      </w:r>
      <w:r>
        <w:rPr>
          <w:rFonts w:ascii="Times New Roman" w:eastAsia="Times New Roman" w:hAnsi="Times New Roman" w:cs="Times New Roman"/>
          <w:b w:val="0"/>
          <w:bCs w:val="0"/>
          <w:color w:val="00172E"/>
          <w:sz w:val="24"/>
        </w:rPr>
        <w:t xml:space="preserve"> AI Assistant</w:t>
      </w: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SUPREME COURT OF THE STATE OF NEW YORK</w:t>
      </w: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COUNTY OF KINGS</w:t>
      </w:r>
    </w:p>
    <w:p>
      <w:pPr>
        <w:spacing w:after="0"/>
        <w:rPr>
          <w:b w:val="0"/>
          <w:bCs w:val="0"/>
          <w:color w:val="00172E"/>
          <w:sz w:val="21"/>
          <w:szCs w:val="21"/>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MARINE BULKHEADING, INC.,</w:t>
      </w:r>
    </w:p>
    <w:p>
      <w:pPr>
        <w:spacing w:after="0"/>
        <w:rPr>
          <w:b w:val="0"/>
          <w:bCs w:val="0"/>
          <w:color w:val="00172E"/>
          <w:sz w:val="21"/>
          <w:szCs w:val="21"/>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Plaintiff,</w:t>
      </w:r>
    </w:p>
    <w:p>
      <w:pPr>
        <w:spacing w:after="0"/>
        <w:rPr>
          <w:b w:val="0"/>
          <w:bCs w:val="0"/>
          <w:color w:val="00172E"/>
          <w:sz w:val="21"/>
          <w:szCs w:val="21"/>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-against-</w:t>
      </w:r>
    </w:p>
    <w:p>
      <w:pPr>
        <w:spacing w:after="0"/>
        <w:rPr>
          <w:b w:val="0"/>
          <w:bCs w:val="0"/>
          <w:color w:val="00172E"/>
          <w:sz w:val="21"/>
          <w:szCs w:val="21"/>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JAT CONSTRUCTION GROUP INC., and</w:t>
      </w: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402 AVENUE T LLC, and "JOHN DOE" said name(s) being fictitious and unknown to plaintiff, such person(s) and/or entity(ies) being intended to be lienors, mortgagees, judgment creditors, tenants, occupants, or other parties and/or entity(ies) with an interest in the real property located at 402 Avenue T a/k/a 2044 East 2nd Street, Brooklyn, NY 11223, City and State of New York, County of Kings, Block 7104, Lot 458,</w:t>
      </w:r>
    </w:p>
    <w:p>
      <w:pPr>
        <w:spacing w:after="0"/>
        <w:rPr>
          <w:b w:val="0"/>
          <w:bCs w:val="0"/>
          <w:color w:val="00172E"/>
          <w:sz w:val="21"/>
          <w:szCs w:val="21"/>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Defendants.</w:t>
      </w:r>
    </w:p>
    <w:p>
      <w:pPr>
        <w:spacing w:after="0"/>
        <w:rPr>
          <w:b w:val="0"/>
          <w:bCs w:val="0"/>
          <w:color w:val="00172E"/>
          <w:sz w:val="21"/>
          <w:szCs w:val="21"/>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Index No. 500420/2026</w:t>
      </w:r>
    </w:p>
    <w:p>
      <w:pPr>
        <w:spacing w:after="0"/>
        <w:rPr>
          <w:b w:val="0"/>
          <w:bCs w:val="0"/>
          <w:color w:val="00172E"/>
          <w:sz w:val="21"/>
          <w:szCs w:val="21"/>
        </w:rPr>
      </w:pPr>
    </w:p>
    <w:p>
      <w:pPr>
        <w:pStyle w:val="Heading1"/>
        <w:keepNext w:val="0"/>
        <w:spacing w:before="322" w:after="322"/>
        <w:rPr>
          <w:rFonts w:ascii="Times New Roman" w:eastAsia="Times New Roman" w:hAnsi="Times New Roman" w:cs="Times New Roman"/>
          <w:b/>
          <w:bCs/>
          <w:color w:val="00172E"/>
          <w:sz w:val="48"/>
          <w:szCs w:val="48"/>
        </w:rPr>
      </w:pPr>
      <w:r>
        <w:rPr>
          <w:rFonts w:ascii="Times New Roman" w:eastAsia="Times New Roman" w:hAnsi="Times New Roman" w:cs="Times New Roman"/>
          <w:color w:val="00172E"/>
          <w:kern w:val="36"/>
          <w:sz w:val="48"/>
          <w:szCs w:val="48"/>
        </w:rPr>
        <w:t>AFFIRMATION IN OPPOSITION TO DEFENDANT 402 AVENUE T LLC'S MOTION TO DISMISS</w:t>
      </w:r>
    </w:p>
    <w:p>
      <w:pPr>
        <w:spacing w:after="0"/>
        <w:rPr>
          <w:b w:val="0"/>
          <w:bCs w:val="0"/>
          <w:color w:val="00172E"/>
          <w:sz w:val="21"/>
          <w:szCs w:val="21"/>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John N. Cuomo, Esq. , an attorney duly admitted to practice in the courts of the State of New York, hereby affirms under penalties of perjury as follows:</w:t>
      </w:r>
    </w:p>
    <w:p>
      <w:pPr>
        <w:spacing w:after="0"/>
        <w:rPr>
          <w:b w:val="0"/>
          <w:bCs w:val="0"/>
          <w:color w:val="00172E"/>
          <w:sz w:val="21"/>
          <w:szCs w:val="21"/>
        </w:rPr>
      </w:pPr>
    </w:p>
    <w:p>
      <w:pPr>
        <w:pStyle w:val="Heading2"/>
        <w:keepNext w:val="0"/>
        <w:spacing w:before="299" w:after="299"/>
        <w:rPr>
          <w:rFonts w:ascii="Times New Roman" w:eastAsia="Times New Roman" w:hAnsi="Times New Roman" w:cs="Times New Roman"/>
          <w:b/>
          <w:bCs/>
          <w:color w:val="00172E"/>
          <w:sz w:val="36"/>
          <w:szCs w:val="36"/>
        </w:rPr>
      </w:pPr>
      <w:r>
        <w:rPr>
          <w:rFonts w:ascii="Times New Roman" w:eastAsia="Times New Roman" w:hAnsi="Times New Roman" w:cs="Times New Roman"/>
          <w:i w:val="0"/>
          <w:iCs w:val="0"/>
          <w:color w:val="00172E"/>
          <w:sz w:val="36"/>
          <w:szCs w:val="36"/>
        </w:rPr>
        <w:t>I. INTRODUCTION</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I am the attorney of record for Plaintiff Marine Bulkheading, Inc. in this action. I submit this affirmation in opposition to the motion to dismiss filed by Defendant 402 Avenue T LLC on March 20, 2026.</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This action arises from a construction dispute in which Plaintiff performed foundation, piling, excavation, and related work at the property owned by Defendant 402 Avenue T LLC from October 1, 2025, through December 4, 2025. Plaintiff contracted with JAT Construction Group Inc., the general contractor, for an agreed price of $854,700.00. Despite Plaintiff's full performance, $361,080.00 remains unpaid. Plaintiff timely filed a mechanic's lien on December 16, 2025, and commenced this action asserting six causes of action.</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Defendant 402 Avenue T LLC now seeks dismissal of the entire complaint, or alternatively, dismissal of the Second, Fourth, and Fifth Causes of Action and all personal money judgments against it. The motion should be denied in its entirety because Plaintiff has pleaded sufficient facts to state viable causes of action, the documentary evidence does not conclusively refute Plaintiff's allegations, material factual disputes preclude dismissal, and discovery is necessary to resolve disputed issues regarding earned value, payment, and the owner's knowledge and involvement in the project.</w:t>
      </w:r>
    </w:p>
    <w:p>
      <w:pPr>
        <w:spacing w:after="0"/>
        <w:rPr>
          <w:rFonts w:ascii="Courier New" w:eastAsia="Courier New" w:hAnsi="Courier New" w:cs="Courier New"/>
          <w:szCs w:val="20"/>
        </w:rPr>
      </w:pPr>
    </w:p>
    <w:p>
      <w:pPr>
        <w:pStyle w:val="Heading2"/>
        <w:keepNext w:val="0"/>
        <w:spacing w:before="299" w:after="0"/>
        <w:rPr>
          <w:rFonts w:ascii="Times New Roman" w:eastAsia="Times New Roman" w:hAnsi="Times New Roman" w:cs="Times New Roman"/>
          <w:b/>
          <w:bCs/>
          <w:sz w:val="36"/>
          <w:szCs w:val="36"/>
        </w:rPr>
      </w:pPr>
      <w:r>
        <w:rPr>
          <w:rFonts w:ascii="Times New Roman" w:eastAsia="Times New Roman" w:hAnsi="Times New Roman" w:cs="Times New Roman"/>
          <w:i w:val="0"/>
          <w:iCs w:val="0"/>
          <w:sz w:val="36"/>
          <w:szCs w:val="36"/>
        </w:rPr>
        <w:t>II. STATEMENT OF FACTS</w:t>
      </w:r>
    </w:p>
    <w:p>
      <w:pPr>
        <w:pStyle w:val="Heading3"/>
        <w:keepNext w:val="0"/>
        <w:spacing w:before="270" w:after="0"/>
        <w:rPr>
          <w:rFonts w:ascii="Times New Roman" w:eastAsia="Times New Roman" w:hAnsi="Times New Roman" w:cs="Times New Roman"/>
          <w:b/>
          <w:bCs/>
          <w:sz w:val="27"/>
          <w:szCs w:val="27"/>
        </w:rPr>
      </w:pPr>
      <w:r>
        <w:rPr>
          <w:rFonts w:ascii="Times New Roman" w:eastAsia="Times New Roman" w:hAnsi="Times New Roman" w:cs="Times New Roman"/>
          <w:sz w:val="27"/>
          <w:szCs w:val="27"/>
        </w:rPr>
        <w:t>A. The Parties and the Project</w:t>
      </w: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Plaintiff Marine Bulkheading, Inc. is a New York corporation engaged in pile driving, excavation, shoring, bulkheading, and related construction services. Defendant 402 Avenue T LLC is a New York limited liability company that owns the real property located at 402 Avenue T, also known as 2044 East 2nd Street, Brooklyn, New York 11223. Joseph Gabbay is the manager of Defendant 402 Avenue T LLC. JAT Construction Group Inc. is a New York corporation with John Longardo as its president. JAT was engaged as the general contractor for a ground-up construction project at the Property.</w:t>
      </w:r>
    </w:p>
    <w:p>
      <w:pPr>
        <w:pStyle w:val="Heading3"/>
        <w:keepNext w:val="0"/>
        <w:spacing w:before="0" w:after="0"/>
        <w:rPr>
          <w:rFonts w:ascii="Times New Roman" w:eastAsia="Times New Roman" w:hAnsi="Times New Roman" w:cs="Times New Roman"/>
          <w:b/>
          <w:bCs/>
          <w:sz w:val="27"/>
          <w:szCs w:val="27"/>
        </w:rPr>
      </w:pPr>
    </w:p>
    <w:p>
      <w:pPr>
        <w:pStyle w:val="Heading3"/>
        <w:keepNext w:val="0"/>
        <w:spacing w:before="270" w:after="0"/>
        <w:rPr>
          <w:rFonts w:ascii="Times New Roman" w:eastAsia="Times New Roman" w:hAnsi="Times New Roman" w:cs="Times New Roman"/>
          <w:b/>
          <w:bCs/>
          <w:sz w:val="27"/>
          <w:szCs w:val="27"/>
        </w:rPr>
      </w:pPr>
      <w:r>
        <w:rPr>
          <w:rFonts w:ascii="Times New Roman" w:eastAsia="Times New Roman" w:hAnsi="Times New Roman" w:cs="Times New Roman"/>
          <w:sz w:val="27"/>
          <w:szCs w:val="27"/>
        </w:rPr>
        <w:t>B. The Contracts and Plaintiff's Work</w:t>
      </w: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On September 2, 2025, Defendant 402 Avenue T LLC and JAT entered into a prime contract for the construction of a single-family residence at the Property. The Prime Contract provided for a contract sum of $3,460,474.00. On or about October 1, 2025, JAT, with the knowledge, consent, and authority of Defendant 402 Avenue T LLC, entered into an agreement with Plaintiff to perform foundation, piling, excavation, and related work at the Property. The agreed price for the Subcontract work was $854,700.00.</w:t>
      </w:r>
    </w:p>
    <w:p>
      <w:pPr>
        <w:pStyle w:val="Heading3"/>
        <w:keepNext w:val="0"/>
        <w:spacing w:before="0" w:after="0"/>
        <w:rPr>
          <w:rFonts w:ascii="Times New Roman" w:eastAsia="Times New Roman" w:hAnsi="Times New Roman" w:cs="Times New Roman"/>
          <w:b/>
          <w:bCs/>
          <w:sz w:val="27"/>
          <w:szCs w:val="27"/>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From October 1, 2025, through December 4, 2025, Plaintiff performed all labor and services required under the Subcontract and furnished all necessary materials. The work included the supply and installation of timber piles, concrete, excavation, and related labor and materials. All labor and materials were delivered to and incorporated into the real property.</w:t>
      </w:r>
    </w:p>
    <w:p>
      <w:pPr>
        <w:pStyle w:val="Heading3"/>
        <w:keepNext w:val="0"/>
        <w:spacing w:before="0" w:after="0"/>
        <w:rPr>
          <w:rFonts w:ascii="Times New Roman" w:eastAsia="Times New Roman" w:hAnsi="Times New Roman" w:cs="Times New Roman"/>
          <w:b/>
          <w:bCs/>
          <w:sz w:val="27"/>
          <w:szCs w:val="27"/>
        </w:rPr>
      </w:pPr>
    </w:p>
    <w:p>
      <w:pPr>
        <w:pStyle w:val="Heading3"/>
        <w:keepNext w:val="0"/>
        <w:spacing w:before="270" w:after="0"/>
        <w:rPr>
          <w:rFonts w:ascii="Times New Roman" w:eastAsia="Times New Roman" w:hAnsi="Times New Roman" w:cs="Times New Roman"/>
          <w:b/>
          <w:bCs/>
          <w:sz w:val="27"/>
          <w:szCs w:val="27"/>
        </w:rPr>
      </w:pPr>
      <w:r>
        <w:rPr>
          <w:rFonts w:ascii="Times New Roman" w:eastAsia="Times New Roman" w:hAnsi="Times New Roman" w:cs="Times New Roman"/>
          <w:sz w:val="27"/>
          <w:szCs w:val="27"/>
        </w:rPr>
        <w:t>C. Payment History and Invoicing</w:t>
      </w: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On September 25, 2025, Plaintiff submitted an invoice to JAT for $121,500.00, representing payment for mobilization and material deposit. On the same date, Plaintiff executed an Unconditional Waiver and Release on Progress Payment, identifying JAT Construction Group as the maker of a check in the amount of $121,500.00 and limiting the waiver to work performed through September 30, 2025.</w:t>
      </w:r>
    </w:p>
    <w:p>
      <w:pPr>
        <w:pStyle w:val="Heading3"/>
        <w:keepNext w:val="0"/>
        <w:spacing w:before="0" w:after="0"/>
        <w:rPr>
          <w:rFonts w:ascii="Times New Roman" w:eastAsia="Times New Roman" w:hAnsi="Times New Roman" w:cs="Times New Roman"/>
          <w:b/>
          <w:bCs/>
          <w:sz w:val="27"/>
          <w:szCs w:val="27"/>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Beginning in October 2025 and regularly thereafter, Plaintiff rendered statements of account to Defendants showing the amount due and owing. These statements were received by Defendants without challenge, complaint, offset, rejection, or objection within a reasonable time.</w:t>
      </w:r>
    </w:p>
    <w:p>
      <w:pPr>
        <w:pStyle w:val="Heading3"/>
        <w:keepNext w:val="0"/>
        <w:spacing w:before="0" w:after="0"/>
        <w:rPr>
          <w:rFonts w:ascii="Times New Roman" w:eastAsia="Times New Roman" w:hAnsi="Times New Roman" w:cs="Times New Roman"/>
          <w:b/>
          <w:bCs/>
          <w:sz w:val="27"/>
          <w:szCs w:val="27"/>
        </w:rPr>
      </w:pPr>
    </w:p>
    <w:p>
      <w:pPr>
        <w:pStyle w:val="Heading3"/>
        <w:keepNext w:val="0"/>
        <w:spacing w:before="270" w:after="0"/>
        <w:rPr>
          <w:rFonts w:ascii="Times New Roman" w:eastAsia="Times New Roman" w:hAnsi="Times New Roman" w:cs="Times New Roman"/>
          <w:b/>
          <w:bCs/>
          <w:sz w:val="27"/>
          <w:szCs w:val="27"/>
        </w:rPr>
      </w:pPr>
      <w:r>
        <w:rPr>
          <w:rFonts w:ascii="Times New Roman" w:eastAsia="Times New Roman" w:hAnsi="Times New Roman" w:cs="Times New Roman"/>
          <w:sz w:val="27"/>
          <w:szCs w:val="27"/>
        </w:rPr>
        <w:t>D. Owner's Payments to JAT and the Lien Fund Dispute</w:t>
      </w: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According to documentary evidence submitted by Defendant, Defendant made the following payments to JAT:</w:t>
      </w:r>
    </w:p>
    <w:p>
      <w:pPr>
        <w:pStyle w:val="Heading3"/>
        <w:keepNext w:val="0"/>
        <w:spacing w:before="0" w:after="0"/>
        <w:rPr>
          <w:rFonts w:ascii="Times New Roman" w:eastAsia="Times New Roman" w:hAnsi="Times New Roman" w:cs="Times New Roman"/>
          <w:b/>
          <w:bCs/>
          <w:sz w:val="27"/>
          <w:szCs w:val="27"/>
        </w:rPr>
      </w:pPr>
    </w:p>
    <w:p>
      <w:pPr>
        <w:spacing w:before="240" w:after="0"/>
        <w:ind w:left="720"/>
        <w:rPr>
          <w:rFonts w:ascii="Times New Roman" w:eastAsia="Times New Roman" w:hAnsi="Times New Roman" w:cs="Times New Roman"/>
          <w:b w:val="0"/>
          <w:bCs w:val="0"/>
          <w:color w:val="00172E"/>
          <w:sz w:val="24"/>
        </w:rPr>
      </w:pPr>
    </w:p>
    <w:p>
      <w:pPr>
        <w:numPr>
          <w:ilvl w:val="0"/>
          <w:numId w:val="1"/>
        </w:numPr>
        <w:ind w:left="720" w:hanging="280"/>
        <w:jc w:val="left"/>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September 4, 2025: Two checks totaling $277,290.00 ($138,645.00 each, checks numbered 1029 and 1030)</w:t>
      </w:r>
    </w:p>
    <w:p>
      <w:pPr>
        <w:spacing w:after="0"/>
        <w:ind w:left="720"/>
        <w:rPr>
          <w:rFonts w:ascii="Times New Roman" w:eastAsia="Times New Roman" w:hAnsi="Times New Roman" w:cs="Times New Roman"/>
          <w:b w:val="0"/>
          <w:bCs w:val="0"/>
          <w:color w:val="00172E"/>
          <w:sz w:val="24"/>
        </w:rPr>
      </w:pPr>
    </w:p>
    <w:p>
      <w:pPr>
        <w:numPr>
          <w:ilvl w:val="0"/>
          <w:numId w:val="1"/>
        </w:numPr>
        <w:ind w:left="720" w:hanging="280"/>
        <w:jc w:val="left"/>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November 3, 2025: Wire transfer of $60,000.00</w:t>
      </w:r>
    </w:p>
    <w:p>
      <w:pPr>
        <w:spacing w:after="0"/>
        <w:ind w:left="720"/>
        <w:rPr>
          <w:rFonts w:ascii="Times New Roman" w:eastAsia="Times New Roman" w:hAnsi="Times New Roman" w:cs="Times New Roman"/>
          <w:b w:val="0"/>
          <w:bCs w:val="0"/>
          <w:color w:val="00172E"/>
          <w:sz w:val="24"/>
        </w:rPr>
      </w:pPr>
    </w:p>
    <w:p>
      <w:pPr>
        <w:spacing w:before="0" w:after="0"/>
        <w:ind w:left="720"/>
        <w:rPr>
          <w:rFonts w:ascii="Times New Roman" w:eastAsia="Times New Roman" w:hAnsi="Times New Roman" w:cs="Times New Roman"/>
          <w:b w:val="0"/>
          <w:bCs w:val="0"/>
          <w:color w:val="00172E"/>
          <w:sz w:val="24"/>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The total payments made by Defendant to JAT were $337,290.00.</w:t>
      </w:r>
    </w:p>
    <w:p>
      <w:pPr>
        <w:pStyle w:val="Heading3"/>
        <w:keepNext w:val="0"/>
        <w:spacing w:before="0" w:after="0"/>
        <w:rPr>
          <w:rFonts w:ascii="Times New Roman" w:eastAsia="Times New Roman" w:hAnsi="Times New Roman" w:cs="Times New Roman"/>
          <w:b/>
          <w:bCs/>
          <w:sz w:val="27"/>
          <w:szCs w:val="27"/>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The Payment Application and Certificate for Payment submitted by Defendant shows that the September 4, 2025 payment of $277,290.00 was allocated as follows:</w:t>
      </w:r>
    </w:p>
    <w:p>
      <w:pPr>
        <w:pStyle w:val="Heading3"/>
        <w:keepNext w:val="0"/>
        <w:spacing w:before="0" w:after="0"/>
        <w:rPr>
          <w:rFonts w:ascii="Times New Roman" w:eastAsia="Times New Roman" w:hAnsi="Times New Roman" w:cs="Times New Roman"/>
          <w:b/>
          <w:bCs/>
          <w:sz w:val="27"/>
          <w:szCs w:val="27"/>
        </w:rPr>
      </w:pPr>
    </w:p>
    <w:p>
      <w:pPr>
        <w:spacing w:before="240" w:after="0"/>
        <w:ind w:left="720"/>
        <w:rPr>
          <w:rFonts w:ascii="Times New Roman" w:eastAsia="Times New Roman" w:hAnsi="Times New Roman" w:cs="Times New Roman"/>
          <w:b w:val="0"/>
          <w:bCs w:val="0"/>
          <w:color w:val="00172E"/>
          <w:sz w:val="24"/>
        </w:rPr>
      </w:pPr>
    </w:p>
    <w:p>
      <w:pPr>
        <w:numPr>
          <w:ilvl w:val="0"/>
          <w:numId w:val="2"/>
        </w:numPr>
        <w:ind w:left="720" w:hanging="280"/>
        <w:jc w:val="left"/>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Mobilization: $150,000.00</w:t>
      </w:r>
    </w:p>
    <w:p>
      <w:pPr>
        <w:spacing w:after="0"/>
        <w:ind w:left="720"/>
        <w:rPr>
          <w:rFonts w:ascii="Times New Roman" w:eastAsia="Times New Roman" w:hAnsi="Times New Roman" w:cs="Times New Roman"/>
          <w:b w:val="0"/>
          <w:bCs w:val="0"/>
          <w:color w:val="00172E"/>
          <w:sz w:val="24"/>
        </w:rPr>
      </w:pPr>
    </w:p>
    <w:p>
      <w:pPr>
        <w:numPr>
          <w:ilvl w:val="0"/>
          <w:numId w:val="2"/>
        </w:numPr>
        <w:ind w:left="720" w:hanging="280"/>
        <w:jc w:val="left"/>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Demolition: $23,100.00</w:t>
      </w:r>
    </w:p>
    <w:p>
      <w:pPr>
        <w:spacing w:after="0"/>
        <w:ind w:left="720"/>
        <w:rPr>
          <w:rFonts w:ascii="Times New Roman" w:eastAsia="Times New Roman" w:hAnsi="Times New Roman" w:cs="Times New Roman"/>
          <w:b w:val="0"/>
          <w:bCs w:val="0"/>
          <w:color w:val="00172E"/>
          <w:sz w:val="24"/>
        </w:rPr>
      </w:pPr>
    </w:p>
    <w:p>
      <w:pPr>
        <w:numPr>
          <w:ilvl w:val="0"/>
          <w:numId w:val="2"/>
        </w:numPr>
        <w:ind w:left="720" w:hanging="280"/>
        <w:jc w:val="left"/>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Piles and Shoring: $135,000.00</w:t>
      </w:r>
    </w:p>
    <w:p>
      <w:pPr>
        <w:spacing w:after="0"/>
        <w:ind w:left="720"/>
        <w:rPr>
          <w:rFonts w:ascii="Times New Roman" w:eastAsia="Times New Roman" w:hAnsi="Times New Roman" w:cs="Times New Roman"/>
          <w:b w:val="0"/>
          <w:bCs w:val="0"/>
          <w:color w:val="00172E"/>
          <w:sz w:val="24"/>
        </w:rPr>
      </w:pPr>
    </w:p>
    <w:p>
      <w:pPr>
        <w:numPr>
          <w:ilvl w:val="0"/>
          <w:numId w:val="2"/>
        </w:numPr>
        <w:ind w:left="720" w:hanging="280"/>
        <w:jc w:val="left"/>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Less 10% Retainage: ($30,810.00)</w:t>
      </w:r>
    </w:p>
    <w:p>
      <w:pPr>
        <w:spacing w:after="0"/>
        <w:ind w:left="720"/>
        <w:rPr>
          <w:rFonts w:ascii="Times New Roman" w:eastAsia="Times New Roman" w:hAnsi="Times New Roman" w:cs="Times New Roman"/>
          <w:b w:val="0"/>
          <w:bCs w:val="0"/>
          <w:color w:val="00172E"/>
          <w:sz w:val="24"/>
        </w:rPr>
      </w:pPr>
    </w:p>
    <w:p>
      <w:pPr>
        <w:numPr>
          <w:ilvl w:val="0"/>
          <w:numId w:val="2"/>
        </w:numPr>
        <w:ind w:left="720" w:hanging="280"/>
        <w:jc w:val="left"/>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Total: $277,290.00</w:t>
      </w:r>
    </w:p>
    <w:p>
      <w:pPr>
        <w:spacing w:after="0"/>
        <w:ind w:left="720"/>
        <w:rPr>
          <w:rFonts w:ascii="Times New Roman" w:eastAsia="Times New Roman" w:hAnsi="Times New Roman" w:cs="Times New Roman"/>
          <w:b w:val="0"/>
          <w:bCs w:val="0"/>
          <w:color w:val="00172E"/>
          <w:sz w:val="24"/>
        </w:rPr>
      </w:pPr>
    </w:p>
    <w:p>
      <w:pPr>
        <w:spacing w:before="0" w:after="0"/>
        <w:ind w:left="720"/>
        <w:rPr>
          <w:rFonts w:ascii="Times New Roman" w:eastAsia="Times New Roman" w:hAnsi="Times New Roman" w:cs="Times New Roman"/>
          <w:b w:val="0"/>
          <w:bCs w:val="0"/>
          <w:color w:val="00172E"/>
          <w:sz w:val="24"/>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The Payment Application describes the mobilization charges as billed in advance. This characterization creates ambiguity regarding whether the mobilization charges represented payment for work actually performed or advance payments for preliminary work and equipment mobilization not yet earned.</w:t>
      </w:r>
    </w:p>
    <w:p>
      <w:pPr>
        <w:pStyle w:val="Heading3"/>
        <w:keepNext w:val="0"/>
        <w:spacing w:before="0" w:after="0"/>
        <w:rPr>
          <w:rFonts w:ascii="Times New Roman" w:eastAsia="Times New Roman" w:hAnsi="Times New Roman" w:cs="Times New Roman"/>
          <w:b/>
          <w:bCs/>
          <w:sz w:val="27"/>
          <w:szCs w:val="27"/>
        </w:rPr>
      </w:pPr>
    </w:p>
    <w:p>
      <w:pPr>
        <w:pStyle w:val="Heading3"/>
        <w:keepNext w:val="0"/>
        <w:spacing w:before="270" w:after="0"/>
        <w:rPr>
          <w:rFonts w:ascii="Times New Roman" w:eastAsia="Times New Roman" w:hAnsi="Times New Roman" w:cs="Times New Roman"/>
          <w:b/>
          <w:bCs/>
          <w:sz w:val="27"/>
          <w:szCs w:val="27"/>
        </w:rPr>
      </w:pPr>
      <w:r>
        <w:rPr>
          <w:rFonts w:ascii="Times New Roman" w:eastAsia="Times New Roman" w:hAnsi="Times New Roman" w:cs="Times New Roman"/>
          <w:sz w:val="27"/>
          <w:szCs w:val="27"/>
        </w:rPr>
        <w:t>E. Termination of the General Contractor</w:t>
      </w: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On December 3, 2025, Defendant's attorney sent a termination notice to JAT, effective December 5, 2025, terminating the Prime Contract due to performance failures. This termination occurred just eleven days before Plaintiff filed its mechanic's lien and demonstrates that Defendant exercised direct control over the project.</w:t>
      </w:r>
    </w:p>
    <w:p>
      <w:pPr>
        <w:pStyle w:val="Heading3"/>
        <w:keepNext w:val="0"/>
        <w:spacing w:before="0" w:after="0"/>
        <w:rPr>
          <w:rFonts w:ascii="Times New Roman" w:eastAsia="Times New Roman" w:hAnsi="Times New Roman" w:cs="Times New Roman"/>
          <w:b/>
          <w:bCs/>
          <w:sz w:val="27"/>
          <w:szCs w:val="27"/>
        </w:rPr>
      </w:pPr>
    </w:p>
    <w:p>
      <w:pPr>
        <w:pStyle w:val="Heading3"/>
        <w:keepNext w:val="0"/>
        <w:spacing w:before="270" w:after="0"/>
        <w:rPr>
          <w:rFonts w:ascii="Times New Roman" w:eastAsia="Times New Roman" w:hAnsi="Times New Roman" w:cs="Times New Roman"/>
          <w:b/>
          <w:bCs/>
          <w:sz w:val="27"/>
          <w:szCs w:val="27"/>
        </w:rPr>
      </w:pPr>
      <w:r>
        <w:rPr>
          <w:rFonts w:ascii="Times New Roman" w:eastAsia="Times New Roman" w:hAnsi="Times New Roman" w:cs="Times New Roman"/>
          <w:sz w:val="27"/>
          <w:szCs w:val="27"/>
        </w:rPr>
        <w:t>F. The Dishonored Check</w:t>
      </w: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On November 23, 2025, JAT issued check number 5090 to Plaintiff in the amount of $200,000.00 as partial payment for the work performed. On December 4, 2025, and again on December 10, 2025, Plaintiff presented the check for payment. On both occasions, the check was returned unpaid and marked for insufficient funds. Plaintiff reasonably relied upon JAT's issuance of the check and continued to perform work to its detriment.</w:t>
      </w:r>
    </w:p>
    <w:p>
      <w:pPr>
        <w:pStyle w:val="Heading3"/>
        <w:keepNext w:val="0"/>
        <w:spacing w:before="0" w:after="0"/>
        <w:rPr>
          <w:rFonts w:ascii="Times New Roman" w:eastAsia="Times New Roman" w:hAnsi="Times New Roman" w:cs="Times New Roman"/>
          <w:b/>
          <w:bCs/>
          <w:sz w:val="27"/>
          <w:szCs w:val="27"/>
        </w:rPr>
      </w:pPr>
    </w:p>
    <w:p>
      <w:pPr>
        <w:pStyle w:val="Heading3"/>
        <w:keepNext w:val="0"/>
        <w:spacing w:before="270" w:after="0"/>
        <w:rPr>
          <w:rFonts w:ascii="Times New Roman" w:eastAsia="Times New Roman" w:hAnsi="Times New Roman" w:cs="Times New Roman"/>
          <w:b/>
          <w:bCs/>
          <w:sz w:val="27"/>
          <w:szCs w:val="27"/>
        </w:rPr>
      </w:pPr>
      <w:r>
        <w:rPr>
          <w:rFonts w:ascii="Times New Roman" w:eastAsia="Times New Roman" w:hAnsi="Times New Roman" w:cs="Times New Roman"/>
          <w:sz w:val="27"/>
          <w:szCs w:val="27"/>
        </w:rPr>
        <w:t>G. The Mechanic's Lien Filing</w:t>
      </w: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On December 16, 2025, Plaintiff filed a Notice of Mechanic's Lien in the office of the Clerk of the County of Kings, together with an Affidavit of Service. The lien was filed within the time prescribed by the New York State Lien Law. The mechanic's lien states that Plaintiff was employed by JAT Construction Group, that the contract was made with JAT Construction Group, and that the amount unpaid under Plaintiff's subcontract was $361,080.00. Plaintiff's mechanic's lien has not been paid, cancelled, or discharged and remains valid and in force.</w:t>
      </w:r>
    </w:p>
    <w:p>
      <w:pPr>
        <w:pStyle w:val="Heading3"/>
        <w:keepNext w:val="0"/>
        <w:spacing w:before="0" w:after="0"/>
        <w:rPr>
          <w:rFonts w:ascii="Times New Roman" w:eastAsia="Times New Roman" w:hAnsi="Times New Roman" w:cs="Times New Roman"/>
          <w:b/>
          <w:bCs/>
          <w:sz w:val="27"/>
          <w:szCs w:val="27"/>
        </w:rPr>
      </w:pPr>
    </w:p>
    <w:p>
      <w:pPr>
        <w:pStyle w:val="Heading3"/>
        <w:keepNext w:val="0"/>
        <w:spacing w:before="270" w:after="0"/>
        <w:rPr>
          <w:rFonts w:ascii="Times New Roman" w:eastAsia="Times New Roman" w:hAnsi="Times New Roman" w:cs="Times New Roman"/>
          <w:b/>
          <w:bCs/>
          <w:sz w:val="27"/>
          <w:szCs w:val="27"/>
        </w:rPr>
      </w:pPr>
      <w:r>
        <w:rPr>
          <w:rFonts w:ascii="Times New Roman" w:eastAsia="Times New Roman" w:hAnsi="Times New Roman" w:cs="Times New Roman"/>
          <w:sz w:val="27"/>
          <w:szCs w:val="27"/>
        </w:rPr>
        <w:t>H. Other Mechanic's Liens</w:t>
      </w: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On February 20, 2026, Urban Industrial Group LLC filed a mechanic's lien against the Property for $109,300.00 for demolition services performed at the Property. Urban Industrial Group LLC was also a subcontractor hired by JAT. The existence of this additional mechanic's lien, filed after Defendant's alleged full payment to JAT, suggests that Defendant's assertion that JAT was paid in full is contradicted by the actions of other subcontractors.</w:t>
      </w:r>
    </w:p>
    <w:p>
      <w:pPr>
        <w:pStyle w:val="Heading3"/>
        <w:keepNext w:val="0"/>
        <w:spacing w:before="0" w:after="0"/>
        <w:rPr>
          <w:rFonts w:ascii="Times New Roman" w:eastAsia="Times New Roman" w:hAnsi="Times New Roman" w:cs="Times New Roman"/>
          <w:b/>
          <w:bCs/>
          <w:sz w:val="27"/>
          <w:szCs w:val="27"/>
        </w:rPr>
      </w:pPr>
    </w:p>
    <w:p>
      <w:pPr>
        <w:pStyle w:val="Heading3"/>
        <w:keepNext w:val="0"/>
        <w:spacing w:before="270" w:after="0"/>
        <w:rPr>
          <w:rFonts w:ascii="Times New Roman" w:eastAsia="Times New Roman" w:hAnsi="Times New Roman" w:cs="Times New Roman"/>
          <w:b/>
          <w:bCs/>
          <w:sz w:val="27"/>
          <w:szCs w:val="27"/>
        </w:rPr>
      </w:pPr>
      <w:r>
        <w:rPr>
          <w:rFonts w:ascii="Times New Roman" w:eastAsia="Times New Roman" w:hAnsi="Times New Roman" w:cs="Times New Roman"/>
          <w:sz w:val="27"/>
          <w:szCs w:val="27"/>
        </w:rPr>
        <w:t>I. Defendant's Declaration and Waiver</w:t>
      </w: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John Longardo, the president of JAT, submitted a declaration dated March 16, 2026, in support of Defendant's motion to dismiss. In this declaration, Mr. Longardo states that JAT received payments from Defendant totaling $337,290.00, that a substantial portion of these payments represented mobilization charges billed in advance, that JAT was paid in full and in fact overpaid after crediting the value of work actually performed, that no monies are due or owing from Defendant to JAT for the Project, and that JAT waives and relinquishes any present claim for payment against Defendant.</w:t>
      </w:r>
    </w:p>
    <w:p>
      <w:pPr>
        <w:pStyle w:val="Heading3"/>
        <w:keepNext w:val="0"/>
        <w:spacing w:before="0" w:after="0"/>
        <w:rPr>
          <w:rFonts w:ascii="Times New Roman" w:eastAsia="Times New Roman" w:hAnsi="Times New Roman" w:cs="Times New Roman"/>
          <w:b/>
          <w:bCs/>
          <w:sz w:val="27"/>
          <w:szCs w:val="27"/>
        </w:rPr>
      </w:pPr>
    </w:p>
    <w:p>
      <w:pPr>
        <w:pStyle w:val="Heading2"/>
        <w:keepNext w:val="0"/>
        <w:spacing w:before="299" w:after="0"/>
        <w:rPr>
          <w:rFonts w:ascii="Times New Roman" w:eastAsia="Times New Roman" w:hAnsi="Times New Roman" w:cs="Times New Roman"/>
          <w:b/>
          <w:bCs/>
          <w:sz w:val="36"/>
          <w:szCs w:val="36"/>
        </w:rPr>
      </w:pPr>
      <w:r>
        <w:rPr>
          <w:rFonts w:ascii="Times New Roman" w:eastAsia="Times New Roman" w:hAnsi="Times New Roman" w:cs="Times New Roman"/>
          <w:i w:val="0"/>
          <w:iCs w:val="0"/>
          <w:sz w:val="36"/>
          <w:szCs w:val="36"/>
        </w:rPr>
        <w:t>III. SUMMARY OF ARGUMENT</w:t>
      </w: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Defendant's motion to dismiss should be denied in its entirety for four independent reasons.</w:t>
      </w:r>
    </w:p>
    <w:p>
      <w:pPr>
        <w:pStyle w:val="Heading2"/>
        <w:keepNext w:val="0"/>
        <w:spacing w:before="0" w:after="0"/>
        <w:rPr>
          <w:rFonts w:ascii="Times New Roman" w:eastAsia="Times New Roman" w:hAnsi="Times New Roman" w:cs="Times New Roman"/>
          <w:b/>
          <w:bCs/>
          <w:sz w:val="36"/>
          <w:szCs w:val="36"/>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First, Defendant has failed to meet its burden under CPLR 3211(a)(1) because the documentary evidence does not utterly refute Plaintiff's factual allegations or conclusively establish a defense as a matter of law. The payment application's characterization of mobilization as billed in advance, the retainage structure, and the termination provisions all create ambiguities regarding what sums were earned, what sums were paid, and what sums remained due at the time of lien filing. The declaration from JAT's president is not documentary evidence but rather interested testimony from a co-defendant that requires credibility determinations and reconciliation with project records.</w:t>
      </w:r>
    </w:p>
    <w:p>
      <w:pPr>
        <w:pStyle w:val="Heading2"/>
        <w:keepNext w:val="0"/>
        <w:spacing w:before="0" w:after="0"/>
        <w:rPr>
          <w:rFonts w:ascii="Times New Roman" w:eastAsia="Times New Roman" w:hAnsi="Times New Roman" w:cs="Times New Roman"/>
          <w:b/>
          <w:bCs/>
          <w:sz w:val="36"/>
          <w:szCs w:val="36"/>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Second, Defendant has failed to meet its burden under CPLR 3211(a)(7) because Plaintiff has pleaded sufficient facts to state viable causes of action. Plaintiff alleges that Defendant had knowledge, consent, and authority regarding the subcontract, that Defendant exercised control over the project by terminating the contractor, that Defendant received invoices without objection, and that Defendant benefited from the work. These allegations, accepted as true at the pleading stage, establish sufficient relationships to support the mechanic's lien foreclosure claim and the quasi-contract claims.</w:t>
      </w:r>
    </w:p>
    <w:p>
      <w:pPr>
        <w:pStyle w:val="Heading2"/>
        <w:keepNext w:val="0"/>
        <w:spacing w:before="0" w:after="0"/>
        <w:rPr>
          <w:rFonts w:ascii="Times New Roman" w:eastAsia="Times New Roman" w:hAnsi="Times New Roman" w:cs="Times New Roman"/>
          <w:b/>
          <w:bCs/>
          <w:sz w:val="36"/>
          <w:szCs w:val="36"/>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Third, material factual disputes preclude dismissal at the pleading stage. The critical question of whether a lien fund existed when Plaintiff filed its mechanic's lien cannot be resolved without discovery into the prime contract's payment terms, the payment application's allocation methodology, the actual work performed, the timing of payments relative to work completion, and the effect of the termination on earned-value calculations. Similarly, the questions of whether Defendant expressly or impliedly consented to pay Plaintiff, whether Defendant's exercise of project control created an agency or direct contractual relationship with Plaintiff, and whether the circumstances make it inequitable for Defendant to retain the benefit without payment are all fact-intensive inquiries that cannot be resolved on the pleadings.</w:t>
      </w:r>
    </w:p>
    <w:p>
      <w:pPr>
        <w:pStyle w:val="Heading2"/>
        <w:keepNext w:val="0"/>
        <w:spacing w:before="0" w:after="0"/>
        <w:rPr>
          <w:rFonts w:ascii="Times New Roman" w:eastAsia="Times New Roman" w:hAnsi="Times New Roman" w:cs="Times New Roman"/>
          <w:b/>
          <w:bCs/>
          <w:sz w:val="36"/>
          <w:szCs w:val="36"/>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Fourth, conversion to summary judgment under CPLR 3211(c) is inappropriate because the motion is premature, no discovery has been conducted, and material facts essential to Plaintiff's opposition lie exclusively within Defendants' control. Courts have recognized that summary judgment motions filed before discovery has been conducted are premature and should be denied. The disputed issues identified require access to documents and testimony that are in the possession and control of the Defendants.</w:t>
      </w:r>
    </w:p>
    <w:p>
      <w:pPr>
        <w:pStyle w:val="Heading2"/>
        <w:keepNext w:val="0"/>
        <w:spacing w:before="0" w:after="0"/>
        <w:rPr>
          <w:rFonts w:ascii="Times New Roman" w:eastAsia="Times New Roman" w:hAnsi="Times New Roman" w:cs="Times New Roman"/>
          <w:b/>
          <w:bCs/>
          <w:sz w:val="36"/>
          <w:szCs w:val="36"/>
        </w:rPr>
      </w:pPr>
    </w:p>
    <w:p>
      <w:pPr>
        <w:pStyle w:val="Heading2"/>
        <w:keepNext w:val="0"/>
        <w:spacing w:before="299" w:after="0"/>
        <w:rPr>
          <w:rFonts w:ascii="Times New Roman" w:eastAsia="Times New Roman" w:hAnsi="Times New Roman" w:cs="Times New Roman"/>
          <w:b/>
          <w:bCs/>
          <w:sz w:val="36"/>
          <w:szCs w:val="36"/>
        </w:rPr>
      </w:pPr>
      <w:r>
        <w:rPr>
          <w:rFonts w:ascii="Times New Roman" w:eastAsia="Times New Roman" w:hAnsi="Times New Roman" w:cs="Times New Roman"/>
          <w:i w:val="0"/>
          <w:iCs w:val="0"/>
          <w:sz w:val="36"/>
          <w:szCs w:val="36"/>
        </w:rPr>
        <w:t>IV. ARGUMENT</w:t>
      </w:r>
    </w:p>
    <w:p>
      <w:pPr>
        <w:pStyle w:val="Heading3"/>
        <w:keepNext w:val="0"/>
        <w:spacing w:before="270" w:after="0"/>
        <w:rPr>
          <w:rFonts w:ascii="Times New Roman" w:eastAsia="Times New Roman" w:hAnsi="Times New Roman" w:cs="Times New Roman"/>
          <w:b/>
          <w:bCs/>
          <w:sz w:val="27"/>
          <w:szCs w:val="27"/>
        </w:rPr>
      </w:pPr>
      <w:r>
        <w:rPr>
          <w:rFonts w:ascii="Times New Roman" w:eastAsia="Times New Roman" w:hAnsi="Times New Roman" w:cs="Times New Roman"/>
          <w:sz w:val="27"/>
          <w:szCs w:val="27"/>
        </w:rPr>
        <w:t>A. Defendant's Motion Fails Under CPLR 3211(a)(1) and (a)(7) Because Documentary Evidence Does Not Conclusively Refute Plaintiff's Allegations and Material Factual Disputes Exist</w:t>
      </w:r>
    </w:p>
    <w:p>
      <w:pPr>
        <w:pStyle w:val="Heading4"/>
        <w:keepNext w:val="0"/>
        <w:spacing w:before="266" w:after="266"/>
        <w:rPr>
          <w:rFonts w:ascii="Courier New" w:eastAsia="Courier New" w:hAnsi="Courier New" w:cs="Courier New"/>
          <w:b/>
          <w:bCs/>
          <w:szCs w:val="20"/>
        </w:rPr>
      </w:pPr>
      <w:r>
        <w:rPr>
          <w:rFonts w:ascii="Courier New" w:eastAsia="Courier New" w:hAnsi="Courier New" w:cs="Courier New"/>
          <w:sz w:val="20"/>
          <w:szCs w:val="20"/>
        </w:rPr>
        <w:t>1. Legal Standards for Dismissal</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 xml:space="preserve">A motion to dismiss under CPLR 3211(a)(1) based on documentary evidence may be granted only when the documentary evidence utterly refutes the plaintiff's factual allegations and conclusively establishes a defense as a matter of law.  </w:t>
      </w:r>
      <w:hyperlink r:id="rId6" w:history="1">
        <w:r>
          <w:rPr>
            <w:rStyle w:val="Hyperlink"/>
            <w:rFonts w:ascii="Times New Roman" w:eastAsia="Times New Roman" w:hAnsi="Times New Roman" w:cs="Times New Roman"/>
            <w:b w:val="0"/>
            <w:bCs w:val="0"/>
            <w:color w:val="006EBB"/>
            <w:sz w:val="24"/>
            <w:u w:color="006EBB"/>
          </w:rPr>
          <w:t>Rider v. Rainbow Mobile Home Park, 192 A.D.3d 1561</w:t>
        </w:r>
      </w:hyperlink>
      <w:r>
        <w:rPr>
          <w:rFonts w:ascii="Times New Roman" w:eastAsia="Times New Roman" w:hAnsi="Times New Roman" w:cs="Times New Roman"/>
          <w:b w:val="0"/>
          <w:bCs w:val="0"/>
          <w:color w:val="00172E"/>
          <w:sz w:val="24"/>
        </w:rPr>
        <w:t xml:space="preserve">,  </w:t>
      </w:r>
      <w:hyperlink r:id="rId7" w:history="1">
        <w:r>
          <w:rPr>
            <w:rStyle w:val="Hyperlink"/>
            <w:rFonts w:ascii="Times New Roman" w:eastAsia="Times New Roman" w:hAnsi="Times New Roman" w:cs="Times New Roman"/>
            <w:b w:val="0"/>
            <w:bCs w:val="0"/>
            <w:color w:val="006EBB"/>
            <w:sz w:val="24"/>
            <w:u w:color="006EBB"/>
          </w:rPr>
          <w:t>Jeffrey v. Collins, 218 A.D.3d 451</w:t>
        </w:r>
      </w:hyperlink>
      <w:r>
        <w:rPr>
          <w:rFonts w:ascii="Times New Roman" w:eastAsia="Times New Roman" w:hAnsi="Times New Roman" w:cs="Times New Roman"/>
          <w:b w:val="0"/>
          <w:bCs w:val="0"/>
          <w:color w:val="00172E"/>
          <w:sz w:val="24"/>
        </w:rPr>
        <w:t xml:space="preserve"> To qualify as documentary evidence, the evidence must be unambiguous and of undisputed authenticity. , Affidavits, deposition testimony, and letters do not constitute documentary evidence within the meaning of CPLR 3211(a)(1). ,</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 xml:space="preserve">A motion to dismiss under CPLR 3211(a)(7) for failure to state a cause of action may be granted only when the party moving for dismissal has demonstrated that the plaintiff has no cause of action and that no material fact as claimed by the pleader is actually a fact at all, with no significant dispute regarding it.  </w:t>
      </w:r>
      <w:hyperlink r:id="rId8" w:history="1">
        <w:r>
          <w:rPr>
            <w:rStyle w:val="Hyperlink"/>
            <w:rFonts w:ascii="Times New Roman" w:eastAsia="Times New Roman" w:hAnsi="Times New Roman" w:cs="Times New Roman"/>
            <w:b w:val="0"/>
            <w:bCs w:val="0"/>
            <w:color w:val="006EBB"/>
            <w:sz w:val="24"/>
            <w:u w:color="006EBB"/>
          </w:rPr>
          <w:t>Porat v Rybina, 177 A.D.3d 632</w:t>
        </w:r>
      </w:hyperlink>
      <w:r>
        <w:rPr>
          <w:rFonts w:ascii="Times New Roman" w:eastAsia="Times New Roman" w:hAnsi="Times New Roman" w:cs="Times New Roman"/>
          <w:b w:val="0"/>
          <w:bCs w:val="0"/>
          <w:color w:val="00172E"/>
          <w:sz w:val="24"/>
        </w:rPr>
        <w:t xml:space="preserve"> When a defendant submits evidentiary material in support of a motion to dismiss under CPLR 3211(a)(7), the criterion becomes whether the proponent of the pleading has a cause of action, not merely whether one has Been stated.  </w:t>
      </w:r>
      <w:hyperlink r:id="rId9" w:history="1">
        <w:r>
          <w:rPr>
            <w:rStyle w:val="Hyperlink"/>
            <w:rFonts w:ascii="Times New Roman" w:eastAsia="Times New Roman" w:hAnsi="Times New Roman" w:cs="Times New Roman"/>
            <w:b w:val="0"/>
            <w:bCs w:val="0"/>
            <w:color w:val="006EBB"/>
            <w:sz w:val="24"/>
            <w:u w:color="006EBB"/>
          </w:rPr>
          <w:t>Porat v Rybina, 177 A.D.3d 632</w:t>
        </w:r>
      </w:hyperlink>
      <w:r>
        <w:rPr>
          <w:rFonts w:ascii="Times New Roman" w:eastAsia="Times New Roman" w:hAnsi="Times New Roman" w:cs="Times New Roman"/>
          <w:b w:val="0"/>
          <w:bCs w:val="0"/>
          <w:color w:val="00172E"/>
          <w:sz w:val="24"/>
        </w:rPr>
        <w:t xml:space="preserve"> Affidavits submitted by a defendant will almost never warrant dismissal under CPLR 3211 unless they establish conclusively that the plaintiff has no cause of action.  </w:t>
      </w:r>
      <w:hyperlink r:id="rId10" w:history="1">
        <w:r>
          <w:rPr>
            <w:rStyle w:val="Hyperlink"/>
            <w:rFonts w:ascii="Times New Roman" w:eastAsia="Times New Roman" w:hAnsi="Times New Roman" w:cs="Times New Roman"/>
            <w:b w:val="0"/>
            <w:bCs w:val="0"/>
            <w:color w:val="006EBB"/>
            <w:sz w:val="24"/>
            <w:u w:color="006EBB"/>
          </w:rPr>
          <w:t>Porat v Rybina, 177 A.D.3d 632</w:t>
        </w:r>
      </w:hyperlink>
    </w:p>
    <w:p>
      <w:pPr>
        <w:spacing w:after="0"/>
        <w:rPr>
          <w:rFonts w:ascii="Courier New" w:eastAsia="Courier New" w:hAnsi="Courier New" w:cs="Courier New"/>
          <w:szCs w:val="20"/>
        </w:rPr>
      </w:pPr>
    </w:p>
    <w:p>
      <w:pPr>
        <w:pStyle w:val="Heading4"/>
        <w:keepNext w:val="0"/>
        <w:spacing w:before="266" w:after="266"/>
        <w:rPr>
          <w:rFonts w:ascii="Courier New" w:eastAsia="Courier New" w:hAnsi="Courier New" w:cs="Courier New"/>
          <w:b/>
          <w:bCs/>
          <w:szCs w:val="20"/>
        </w:rPr>
      </w:pPr>
      <w:r>
        <w:rPr>
          <w:rFonts w:ascii="Courier New" w:eastAsia="Courier New" w:hAnsi="Courier New" w:cs="Courier New"/>
          <w:sz w:val="20"/>
          <w:szCs w:val="20"/>
        </w:rPr>
        <w:t>2. Defendant's Documentary Evidence Does Not Conclusively Establish That No Lien Fund Existed</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Defendant's submissions-consisting of the prime contract between Defendant and JAT, payment records showing amounts paid to JAT, and a payment application-do not conclusively establish that no funds were due and owing to JAT at the time Plaintiff filed its mechanic's lien on December 16, 2025.</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The payment application characterizes the $150,000 mobilization charge as billed in advance and reflects a retainage structure on the piles and shoring work. These characterizations raise questions about what portion of the sums paid to JAT represented payment for work actually earned versus advances or deposits. The distinction between earned and unearned amounts is critical to determining whether a lien fund existed at the time of lien filing.</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Defendant's payment records show that Defendant paid JAT $277,290 in two checks on September 4, 2025, and $60,000 by wire transfer on November 3, 2025. However, these payment amounts alone do not conclusively establish the relationship between sums paid and sums earned under the prime contract. The payment application's allocation structure-including mobilization, demolition, and piles/shoring with retainage-suggests that the parties contemplated a more complex earned-value analysis than Defendant's bare payment records reveal.</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The termination notice effective December 5, 2025, further complicates the earned-value analysis. Plaintiff's work continued through December 4, 2025, and the lien was filed on December 16, 2025. The termination creates ambiguity regarding what sums, if any, were earned or became payable to JAT under the prime contract's termination provisions between the effective date of termination and the date of lien filing. Defendant's submissions do not address or resolve this ambiguity.</w:t>
      </w:r>
    </w:p>
    <w:p>
      <w:pPr>
        <w:spacing w:after="0"/>
        <w:rPr>
          <w:rFonts w:ascii="Courier New" w:eastAsia="Courier New" w:hAnsi="Courier New" w:cs="Courier New"/>
          <w:szCs w:val="20"/>
        </w:rPr>
      </w:pPr>
    </w:p>
    <w:p>
      <w:pPr>
        <w:pStyle w:val="Heading4"/>
        <w:keepNext w:val="0"/>
        <w:spacing w:before="266" w:after="266"/>
        <w:rPr>
          <w:rFonts w:ascii="Courier New" w:eastAsia="Courier New" w:hAnsi="Courier New" w:cs="Courier New"/>
          <w:b/>
          <w:bCs/>
          <w:szCs w:val="20"/>
        </w:rPr>
      </w:pPr>
      <w:r>
        <w:rPr>
          <w:rFonts w:ascii="Courier New" w:eastAsia="Courier New" w:hAnsi="Courier New" w:cs="Courier New"/>
          <w:sz w:val="20"/>
          <w:szCs w:val="20"/>
        </w:rPr>
        <w:t>3. JAT Principal's Declaration Is Interested Testimony That Cannot Conclusively Refute Plaintiff's Allegations</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The declaration from JAT's president claiming that JAT was paid in full or overpaid and waiving any claim against Defendant is not documentary evidence that utterly refutes Plaintiff's allegations. Rather, it is interested testimony from a co-defendant that requires credibility determinations and reconciliation with project records.</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 xml:space="preserve">An affidavit from an interested party cannot serve as conclusive documentary evidence under CPLR 3211(a)(1).  </w:t>
      </w:r>
      <w:hyperlink r:id="rId11" w:history="1">
        <w:r>
          <w:rPr>
            <w:rStyle w:val="Hyperlink"/>
            <w:rFonts w:ascii="Times New Roman" w:eastAsia="Times New Roman" w:hAnsi="Times New Roman" w:cs="Times New Roman"/>
            <w:b w:val="0"/>
            <w:bCs w:val="0"/>
            <w:color w:val="006EBB"/>
            <w:sz w:val="24"/>
            <w:u w:color="006EBB"/>
          </w:rPr>
          <w:t>Rider v. Rainbow Mobile Home Park, 192 A.D.3d 1561</w:t>
        </w:r>
      </w:hyperlink>
      <w:r>
        <w:rPr>
          <w:rFonts w:ascii="Times New Roman" w:eastAsia="Times New Roman" w:hAnsi="Times New Roman" w:cs="Times New Roman"/>
          <w:b w:val="0"/>
          <w:bCs w:val="0"/>
          <w:color w:val="00172E"/>
          <w:sz w:val="24"/>
        </w:rPr>
        <w:t xml:space="preserve">,  </w:t>
      </w:r>
      <w:hyperlink r:id="rId12" w:history="1">
        <w:r>
          <w:rPr>
            <w:rStyle w:val="Hyperlink"/>
            <w:rFonts w:ascii="Times New Roman" w:eastAsia="Times New Roman" w:hAnsi="Times New Roman" w:cs="Times New Roman"/>
            <w:b w:val="0"/>
            <w:bCs w:val="0"/>
            <w:color w:val="006EBB"/>
            <w:sz w:val="24"/>
            <w:u w:color="006EBB"/>
          </w:rPr>
          <w:t>Jeffrey v. Collins, 218 A.D.3d 451</w:t>
        </w:r>
      </w:hyperlink>
      <w:r>
        <w:rPr>
          <w:rFonts w:ascii="Times New Roman" w:eastAsia="Times New Roman" w:hAnsi="Times New Roman" w:cs="Times New Roman"/>
          <w:b w:val="0"/>
          <w:bCs w:val="0"/>
          <w:color w:val="00172E"/>
          <w:sz w:val="24"/>
        </w:rPr>
        <w:t xml:space="preserve"> The JAT principal's declaration presents factual assertions-that JAT was paid in full and overpaid-that directly contradict Plaintiff's allegations of an unpaid balance of $361,080. These competing assertions cannot be resolved at the pleading stage without discovery, examination of project records, and credibility determinations regarding the declarant's knowledge and reliability.</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Moreover, the declaration does not address the specific earned-value calculations underlying Plaintiff's claim or reconcile the payment application's allocation structure with the actual work performed and sums earned. The declaration's bare assertion of full payment does not conclusively establish the accounting and earned-value issues that underlie the lien fund analysis.</w:t>
      </w:r>
    </w:p>
    <w:p>
      <w:pPr>
        <w:spacing w:after="0"/>
        <w:rPr>
          <w:rFonts w:ascii="Courier New" w:eastAsia="Courier New" w:hAnsi="Courier New" w:cs="Courier New"/>
          <w:szCs w:val="20"/>
        </w:rPr>
      </w:pPr>
    </w:p>
    <w:p>
      <w:pPr>
        <w:pStyle w:val="Heading4"/>
        <w:keepNext w:val="0"/>
        <w:spacing w:before="266" w:after="266"/>
        <w:rPr>
          <w:rFonts w:ascii="Courier New" w:eastAsia="Courier New" w:hAnsi="Courier New" w:cs="Courier New"/>
          <w:b/>
          <w:bCs/>
          <w:szCs w:val="20"/>
        </w:rPr>
      </w:pPr>
      <w:r>
        <w:rPr>
          <w:rFonts w:ascii="Courier New" w:eastAsia="Courier New" w:hAnsi="Courier New" w:cs="Courier New"/>
          <w:sz w:val="20"/>
          <w:szCs w:val="20"/>
        </w:rPr>
        <w:t>4. Ambiguities in Defendant's Submissions Defeat Dismissal</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The documentary evidence submitted by Defendant is not unambiguous. The payment application's characterization of mobilization as an advance, the retainage structure, and the termination provisions all create ambiguities regarding what sums were earned, what sums were paid, and what sums remained due at the time of lien filing.</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 xml:space="preserve">Documentary evidence must be unambiguous to support dismissal under CPLR 3211(a)(1).  </w:t>
      </w:r>
      <w:hyperlink r:id="rId13" w:history="1">
        <w:r>
          <w:rPr>
            <w:rStyle w:val="Hyperlink"/>
            <w:rFonts w:ascii="Times New Roman" w:eastAsia="Times New Roman" w:hAnsi="Times New Roman" w:cs="Times New Roman"/>
            <w:b w:val="0"/>
            <w:bCs w:val="0"/>
            <w:color w:val="006EBB"/>
            <w:sz w:val="24"/>
            <w:u w:color="006EBB"/>
          </w:rPr>
          <w:t>Springer v Almontaser, 75 A.D.3d 539</w:t>
        </w:r>
      </w:hyperlink>
      <w:r>
        <w:rPr>
          <w:rFonts w:ascii="Times New Roman" w:eastAsia="Times New Roman" w:hAnsi="Times New Roman" w:cs="Times New Roman"/>
          <w:b w:val="0"/>
          <w:bCs w:val="0"/>
          <w:color w:val="00172E"/>
          <w:sz w:val="24"/>
        </w:rPr>
        <w:t xml:space="preserve"> When documentary evidence is susceptible to more than one reasonable interpretation, or when it raises factual questions requiring further inquiry, dismissal is improper.</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Here, Defendant's payment records and payment application are susceptible to multiple interpretations regarding earned value and the existence of a lien fund. The retainage structure, in particular, suggests that not all sums paid to JAT represented payment for work earned, and that additional sums may have been withheld pending completion or satisfaction of other conditions. These ambiguities preclude the conclusive determination that no lien fund existed.</w:t>
      </w:r>
    </w:p>
    <w:p>
      <w:pPr>
        <w:spacing w:after="0"/>
        <w:rPr>
          <w:rFonts w:ascii="Courier New" w:eastAsia="Courier New" w:hAnsi="Courier New" w:cs="Courier New"/>
          <w:szCs w:val="20"/>
        </w:rPr>
      </w:pPr>
    </w:p>
    <w:p>
      <w:pPr>
        <w:pStyle w:val="Heading4"/>
        <w:keepNext w:val="0"/>
        <w:spacing w:before="266" w:after="266"/>
        <w:rPr>
          <w:rFonts w:ascii="Courier New" w:eastAsia="Courier New" w:hAnsi="Courier New" w:cs="Courier New"/>
          <w:b/>
          <w:bCs/>
          <w:szCs w:val="20"/>
        </w:rPr>
      </w:pPr>
      <w:r>
        <w:rPr>
          <w:rFonts w:ascii="Courier New" w:eastAsia="Courier New" w:hAnsi="Courier New" w:cs="Courier New"/>
          <w:sz w:val="20"/>
          <w:szCs w:val="20"/>
        </w:rPr>
        <w:t>5. The Existence of Another Subcontractor Lien Underscores Disputed Payment and Earned-Value Issues</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The filing of another subcontractor lien after Plaintiff's lien further demonstrates that payment and earned-value issues are genuinely disputed and not conclusively resolved by Defendant's papers. The existence of multiple liens on the same project indicates that the parties' accounting regarding earned value and payment is contested and requires fact-finding.</w:t>
      </w:r>
    </w:p>
    <w:p>
      <w:pPr>
        <w:spacing w:after="0"/>
        <w:rPr>
          <w:rFonts w:ascii="Courier New" w:eastAsia="Courier New" w:hAnsi="Courier New" w:cs="Courier New"/>
          <w:szCs w:val="20"/>
        </w:rPr>
      </w:pPr>
    </w:p>
    <w:p>
      <w:pPr>
        <w:pStyle w:val="Heading4"/>
        <w:keepNext w:val="0"/>
        <w:spacing w:before="266" w:after="266"/>
        <w:rPr>
          <w:rFonts w:ascii="Courier New" w:eastAsia="Courier New" w:hAnsi="Courier New" w:cs="Courier New"/>
          <w:b/>
          <w:bCs/>
          <w:szCs w:val="20"/>
        </w:rPr>
      </w:pPr>
      <w:r>
        <w:rPr>
          <w:rFonts w:ascii="Courier New" w:eastAsia="Courier New" w:hAnsi="Courier New" w:cs="Courier New"/>
          <w:sz w:val="20"/>
          <w:szCs w:val="20"/>
        </w:rPr>
        <w:t>6. Defendant's Motion Improperly Asks the Court to Resolve Accounting and Earned-Value Issues at the Pleading Stage</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Defendant's motion asks this Court to resolve complex accounting and earned-value issues and to draw inferences in Defendant's favor regarding what sums were earned, what sums were paid, and what sums remained due. These are quintessentially factual determinations that cannot be made on a motion to dismiss.</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The determination of whether a lien fund existed requires examination of the prime contract's payment terms, the payment application's allocation methodology, the actual work performed by Plaintiff and other subcontractors, the timing of payments relative to work completion, and the effect of the termination on earned-value calculations. These inquiries cannot be resolved through documentary evidence alone and require discovery and fact-finding.</w:t>
      </w:r>
    </w:p>
    <w:p>
      <w:pPr>
        <w:spacing w:after="0"/>
        <w:rPr>
          <w:rFonts w:ascii="Courier New" w:eastAsia="Courier New" w:hAnsi="Courier New" w:cs="Courier New"/>
          <w:szCs w:val="20"/>
        </w:rPr>
      </w:pPr>
    </w:p>
    <w:p>
      <w:pPr>
        <w:pStyle w:val="Heading3"/>
        <w:keepNext w:val="0"/>
        <w:spacing w:before="270" w:after="0"/>
        <w:rPr>
          <w:rFonts w:ascii="Times New Roman" w:eastAsia="Times New Roman" w:hAnsi="Times New Roman" w:cs="Times New Roman"/>
          <w:b/>
          <w:bCs/>
          <w:sz w:val="27"/>
          <w:szCs w:val="27"/>
        </w:rPr>
      </w:pPr>
      <w:r>
        <w:rPr>
          <w:rFonts w:ascii="Times New Roman" w:eastAsia="Times New Roman" w:hAnsi="Times New Roman" w:cs="Times New Roman"/>
          <w:sz w:val="27"/>
          <w:szCs w:val="27"/>
        </w:rPr>
        <w:t>B. The Mechanic's Lien Foreclosure Claim Survives Because Defendant Has Not Conclusively Established the Absence of a Lien Fund</w:t>
      </w:r>
    </w:p>
    <w:p>
      <w:pPr>
        <w:pStyle w:val="Heading4"/>
        <w:keepNext w:val="0"/>
        <w:spacing w:before="266" w:after="266"/>
        <w:rPr>
          <w:rFonts w:ascii="Courier New" w:eastAsia="Courier New" w:hAnsi="Courier New" w:cs="Courier New"/>
          <w:b/>
          <w:bCs/>
          <w:szCs w:val="20"/>
        </w:rPr>
      </w:pPr>
      <w:r>
        <w:rPr>
          <w:rFonts w:ascii="Courier New" w:eastAsia="Courier New" w:hAnsi="Courier New" w:cs="Courier New"/>
          <w:sz w:val="20"/>
          <w:szCs w:val="20"/>
        </w:rPr>
        <w:t>1. The Statutory Framework Governing Mechanic's Liens</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 xml:space="preserve">Under New York law, a mechanic's lien filed by a subcontractor attaches only to funds that are due and owing to the general contractor at the time the lien is filed, or which may thereafter become due and owing.  </w:t>
      </w:r>
      <w:hyperlink r:id="rId14" w:history="1">
        <w:r>
          <w:rPr>
            <w:rStyle w:val="Hyperlink"/>
            <w:rFonts w:ascii="Times New Roman" w:eastAsia="Times New Roman" w:hAnsi="Times New Roman" w:cs="Times New Roman"/>
            <w:b w:val="0"/>
            <w:bCs w:val="0"/>
            <w:color w:val="006EBB"/>
            <w:sz w:val="24"/>
            <w:u w:color="006EBB"/>
          </w:rPr>
          <w:t>SMI Bldg. Sys., LLC v. West 4th St. Dev. Group, LLC, 83 A.D.3d 687</w:t>
        </w:r>
      </w:hyperlink>
      <w:r>
        <w:rPr>
          <w:rFonts w:ascii="Times New Roman" w:eastAsia="Times New Roman" w:hAnsi="Times New Roman" w:cs="Times New Roman"/>
          <w:b w:val="0"/>
          <w:bCs w:val="0"/>
          <w:color w:val="00172E"/>
          <w:sz w:val="24"/>
        </w:rPr>
        <w:t xml:space="preserve"> The statute provides that a subcontractor's lien shall not exceed the sum earned and unpaid on the contract at the time of filing the notice of lien, and any sum subsequently earned thereon.  </w:t>
      </w:r>
      <w:hyperlink r:id="rId15" w:history="1">
        <w:r>
          <w:rPr>
            <w:rStyle w:val="Hyperlink"/>
            <w:rFonts w:ascii="Times New Roman" w:eastAsia="Times New Roman" w:hAnsi="Times New Roman" w:cs="Times New Roman"/>
            <w:b w:val="0"/>
            <w:bCs w:val="0"/>
            <w:color w:val="006EBB"/>
            <w:sz w:val="24"/>
            <w:u w:color="006EBB"/>
          </w:rPr>
          <w:t>NY CLS Lien § 4</w:t>
        </w:r>
      </w:hyperlink>
      <w:r>
        <w:rPr>
          <w:rFonts w:ascii="Times New Roman" w:eastAsia="Times New Roman" w:hAnsi="Times New Roman" w:cs="Times New Roman"/>
          <w:b w:val="0"/>
          <w:bCs w:val="0"/>
          <w:color w:val="00172E"/>
          <w:sz w:val="24"/>
        </w:rPr>
        <w:t xml:space="preserve"> This framework requires a careful examination of what sums were actually earned and remained unpaid as of the filing date.</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 xml:space="preserve">A subcontractor need not be in contractual privity with the property owner in order to foreclose on its mechanic's lien.  </w:t>
      </w:r>
      <w:hyperlink r:id="rId16" w:history="1">
        <w:r>
          <w:rPr>
            <w:rStyle w:val="Hyperlink"/>
            <w:rFonts w:ascii="Times New Roman" w:eastAsia="Times New Roman" w:hAnsi="Times New Roman" w:cs="Times New Roman"/>
            <w:b w:val="0"/>
            <w:bCs w:val="0"/>
            <w:color w:val="006EBB"/>
            <w:sz w:val="24"/>
            <w:u w:color="006EBB"/>
          </w:rPr>
          <w:t>Worlock Paving Corp. v. Camperlino, 222 A.D.2d 1097</w:t>
        </w:r>
      </w:hyperlink>
      <w:r>
        <w:rPr>
          <w:rFonts w:ascii="Times New Roman" w:eastAsia="Times New Roman" w:hAnsi="Times New Roman" w:cs="Times New Roman"/>
          <w:b w:val="0"/>
          <w:bCs w:val="0"/>
          <w:color w:val="00172E"/>
          <w:sz w:val="24"/>
        </w:rPr>
        <w:t xml:space="preserve"> The subcontractor may recover up to the amount owed to the general contractor by the owner at the time the lien was filed.  </w:t>
      </w:r>
      <w:hyperlink r:id="rId17" w:history="1">
        <w:r>
          <w:rPr>
            <w:rStyle w:val="Hyperlink"/>
            <w:rFonts w:ascii="Times New Roman" w:eastAsia="Times New Roman" w:hAnsi="Times New Roman" w:cs="Times New Roman"/>
            <w:b w:val="0"/>
            <w:bCs w:val="0"/>
            <w:color w:val="006EBB"/>
            <w:sz w:val="24"/>
            <w:u w:color="006EBB"/>
          </w:rPr>
          <w:t>Worlock Paving Corp. v. Camperlino, 222 A.D.2d 1097</w:t>
        </w:r>
      </w:hyperlink>
    </w:p>
    <w:p>
      <w:pPr>
        <w:spacing w:after="0"/>
        <w:rPr>
          <w:rFonts w:ascii="Courier New" w:eastAsia="Courier New" w:hAnsi="Courier New" w:cs="Courier New"/>
          <w:szCs w:val="20"/>
        </w:rPr>
      </w:pPr>
    </w:p>
    <w:p>
      <w:pPr>
        <w:pStyle w:val="Heading4"/>
        <w:keepNext w:val="0"/>
        <w:spacing w:before="266" w:after="266"/>
        <w:rPr>
          <w:rFonts w:ascii="Courier New" w:eastAsia="Courier New" w:hAnsi="Courier New" w:cs="Courier New"/>
          <w:b/>
          <w:bCs/>
          <w:szCs w:val="20"/>
        </w:rPr>
      </w:pPr>
      <w:r>
        <w:rPr>
          <w:rFonts w:ascii="Courier New" w:eastAsia="Courier New" w:hAnsi="Courier New" w:cs="Courier New"/>
          <w:sz w:val="20"/>
          <w:szCs w:val="20"/>
        </w:rPr>
        <w:t>2. Payments Alone Do Not Establish That All Work Was Earned and Paid</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Defendant's submission of payment records showing $337,290 in payments to JAT does not, standing alone, establish that all work performed by Plaintiff was earned and fully compensated. The critical distinction is between payments made and value earned. The payment application itself indicates that a substantial portion of the payments was allocated to mobilization and was billed in advance. This characterization creates a factual dispute regarding whether those payments constituted advances for work not yet performed or earned, rather than payment for services already rendered.</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When mobilization costs are billed in advance, they represent a prepayment for anticipated future work and mobilization activities. The timing of such payments-made in early September-relative to the period during which Plaintiff performed work (through December 4, 2025) raises a genuine question whether the mobilization component of those early payments had been earned by the time the lien was filed in mid-December. This is not a matter that can be resolved by reference to payment records alone; it requires examination of the contract terms, the schedule of values, and evidence of what work was actually performed and when.</w:t>
      </w:r>
    </w:p>
    <w:p>
      <w:pPr>
        <w:spacing w:after="0"/>
        <w:rPr>
          <w:rFonts w:ascii="Courier New" w:eastAsia="Courier New" w:hAnsi="Courier New" w:cs="Courier New"/>
          <w:szCs w:val="20"/>
        </w:rPr>
      </w:pPr>
    </w:p>
    <w:p>
      <w:pPr>
        <w:pStyle w:val="Heading4"/>
        <w:keepNext w:val="0"/>
        <w:spacing w:before="266" w:after="266"/>
        <w:rPr>
          <w:rFonts w:ascii="Courier New" w:eastAsia="Courier New" w:hAnsi="Courier New" w:cs="Courier New"/>
          <w:b/>
          <w:bCs/>
          <w:szCs w:val="20"/>
        </w:rPr>
      </w:pPr>
      <w:r>
        <w:rPr>
          <w:rFonts w:ascii="Courier New" w:eastAsia="Courier New" w:hAnsi="Courier New" w:cs="Courier New"/>
          <w:sz w:val="20"/>
          <w:szCs w:val="20"/>
        </w:rPr>
        <w:t>3. Retainage and Termination Create Disputed Questions About Earned and Unpaid Sums</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The payment application reflects the presence of retainage, a standard construction practice in which a percentage of contract payments is withheld pending completion of work or satisfaction of other conditions. The existence of retainage creates an additional layer of complexity in determining what sums remained earned and unpaid as of December 16, 2025.</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Moreover, Defendant terminated JAT effective December 5, 2025-just eleven days before Plaintiff filed its lien. Termination of a contractor raises significant questions about what sums became due and payable upon termination, what retainage remained subject to release, and whether any final payment or adjustment was owed to JAT for work performed through the termination date. These are factual questions that cannot be resolved on the basis of payment records alone and require discovery into the termination agreement, any final accounting, and the contractual provisions governing payment upon termination.</w:t>
      </w:r>
    </w:p>
    <w:p>
      <w:pPr>
        <w:spacing w:after="0"/>
        <w:rPr>
          <w:rFonts w:ascii="Courier New" w:eastAsia="Courier New" w:hAnsi="Courier New" w:cs="Courier New"/>
          <w:szCs w:val="20"/>
        </w:rPr>
      </w:pPr>
    </w:p>
    <w:p>
      <w:pPr>
        <w:pStyle w:val="Heading4"/>
        <w:keepNext w:val="0"/>
        <w:spacing w:before="266" w:after="266"/>
        <w:rPr>
          <w:rFonts w:ascii="Courier New" w:eastAsia="Courier New" w:hAnsi="Courier New" w:cs="Courier New"/>
          <w:b/>
          <w:bCs/>
          <w:szCs w:val="20"/>
        </w:rPr>
      </w:pPr>
      <w:r>
        <w:rPr>
          <w:rFonts w:ascii="Courier New" w:eastAsia="Courier New" w:hAnsi="Courier New" w:cs="Courier New"/>
          <w:sz w:val="20"/>
          <w:szCs w:val="20"/>
        </w:rPr>
        <w:t>4. The Contractor's After-the-Fact Reconciliation Is a Disputed Factual Conclusion, Not Conclusive Proof</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JAT's president has declared, after the fact, that JAT was paid in full or overpaid and waives any present claim against Defendant. This declaration is not documentary proof that utterly refutes Plaintiff's lien allegations. Rather, it is a self-serving assertion by an interested party regarding a disputed financial reconciliation.</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 xml:space="preserve">Courts have recognized that conclusory assertions regarding payment, without supporting documentary evidence such as checks, invoices, or detailed financial records, are insufficient to meet a moving party's burden on summary judgment.  </w:t>
      </w:r>
      <w:hyperlink r:id="rId18" w:history="1">
        <w:r>
          <w:rPr>
            <w:rStyle w:val="Hyperlink"/>
            <w:rFonts w:ascii="Times New Roman" w:eastAsia="Times New Roman" w:hAnsi="Times New Roman" w:cs="Times New Roman"/>
            <w:b w:val="0"/>
            <w:bCs w:val="0"/>
            <w:color w:val="006EBB"/>
            <w:sz w:val="24"/>
            <w:u w:color="006EBB"/>
          </w:rPr>
          <w:t>SMI Bldg. Sys., LLC v. West 4th St. Dev. Group, LLC, 83 A.D.3d 687</w:t>
        </w:r>
      </w:hyperlink>
      <w:r>
        <w:rPr>
          <w:rFonts w:ascii="Times New Roman" w:eastAsia="Times New Roman" w:hAnsi="Times New Roman" w:cs="Times New Roman"/>
          <w:b w:val="0"/>
          <w:bCs w:val="0"/>
          <w:color w:val="00172E"/>
          <w:sz w:val="24"/>
        </w:rPr>
        <w:t xml:space="preserve"> The contractor's unilateral declaration of overpayment does not constitute the type of documentary evidence-such as a detailed final accounting, reconciliation of all requisitions and payments, or evidence of payment in full for all work performed-that would be necessary to conclusively establish that no lien fund exists.</w:t>
      </w:r>
    </w:p>
    <w:p>
      <w:pPr>
        <w:spacing w:after="0"/>
        <w:rPr>
          <w:rFonts w:ascii="Courier New" w:eastAsia="Courier New" w:hAnsi="Courier New" w:cs="Courier New"/>
          <w:szCs w:val="20"/>
        </w:rPr>
      </w:pPr>
    </w:p>
    <w:p>
      <w:pPr>
        <w:pStyle w:val="Heading4"/>
        <w:keepNext w:val="0"/>
        <w:spacing w:before="266" w:after="266"/>
        <w:rPr>
          <w:rFonts w:ascii="Courier New" w:eastAsia="Courier New" w:hAnsi="Courier New" w:cs="Courier New"/>
          <w:b/>
          <w:bCs/>
          <w:szCs w:val="20"/>
        </w:rPr>
      </w:pPr>
      <w:r>
        <w:rPr>
          <w:rFonts w:ascii="Courier New" w:eastAsia="Courier New" w:hAnsi="Courier New" w:cs="Courier New"/>
          <w:sz w:val="20"/>
          <w:szCs w:val="20"/>
        </w:rPr>
        <w:t>5. A Contractor's Waiver Cannot Extinguish a Subcontractor's Statutory Lien Rights</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 xml:space="preserve">Even if JAT has waived its own claims against Defendant, such a waiver cannot operate to extinguish the statutory lien rights of a subcontractor. A subcontractor's mechanic's lien is a creature of statute, designed to protect subcontractors and materialmen who have not been paid for work performed or materials furnished. Lien Law § 34 provides that any contract, agreement or understanding whereby the right to file or enforce any lien is waived shall be void as against public policy and wholly unenforceable, except for a written waiver executed and delivered simultaneously with or after payment.  </w:t>
      </w:r>
      <w:hyperlink r:id="rId19" w:history="1">
        <w:r>
          <w:rPr>
            <w:rStyle w:val="Hyperlink"/>
            <w:rFonts w:ascii="Times New Roman" w:eastAsia="Times New Roman" w:hAnsi="Times New Roman" w:cs="Times New Roman"/>
            <w:b w:val="0"/>
            <w:bCs w:val="0"/>
            <w:color w:val="006EBB"/>
            <w:sz w:val="24"/>
            <w:u w:color="006EBB"/>
          </w:rPr>
          <w:t>NY CLS Lien § 34</w:t>
        </w:r>
      </w:hyperlink>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The general contractor's disclaimer of its own claim does not eliminate the subcontractor's independent right to file a lien based on work performed and sums earned and unpaid. At minimum, the question of whether a general contractor's waiver can affect a subcontractor's lien rights cannot be resolved on a motion to dismiss at the pleading stage. This issue requires factual development and legal analysis that is inappropriate for resolution without discovery and a full record.</w:t>
      </w:r>
    </w:p>
    <w:p>
      <w:pPr>
        <w:spacing w:after="0"/>
        <w:rPr>
          <w:rFonts w:ascii="Courier New" w:eastAsia="Courier New" w:hAnsi="Courier New" w:cs="Courier New"/>
          <w:szCs w:val="20"/>
        </w:rPr>
      </w:pPr>
    </w:p>
    <w:p>
      <w:pPr>
        <w:pStyle w:val="Heading4"/>
        <w:keepNext w:val="0"/>
        <w:spacing w:before="266" w:after="266"/>
        <w:rPr>
          <w:rFonts w:ascii="Courier New" w:eastAsia="Courier New" w:hAnsi="Courier New" w:cs="Courier New"/>
          <w:b/>
          <w:bCs/>
          <w:szCs w:val="20"/>
        </w:rPr>
      </w:pPr>
      <w:r>
        <w:rPr>
          <w:rFonts w:ascii="Courier New" w:eastAsia="Courier New" w:hAnsi="Courier New" w:cs="Courier New"/>
          <w:sz w:val="20"/>
          <w:szCs w:val="20"/>
        </w:rPr>
        <w:t>6. The Presence of Other Subcontractor Liens Indicates Contested Payment and Lien-Fund Issues</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The fact that other subcontractor liens are present in this matter supports the conclusion that payment and lien-fund issues are genuinely contested. If Defendant had conclusively paid all contractors and subcontractors in full, the presence of multiple liens would be inexplicable. The existence of other liens indicates that reasonable parties dispute whether all work has been paid for and whether funds remain due and owing to JAT. This circumstance further demonstrates that Defendant has not met its burden of establishing the absence of a lien fund as a matter of law.</w:t>
      </w:r>
    </w:p>
    <w:p>
      <w:pPr>
        <w:spacing w:after="0"/>
        <w:rPr>
          <w:rFonts w:ascii="Courier New" w:eastAsia="Courier New" w:hAnsi="Courier New" w:cs="Courier New"/>
          <w:szCs w:val="20"/>
        </w:rPr>
      </w:pPr>
    </w:p>
    <w:p>
      <w:pPr>
        <w:pStyle w:val="Heading4"/>
        <w:keepNext w:val="0"/>
        <w:spacing w:before="266" w:after="266"/>
        <w:rPr>
          <w:rFonts w:ascii="Courier New" w:eastAsia="Courier New" w:hAnsi="Courier New" w:cs="Courier New"/>
          <w:b/>
          <w:bCs/>
          <w:szCs w:val="20"/>
        </w:rPr>
      </w:pPr>
      <w:r>
        <w:rPr>
          <w:rFonts w:ascii="Courier New" w:eastAsia="Courier New" w:hAnsi="Courier New" w:cs="Courier New"/>
          <w:sz w:val="20"/>
          <w:szCs w:val="20"/>
        </w:rPr>
        <w:t>7. Discovery Is Necessary to Resolve Disputed Factual Questions</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To properly evaluate whether a lien fund exists, discovery is essential into the following matters:</w:t>
      </w:r>
    </w:p>
    <w:p>
      <w:pPr>
        <w:spacing w:after="0"/>
        <w:rPr>
          <w:rFonts w:ascii="Courier New" w:eastAsia="Courier New" w:hAnsi="Courier New" w:cs="Courier New"/>
          <w:szCs w:val="20"/>
        </w:rPr>
      </w:pPr>
    </w:p>
    <w:p>
      <w:pPr>
        <w:spacing w:before="240" w:after="0"/>
        <w:ind w:left="720"/>
        <w:rPr>
          <w:rFonts w:ascii="Times New Roman" w:eastAsia="Times New Roman" w:hAnsi="Times New Roman" w:cs="Times New Roman"/>
          <w:b w:val="0"/>
          <w:bCs w:val="0"/>
          <w:color w:val="00172E"/>
          <w:sz w:val="24"/>
        </w:rPr>
      </w:pPr>
    </w:p>
    <w:p>
      <w:pPr>
        <w:numPr>
          <w:ilvl w:val="0"/>
          <w:numId w:val="3"/>
        </w:numPr>
        <w:ind w:left="720" w:hanging="280"/>
        <w:jc w:val="left"/>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All requisitions submitted by JAT, including dates, amounts, and descriptions of work performed and materials furnished</w:t>
      </w:r>
    </w:p>
    <w:p>
      <w:pPr>
        <w:spacing w:after="0"/>
        <w:ind w:left="720"/>
        <w:rPr>
          <w:rFonts w:ascii="Times New Roman" w:eastAsia="Times New Roman" w:hAnsi="Times New Roman" w:cs="Times New Roman"/>
          <w:b w:val="0"/>
          <w:bCs w:val="0"/>
          <w:color w:val="00172E"/>
          <w:sz w:val="24"/>
        </w:rPr>
      </w:pPr>
    </w:p>
    <w:p>
      <w:pPr>
        <w:numPr>
          <w:ilvl w:val="0"/>
          <w:numId w:val="3"/>
        </w:numPr>
        <w:ind w:left="720" w:hanging="280"/>
        <w:jc w:val="left"/>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All approvals and authorizations for payment by Defendant</w:t>
      </w:r>
    </w:p>
    <w:p>
      <w:pPr>
        <w:spacing w:after="0"/>
        <w:ind w:left="720"/>
        <w:rPr>
          <w:rFonts w:ascii="Times New Roman" w:eastAsia="Times New Roman" w:hAnsi="Times New Roman" w:cs="Times New Roman"/>
          <w:b w:val="0"/>
          <w:bCs w:val="0"/>
          <w:color w:val="00172E"/>
          <w:sz w:val="24"/>
        </w:rPr>
      </w:pPr>
    </w:p>
    <w:p>
      <w:pPr>
        <w:numPr>
          <w:ilvl w:val="0"/>
          <w:numId w:val="3"/>
        </w:numPr>
        <w:ind w:left="720" w:hanging="280"/>
        <w:jc w:val="left"/>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The schedule of values or similar document allocating the contract price among different line items and phases of work</w:t>
      </w:r>
    </w:p>
    <w:p>
      <w:pPr>
        <w:spacing w:after="0"/>
        <w:ind w:left="720"/>
        <w:rPr>
          <w:rFonts w:ascii="Times New Roman" w:eastAsia="Times New Roman" w:hAnsi="Times New Roman" w:cs="Times New Roman"/>
          <w:b w:val="0"/>
          <w:bCs w:val="0"/>
          <w:color w:val="00172E"/>
          <w:sz w:val="24"/>
        </w:rPr>
      </w:pPr>
    </w:p>
    <w:p>
      <w:pPr>
        <w:numPr>
          <w:ilvl w:val="0"/>
          <w:numId w:val="3"/>
        </w:numPr>
        <w:ind w:left="720" w:hanging="280"/>
        <w:jc w:val="left"/>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Detailed retainage accounting, including the percentage retained, amounts withheld, and conditions for release</w:t>
      </w:r>
    </w:p>
    <w:p>
      <w:pPr>
        <w:spacing w:after="0"/>
        <w:ind w:left="720"/>
        <w:rPr>
          <w:rFonts w:ascii="Times New Roman" w:eastAsia="Times New Roman" w:hAnsi="Times New Roman" w:cs="Times New Roman"/>
          <w:b w:val="0"/>
          <w:bCs w:val="0"/>
          <w:color w:val="00172E"/>
          <w:sz w:val="24"/>
        </w:rPr>
      </w:pPr>
    </w:p>
    <w:p>
      <w:pPr>
        <w:numPr>
          <w:ilvl w:val="0"/>
          <w:numId w:val="3"/>
        </w:numPr>
        <w:ind w:left="720" w:hanging="280"/>
        <w:jc w:val="left"/>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Termination accounting and any final payment or adjustment owed to JAT upon termination on December 5, 2025</w:t>
      </w:r>
    </w:p>
    <w:p>
      <w:pPr>
        <w:spacing w:after="0"/>
        <w:ind w:left="720"/>
        <w:rPr>
          <w:rFonts w:ascii="Times New Roman" w:eastAsia="Times New Roman" w:hAnsi="Times New Roman" w:cs="Times New Roman"/>
          <w:b w:val="0"/>
          <w:bCs w:val="0"/>
          <w:color w:val="00172E"/>
          <w:sz w:val="24"/>
        </w:rPr>
      </w:pPr>
    </w:p>
    <w:p>
      <w:pPr>
        <w:numPr>
          <w:ilvl w:val="0"/>
          <w:numId w:val="3"/>
        </w:numPr>
        <w:ind w:left="720" w:hanging="280"/>
        <w:jc w:val="left"/>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Evidence of what work was actually performed by Plaintiff and when such work was completed</w:t>
      </w:r>
    </w:p>
    <w:p>
      <w:pPr>
        <w:spacing w:after="0"/>
        <w:ind w:left="720"/>
        <w:rPr>
          <w:rFonts w:ascii="Times New Roman" w:eastAsia="Times New Roman" w:hAnsi="Times New Roman" w:cs="Times New Roman"/>
          <w:b w:val="0"/>
          <w:bCs w:val="0"/>
          <w:color w:val="00172E"/>
          <w:sz w:val="24"/>
        </w:rPr>
      </w:pPr>
    </w:p>
    <w:p>
      <w:pPr>
        <w:numPr>
          <w:ilvl w:val="0"/>
          <w:numId w:val="3"/>
        </w:numPr>
        <w:ind w:left="720" w:hanging="280"/>
        <w:jc w:val="left"/>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The contract terms governing payment, including provisions regarding mobilization, retainage, and payment upon termination</w:t>
      </w:r>
    </w:p>
    <w:p>
      <w:pPr>
        <w:spacing w:after="0"/>
        <w:ind w:left="720"/>
        <w:rPr>
          <w:rFonts w:ascii="Times New Roman" w:eastAsia="Times New Roman" w:hAnsi="Times New Roman" w:cs="Times New Roman"/>
          <w:b w:val="0"/>
          <w:bCs w:val="0"/>
          <w:color w:val="00172E"/>
          <w:sz w:val="24"/>
        </w:rPr>
      </w:pPr>
    </w:p>
    <w:p>
      <w:pPr>
        <w:numPr>
          <w:ilvl w:val="0"/>
          <w:numId w:val="3"/>
        </w:numPr>
        <w:ind w:left="720" w:hanging="280"/>
        <w:jc w:val="left"/>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Any correspondence, invoices, or other documents evidencing disputes regarding payment or the characterization of payments as advances versus earned compensation</w:t>
      </w:r>
    </w:p>
    <w:p>
      <w:pPr>
        <w:spacing w:after="0"/>
        <w:ind w:left="720"/>
        <w:rPr>
          <w:rFonts w:ascii="Times New Roman" w:eastAsia="Times New Roman" w:hAnsi="Times New Roman" w:cs="Times New Roman"/>
          <w:b w:val="0"/>
          <w:bCs w:val="0"/>
          <w:color w:val="00172E"/>
          <w:sz w:val="24"/>
        </w:rPr>
      </w:pPr>
    </w:p>
    <w:p>
      <w:pPr>
        <w:spacing w:before="0" w:after="0"/>
        <w:ind w:left="720"/>
        <w:rPr>
          <w:rFonts w:ascii="Times New Roman" w:eastAsia="Times New Roman" w:hAnsi="Times New Roman" w:cs="Times New Roman"/>
          <w:b w:val="0"/>
          <w:bCs w:val="0"/>
          <w:color w:val="00172E"/>
          <w:sz w:val="24"/>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Without discovery into these matters, it is impossible to determine whether sums were earned and unpaid as of December 16, 2025, the date Plaintiff filed its lien.</w:t>
      </w:r>
    </w:p>
    <w:p>
      <w:pPr>
        <w:spacing w:after="0"/>
        <w:rPr>
          <w:rFonts w:ascii="Courier New" w:eastAsia="Courier New" w:hAnsi="Courier New" w:cs="Courier New"/>
          <w:szCs w:val="20"/>
        </w:rPr>
      </w:pPr>
    </w:p>
    <w:p>
      <w:pPr>
        <w:pStyle w:val="Heading3"/>
        <w:keepNext w:val="0"/>
        <w:spacing w:before="270" w:after="0"/>
        <w:rPr>
          <w:rFonts w:ascii="Times New Roman" w:eastAsia="Times New Roman" w:hAnsi="Times New Roman" w:cs="Times New Roman"/>
          <w:b/>
          <w:bCs/>
          <w:sz w:val="27"/>
          <w:szCs w:val="27"/>
        </w:rPr>
      </w:pPr>
      <w:r>
        <w:rPr>
          <w:rFonts w:ascii="Times New Roman" w:eastAsia="Times New Roman" w:hAnsi="Times New Roman" w:cs="Times New Roman"/>
          <w:sz w:val="27"/>
          <w:szCs w:val="27"/>
        </w:rPr>
        <w:t>C. The Personal Causes of Action Against Defendant Survive Dismissal Because Plaintiff Has Pleaded Sufficient Facts and Factual Disputes Preclude Dismissal</w:t>
      </w:r>
    </w:p>
    <w:p>
      <w:pPr>
        <w:pStyle w:val="Heading4"/>
        <w:keepNext w:val="0"/>
        <w:spacing w:before="266" w:after="266"/>
        <w:rPr>
          <w:rFonts w:ascii="Courier New" w:eastAsia="Courier New" w:hAnsi="Courier New" w:cs="Courier New"/>
          <w:b/>
          <w:bCs/>
          <w:szCs w:val="20"/>
        </w:rPr>
      </w:pPr>
      <w:r>
        <w:rPr>
          <w:rFonts w:ascii="Courier New" w:eastAsia="Courier New" w:hAnsi="Courier New" w:cs="Courier New"/>
          <w:sz w:val="20"/>
          <w:szCs w:val="20"/>
        </w:rPr>
        <w:t>1. Account Stated Claim</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 xml:space="preserve">To state a cause of action for account stated, a plaintiff must allege evidence of an account based on a prior transaction between the parties presented by one party to another, that the recipient accepted the account as correct either expressly or implicitly by failing to object within a reasonable timeframe, and evidence the recipient promised to pay the amount stated.  </w:t>
      </w:r>
      <w:hyperlink r:id="rId20" w:history="1">
        <w:r>
          <w:rPr>
            <w:rStyle w:val="Hyperlink"/>
            <w:rFonts w:ascii="Times New Roman" w:eastAsia="Times New Roman" w:hAnsi="Times New Roman" w:cs="Times New Roman"/>
            <w:b w:val="0"/>
            <w:bCs w:val="0"/>
            <w:color w:val="006EBB"/>
            <w:sz w:val="24"/>
            <w:u w:color="006EBB"/>
          </w:rPr>
          <w:t>Santander Bank, N.A. v Rubin Trading Corp., 68 Misc. 3d 1013</w:t>
        </w:r>
      </w:hyperlink>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Plaintiff has alleged that it rendered periodic statements of account to both defendants, that these statements were received without timely objection, and that a balance of $361,080 is claimed. These allegations, accepted as true at the pleading stage, establish the three elements of account stated.</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Defendant argues that account stated fails because there is no underlying liability. This argument is premature. Plaintiff alleges that Defendant authorized the work through JAT, accepted the work incorporated into the property, and benefited from the work. These allegations establish a transactional relationship sufficient to support an account stated claim at the pleading stage. Whether Defendant received the statements, understood them as billing, and assented through silence are factual questions that cannot be resolved on the pleadings.</w:t>
      </w:r>
    </w:p>
    <w:p>
      <w:pPr>
        <w:spacing w:after="0"/>
        <w:rPr>
          <w:rFonts w:ascii="Courier New" w:eastAsia="Courier New" w:hAnsi="Courier New" w:cs="Courier New"/>
          <w:szCs w:val="20"/>
        </w:rPr>
      </w:pPr>
    </w:p>
    <w:p>
      <w:pPr>
        <w:pStyle w:val="Heading4"/>
        <w:keepNext w:val="0"/>
        <w:spacing w:before="266" w:after="266"/>
        <w:rPr>
          <w:rFonts w:ascii="Courier New" w:eastAsia="Courier New" w:hAnsi="Courier New" w:cs="Courier New"/>
          <w:b/>
          <w:bCs/>
          <w:szCs w:val="20"/>
        </w:rPr>
      </w:pPr>
      <w:r>
        <w:rPr>
          <w:rFonts w:ascii="Courier New" w:eastAsia="Courier New" w:hAnsi="Courier New" w:cs="Courier New"/>
          <w:sz w:val="20"/>
          <w:szCs w:val="20"/>
        </w:rPr>
        <w:t>2. Quantum Meruit Claim</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 xml:space="preserve">To state a cause of action for quantum meruit, a plaintiff must allege the performance of services in good faith, the acceptance of the services by the person to whom they are rendered, an expectation of compensation, and the reasonable value of the services.  </w:t>
      </w:r>
      <w:hyperlink r:id="rId21" w:history="1">
        <w:r>
          <w:rPr>
            <w:rStyle w:val="Hyperlink"/>
            <w:rFonts w:ascii="Times New Roman" w:eastAsia="Times New Roman" w:hAnsi="Times New Roman" w:cs="Times New Roman"/>
            <w:b w:val="0"/>
            <w:bCs w:val="0"/>
            <w:color w:val="006EBB"/>
            <w:sz w:val="24"/>
            <w:u w:color="006EBB"/>
          </w:rPr>
          <w:t>AHA Sales, Inc. v. Creative Bath Prods., Inc., 58 A.D.3d 6</w:t>
        </w:r>
      </w:hyperlink>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 xml:space="preserve">The general rule is that a property owner who contracts with a general contractor does not become liable to a subcontractor on a quasi-contract theory unless the owner expressly consents to pay for the subcontractor's performance.  </w:t>
      </w:r>
      <w:hyperlink r:id="rId22" w:history="1">
        <w:r>
          <w:rPr>
            <w:rStyle w:val="Hyperlink"/>
            <w:rFonts w:ascii="Times New Roman" w:eastAsia="Times New Roman" w:hAnsi="Times New Roman" w:cs="Times New Roman"/>
            <w:b w:val="0"/>
            <w:bCs w:val="0"/>
            <w:color w:val="006EBB"/>
            <w:sz w:val="24"/>
            <w:u w:color="006EBB"/>
          </w:rPr>
          <w:t>Sears Ready Mix, Ltd. v. Lighthouse Mar., Inc., 127 A.D.3d 845</w:t>
        </w:r>
      </w:hyperlink>
      <w:r>
        <w:rPr>
          <w:rFonts w:ascii="Times New Roman" w:eastAsia="Times New Roman" w:hAnsi="Times New Roman" w:cs="Times New Roman"/>
          <w:b w:val="0"/>
          <w:bCs w:val="0"/>
          <w:color w:val="00172E"/>
          <w:sz w:val="24"/>
        </w:rPr>
        <w:t xml:space="preserve">,  </w:t>
      </w:r>
      <w:hyperlink r:id="rId23" w:history="1">
        <w:r>
          <w:rPr>
            <w:rStyle w:val="Hyperlink"/>
            <w:rFonts w:ascii="Times New Roman" w:eastAsia="Times New Roman" w:hAnsi="Times New Roman" w:cs="Times New Roman"/>
            <w:b w:val="0"/>
            <w:bCs w:val="0"/>
            <w:color w:val="006EBB"/>
            <w:sz w:val="24"/>
            <w:u w:color="006EBB"/>
          </w:rPr>
          <w:t>Perma Pave Contracting Corp. v. Paerdegat Boat &amp; Racquet Club, Inc., 156 A.D.2d 550</w:t>
        </w:r>
      </w:hyperlink>
      <w:r>
        <w:rPr>
          <w:rFonts w:ascii="Times New Roman" w:eastAsia="Times New Roman" w:hAnsi="Times New Roman" w:cs="Times New Roman"/>
          <w:b w:val="0"/>
          <w:bCs w:val="0"/>
          <w:color w:val="00172E"/>
          <w:sz w:val="24"/>
        </w:rPr>
        <w:t xml:space="preserve"> However, this principle does not require dismissal where, as here, Plaintiff has pleaded facts suggesting express or implied consent.</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Plaintiff alleges that Defendant had knowledge of Plaintiff's hiring, consented to Plaintiff's engagement, and exercised active control over the project, including terminating the general contractor. These allegations go beyond mere passive acceptance of improvements and suggest Defendant's authorization of Plaintiff's work.</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 xml:space="preserve">The owner's mere consent to and acceptance of improvements placed on its property, without more, does not render it liable to a subcontractor.  </w:t>
      </w:r>
      <w:hyperlink r:id="rId24" w:history="1">
        <w:r>
          <w:rPr>
            <w:rStyle w:val="Hyperlink"/>
            <w:rFonts w:ascii="Times New Roman" w:eastAsia="Times New Roman" w:hAnsi="Times New Roman" w:cs="Times New Roman"/>
            <w:b w:val="0"/>
            <w:bCs w:val="0"/>
            <w:color w:val="006EBB"/>
            <w:sz w:val="24"/>
            <w:u w:color="006EBB"/>
          </w:rPr>
          <w:t>Perma Pave Contracting Corp. v. Paerdegat Boat &amp; Racquet Club, Inc., 156 A.D.2d 550</w:t>
        </w:r>
      </w:hyperlink>
      <w:r>
        <w:rPr>
          <w:rFonts w:ascii="Times New Roman" w:eastAsia="Times New Roman" w:hAnsi="Times New Roman" w:cs="Times New Roman"/>
          <w:b w:val="0"/>
          <w:bCs w:val="0"/>
          <w:color w:val="00172E"/>
          <w:sz w:val="24"/>
        </w:rPr>
        <w:t xml:space="preserve">,  </w:t>
      </w:r>
      <w:hyperlink r:id="rId25" w:history="1">
        <w:r>
          <w:rPr>
            <w:rStyle w:val="Hyperlink"/>
            <w:rFonts w:ascii="Times New Roman" w:eastAsia="Times New Roman" w:hAnsi="Times New Roman" w:cs="Times New Roman"/>
            <w:b w:val="0"/>
            <w:bCs w:val="0"/>
            <w:color w:val="006EBB"/>
            <w:sz w:val="24"/>
            <w:u w:color="006EBB"/>
          </w:rPr>
          <w:t>Perma Pave Contracting Corp. v. Paerdegat Boat &amp; Racquet Club, Inc., 156 A.D.2d 550</w:t>
        </w:r>
      </w:hyperlink>
      <w:r>
        <w:rPr>
          <w:rFonts w:ascii="Times New Roman" w:eastAsia="Times New Roman" w:hAnsi="Times New Roman" w:cs="Times New Roman"/>
          <w:b w:val="0"/>
          <w:bCs w:val="0"/>
          <w:color w:val="00172E"/>
          <w:sz w:val="24"/>
        </w:rPr>
        <w:t xml:space="preserve"> However, Plaintiff has pleaded significantly more than passive benefit. Plaintiff alleges that Defendant had knowledge and consent regarding Plaintiff's hiring, that Defendant authorized Plaintiff's engagement, that Defendant exercised control over the project including terminating the general contractor, that Defendant accepted the work incorporated into the property, and that Defendant benefited from the work.</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These allegations, when accepted as true, establish a relationship between Plaintiff and Defendant that extends beyond the typical subcontractor-owner relationship where the owner is unaware of the subcontractor's involvement. Whether Defendant expressly or impliedly consented to pay Plaintiff, whether Defendant's exercise of project control created an agency or direct contractual relationship with Plaintiff, and whether the circumstances make it inequitable for Defendant to retain the benefit without payment are all fact-intensive inquiries. These questions cannot be resolved on the pleadings and must proceed to discovery.</w:t>
      </w:r>
    </w:p>
    <w:p>
      <w:pPr>
        <w:spacing w:after="0"/>
        <w:rPr>
          <w:rFonts w:ascii="Courier New" w:eastAsia="Courier New" w:hAnsi="Courier New" w:cs="Courier New"/>
          <w:szCs w:val="20"/>
        </w:rPr>
      </w:pPr>
    </w:p>
    <w:p>
      <w:pPr>
        <w:pStyle w:val="Heading4"/>
        <w:keepNext w:val="0"/>
        <w:spacing w:before="266" w:after="266"/>
        <w:rPr>
          <w:rFonts w:ascii="Courier New" w:eastAsia="Courier New" w:hAnsi="Courier New" w:cs="Courier New"/>
          <w:b/>
          <w:bCs/>
          <w:szCs w:val="20"/>
        </w:rPr>
      </w:pPr>
      <w:r>
        <w:rPr>
          <w:rFonts w:ascii="Courier New" w:eastAsia="Courier New" w:hAnsi="Courier New" w:cs="Courier New"/>
          <w:sz w:val="20"/>
          <w:szCs w:val="20"/>
        </w:rPr>
        <w:t>3. Unjust Enrichment Claim</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 xml:space="preserve">To state a cause of action for unjust enrichment, a plaintiff must allege that the other party was enriched, at that party's expense, and that it is against equity and good conscience to permit the other party to retain what is sought to be recovered.  </w:t>
      </w:r>
      <w:hyperlink r:id="rId26" w:history="1">
        <w:r>
          <w:rPr>
            <w:rStyle w:val="Hyperlink"/>
            <w:rFonts w:ascii="Times New Roman" w:eastAsia="Times New Roman" w:hAnsi="Times New Roman" w:cs="Times New Roman"/>
            <w:b w:val="0"/>
            <w:bCs w:val="0"/>
            <w:color w:val="006EBB"/>
            <w:sz w:val="24"/>
            <w:u w:color="006EBB"/>
          </w:rPr>
          <w:t>AHA Sales, Inc. v. Creative Bath Prods., Inc., 58 A.D.3d 6</w:t>
        </w:r>
      </w:hyperlink>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Plaintiff has alleged that Defendant benefited from the work, that the work was performed at Defendant's expense through Plaintiff's labor and materials, and that it would be inequitable for Defendant to retain the benefit without payment. These allegations satisfy the pleading requirements for unjust enrichment.</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 xml:space="preserve">Defendant's argument that Plaintiff must show Defendant expressly consented to pay is inconsistent with the nature of unjust enrichment claims. Unjust enrichment is imposed by law where there has been no agreement or expression of assent, to assure a just and equitable result.  </w:t>
      </w:r>
      <w:hyperlink r:id="rId27" w:history="1">
        <w:r>
          <w:rPr>
            <w:rStyle w:val="Hyperlink"/>
            <w:rFonts w:ascii="Times New Roman" w:eastAsia="Times New Roman" w:hAnsi="Times New Roman" w:cs="Times New Roman"/>
            <w:b w:val="0"/>
            <w:bCs w:val="0"/>
            <w:color w:val="006EBB"/>
            <w:sz w:val="24"/>
            <w:u w:color="006EBB"/>
          </w:rPr>
          <w:t>Kopelowitz &amp; Co. v. Mann, 23 Misc. 3d 1112(A)</w:t>
        </w:r>
      </w:hyperlink>
      <w:r>
        <w:rPr>
          <w:rFonts w:ascii="Times New Roman" w:eastAsia="Times New Roman" w:hAnsi="Times New Roman" w:cs="Times New Roman"/>
          <w:b w:val="0"/>
          <w:bCs w:val="0"/>
          <w:color w:val="00172E"/>
          <w:sz w:val="24"/>
        </w:rPr>
        <w:t xml:space="preserve"> Plaintiff need not plead express consent; rather, Plaintiff must plead facts showing enrichment, expense, and inequity-all of which are present here.</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Plaintiff's allegations that Defendant had knowledge, consent, and authority regarding Plaintiff's hiring are factual allegations that must be credited at the pleading stage. Defendant's documentary submissions do not conclusively negate these allegations and cannot support dismissal on the pleadings.</w:t>
      </w:r>
    </w:p>
    <w:p>
      <w:pPr>
        <w:spacing w:after="0"/>
        <w:rPr>
          <w:rFonts w:ascii="Courier New" w:eastAsia="Courier New" w:hAnsi="Courier New" w:cs="Courier New"/>
          <w:szCs w:val="20"/>
        </w:rPr>
      </w:pPr>
    </w:p>
    <w:p>
      <w:pPr>
        <w:pStyle w:val="Heading4"/>
        <w:keepNext w:val="0"/>
        <w:spacing w:before="266" w:after="266"/>
        <w:rPr>
          <w:rFonts w:ascii="Courier New" w:eastAsia="Courier New" w:hAnsi="Courier New" w:cs="Courier New"/>
          <w:b/>
          <w:bCs/>
          <w:szCs w:val="20"/>
        </w:rPr>
      </w:pPr>
      <w:r>
        <w:rPr>
          <w:rFonts w:ascii="Courier New" w:eastAsia="Courier New" w:hAnsi="Courier New" w:cs="Courier New"/>
          <w:sz w:val="20"/>
          <w:szCs w:val="20"/>
        </w:rPr>
        <w:t>4. Personal Money Judgment Demands</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Because Plaintiff has pleaded non-lien personal causes of action against Defendant-account stated, quantum meruit, and unjust enrichment-Defendant's request to strike all personal judgment demands is improper at this stage. These causes of action, if viable on the pleadings, support personal liability and personal money judgments. Dismissal of the personal judgment demands would be premature and inconsistent with the survival of the underlying causes of action.</w:t>
      </w:r>
    </w:p>
    <w:p>
      <w:pPr>
        <w:spacing w:after="0"/>
        <w:rPr>
          <w:rFonts w:ascii="Courier New" w:eastAsia="Courier New" w:hAnsi="Courier New" w:cs="Courier New"/>
          <w:szCs w:val="20"/>
        </w:rPr>
      </w:pPr>
    </w:p>
    <w:p>
      <w:pPr>
        <w:pStyle w:val="Heading3"/>
        <w:keepNext w:val="0"/>
        <w:spacing w:before="270" w:after="0"/>
        <w:rPr>
          <w:rFonts w:ascii="Times New Roman" w:eastAsia="Times New Roman" w:hAnsi="Times New Roman" w:cs="Times New Roman"/>
          <w:b/>
          <w:bCs/>
          <w:sz w:val="27"/>
          <w:szCs w:val="27"/>
        </w:rPr>
      </w:pPr>
      <w:r>
        <w:rPr>
          <w:rFonts w:ascii="Times New Roman" w:eastAsia="Times New Roman" w:hAnsi="Times New Roman" w:cs="Times New Roman"/>
          <w:sz w:val="27"/>
          <w:szCs w:val="27"/>
        </w:rPr>
        <w:t>D. Conversion to Summary Judgment Is Inappropriate Because the Record Is Underdeveloped and Material Facts Lie Exclusively Within Defendants' Control</w:t>
      </w:r>
    </w:p>
    <w:p>
      <w:pPr>
        <w:pStyle w:val="Heading4"/>
        <w:keepNext w:val="0"/>
        <w:spacing w:before="266" w:after="266"/>
        <w:rPr>
          <w:rFonts w:ascii="Courier New" w:eastAsia="Courier New" w:hAnsi="Courier New" w:cs="Courier New"/>
          <w:b/>
          <w:bCs/>
          <w:szCs w:val="20"/>
        </w:rPr>
      </w:pPr>
      <w:r>
        <w:rPr>
          <w:rFonts w:ascii="Courier New" w:eastAsia="Courier New" w:hAnsi="Courier New" w:cs="Courier New"/>
          <w:sz w:val="20"/>
          <w:szCs w:val="20"/>
        </w:rPr>
        <w:t>1. The Motion Is Premature: No Discovery Has Been Conducted and Plaintiff Has Been Denied a Fair Opportunity to Develop the Record</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 xml:space="preserve">Defendant's request for conversion under CPLR 3211(c) should be denied because the motion is premature and the record is wholly underdeveloped.  </w:t>
      </w:r>
      <w:hyperlink r:id="rId28" w:history="1">
        <w:r>
          <w:rPr>
            <w:rStyle w:val="Hyperlink"/>
            <w:rFonts w:ascii="Times New Roman" w:eastAsia="Times New Roman" w:hAnsi="Times New Roman" w:cs="Times New Roman"/>
            <w:b w:val="0"/>
            <w:bCs w:val="0"/>
            <w:color w:val="006EBB"/>
            <w:sz w:val="24"/>
            <w:u w:color="006EBB"/>
          </w:rPr>
          <w:t>NY CLS CPLR R 3211</w:t>
        </w:r>
      </w:hyperlink>
      <w:r>
        <w:rPr>
          <w:rFonts w:ascii="Times New Roman" w:eastAsia="Times New Roman" w:hAnsi="Times New Roman" w:cs="Times New Roman"/>
          <w:b w:val="0"/>
          <w:bCs w:val="0"/>
          <w:color w:val="00172E"/>
          <w:sz w:val="24"/>
        </w:rPr>
        <w:t xml:space="preserve"> A court may exercise its discretion to convert a motion to dismiss into a motion for summary judgment, but such conversion is warranted only where a matter involves solely questions of law.  </w:t>
      </w:r>
      <w:hyperlink r:id="rId29" w:history="1">
        <w:r>
          <w:rPr>
            <w:rStyle w:val="Hyperlink"/>
            <w:rFonts w:ascii="Times New Roman" w:eastAsia="Times New Roman" w:hAnsi="Times New Roman" w:cs="Times New Roman"/>
            <w:b w:val="0"/>
            <w:bCs w:val="0"/>
            <w:color w:val="006EBB"/>
            <w:sz w:val="24"/>
            <w:u w:color="006EBB"/>
          </w:rPr>
          <w:t>WFR Assocs. v. Mem'l Hosp., 3 Misc. 3d 766</w:t>
        </w:r>
      </w:hyperlink>
      <w:r>
        <w:rPr>
          <w:rFonts w:ascii="Times New Roman" w:eastAsia="Times New Roman" w:hAnsi="Times New Roman" w:cs="Times New Roman"/>
          <w:b w:val="0"/>
          <w:bCs w:val="0"/>
          <w:color w:val="00172E"/>
          <w:sz w:val="24"/>
        </w:rPr>
        <w:t xml:space="preserve"> Here, the case involves numerous factual disputes that cannot be resolved without discovery.</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 xml:space="preserve">The motion is filed pre-answer, and no discovery has been conducted. This procedural posture is fatal to conversion. Courts have recognized that summary judgment motions filed before discovery has been conducted are premature and should be denied.  </w:t>
      </w:r>
      <w:hyperlink r:id="rId30" w:history="1">
        <w:r>
          <w:rPr>
            <w:rStyle w:val="Hyperlink"/>
            <w:rFonts w:ascii="Times New Roman" w:eastAsia="Times New Roman" w:hAnsi="Times New Roman" w:cs="Times New Roman"/>
            <w:b w:val="0"/>
            <w:bCs w:val="0"/>
            <w:color w:val="006EBB"/>
            <w:sz w:val="24"/>
            <w:u w:color="006EBB"/>
          </w:rPr>
          <w:t>Guzman v City of New York, 171 A.D.3d 653</w:t>
        </w:r>
      </w:hyperlink>
      <w:r>
        <w:rPr>
          <w:rFonts w:ascii="Times New Roman" w:eastAsia="Times New Roman" w:hAnsi="Times New Roman" w:cs="Times New Roman"/>
          <w:b w:val="0"/>
          <w:bCs w:val="0"/>
          <w:color w:val="00172E"/>
          <w:sz w:val="24"/>
        </w:rPr>
        <w:t xml:space="preserve"> When a party seeks summary judgment before depositions have been taken and discovery has concluded, the motion deprives the opposing party of the opportunity to depose parties with knowledge of relevant issues and to develop facts essential to its opposition.  </w:t>
      </w:r>
      <w:hyperlink r:id="rId31" w:history="1">
        <w:r>
          <w:rPr>
            <w:rStyle w:val="Hyperlink"/>
            <w:rFonts w:ascii="Times New Roman" w:eastAsia="Times New Roman" w:hAnsi="Times New Roman" w:cs="Times New Roman"/>
            <w:b w:val="0"/>
            <w:bCs w:val="0"/>
            <w:color w:val="006EBB"/>
            <w:sz w:val="24"/>
            <w:u w:color="006EBB"/>
          </w:rPr>
          <w:t>Guzman v City of New York, 171 A.D.3d 653</w:t>
        </w:r>
      </w:hyperlink>
    </w:p>
    <w:p>
      <w:pPr>
        <w:spacing w:after="0"/>
        <w:rPr>
          <w:rFonts w:ascii="Courier New" w:eastAsia="Courier New" w:hAnsi="Courier New" w:cs="Courier New"/>
          <w:szCs w:val="20"/>
        </w:rPr>
      </w:pPr>
    </w:p>
    <w:p>
      <w:pPr>
        <w:pStyle w:val="Heading4"/>
        <w:keepNext w:val="0"/>
        <w:spacing w:before="266" w:after="266"/>
        <w:rPr>
          <w:rFonts w:ascii="Courier New" w:eastAsia="Courier New" w:hAnsi="Courier New" w:cs="Courier New"/>
          <w:b/>
          <w:bCs/>
          <w:szCs w:val="20"/>
        </w:rPr>
      </w:pPr>
      <w:r>
        <w:rPr>
          <w:rFonts w:ascii="Courier New" w:eastAsia="Courier New" w:hAnsi="Courier New" w:cs="Courier New"/>
          <w:sz w:val="20"/>
          <w:szCs w:val="20"/>
        </w:rPr>
        <w:t>2. Material Facts Are Exclusively Within Defendants' Control, Precluding Summary Disposition</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Defendant's submissions themselves demonstrate that critical facts lie exclusively within Defendant's and JAT's control. The disputed issues identified-lien fund/earned value, mobilization billed in advance, retainage, termination accounting, Defendant's knowledge/consent and receipt of statements, and the effect of JAT's claimed waiver-all require access to documents and testimony that are in the possession and control of the Defendants.</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 xml:space="preserve">Under CPLR 3212(f), a summary judgment motion must be denied when it appears that facts essential to justify opposition may exist but cannot be stated because they lie within the moving party's exclusive knowledge.  </w:t>
      </w:r>
      <w:hyperlink r:id="rId32" w:history="1">
        <w:r>
          <w:rPr>
            <w:rStyle w:val="Hyperlink"/>
            <w:rFonts w:ascii="Times New Roman" w:eastAsia="Times New Roman" w:hAnsi="Times New Roman" w:cs="Times New Roman"/>
            <w:b w:val="0"/>
            <w:bCs w:val="0"/>
            <w:color w:val="006EBB"/>
            <w:sz w:val="24"/>
            <w:u w:color="006EBB"/>
          </w:rPr>
          <w:t>NY CLS CPLR R 3212</w:t>
        </w:r>
      </w:hyperlink>
      <w:r>
        <w:rPr>
          <w:rFonts w:ascii="Times New Roman" w:eastAsia="Times New Roman" w:hAnsi="Times New Roman" w:cs="Times New Roman"/>
          <w:b w:val="0"/>
          <w:bCs w:val="0"/>
          <w:color w:val="00172E"/>
          <w:sz w:val="24"/>
        </w:rPr>
        <w:t xml:space="preserve"> Courts have applied this principle to deny summary judgment motions filed prematurely, particularly where defendants have not yet been deposed and discovery has not concluded.  </w:t>
      </w:r>
      <w:hyperlink r:id="rId33" w:history="1">
        <w:r>
          <w:rPr>
            <w:rStyle w:val="Hyperlink"/>
            <w:rFonts w:ascii="Times New Roman" w:eastAsia="Times New Roman" w:hAnsi="Times New Roman" w:cs="Times New Roman"/>
            <w:b w:val="0"/>
            <w:bCs w:val="0"/>
            <w:color w:val="006EBB"/>
            <w:sz w:val="24"/>
            <w:u w:color="006EBB"/>
          </w:rPr>
          <w:t>Corona v. HHSC 13th St. Dev. Corp., 197 A.D.3d 1025</w:t>
        </w:r>
      </w:hyperlink>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Here, Defendant and JAT possess exclusive knowledge of the prime contract terms and how mobilization charges were calculated and billed, the requisition and approval process for each payment request, the basis for retainage and its application, the circumstances surrounding the termination and the accounting for work performed and costs incurred, whether Defendant received and reviewed payment statements, and Defendant's knowledge of and consent to Plaintiff's performance.</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Plaintiff cannot adequately respond to Defendant's motion without access to these facts through discovery.</w:t>
      </w:r>
    </w:p>
    <w:p>
      <w:pPr>
        <w:spacing w:after="0"/>
        <w:rPr>
          <w:rFonts w:ascii="Courier New" w:eastAsia="Courier New" w:hAnsi="Courier New" w:cs="Courier New"/>
          <w:szCs w:val="20"/>
        </w:rPr>
      </w:pPr>
    </w:p>
    <w:p>
      <w:pPr>
        <w:pStyle w:val="Heading4"/>
        <w:keepNext w:val="0"/>
        <w:spacing w:before="266" w:after="266"/>
        <w:rPr>
          <w:rFonts w:ascii="Courier New" w:eastAsia="Courier New" w:hAnsi="Courier New" w:cs="Courier New"/>
          <w:b/>
          <w:bCs/>
          <w:szCs w:val="20"/>
        </w:rPr>
      </w:pPr>
      <w:r>
        <w:rPr>
          <w:rFonts w:ascii="Courier New" w:eastAsia="Courier New" w:hAnsi="Courier New" w:cs="Courier New"/>
          <w:sz w:val="20"/>
          <w:szCs w:val="20"/>
        </w:rPr>
        <w:t>3. Defendant's Own Submissions Demonstrate the Need for Interpretation of Disputed Contract Terms</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Defendant's submissions themselves reveal that critical contract terms require interpretation and factual development. The disputes over mobilization charges billed in advance, the treatment of retainage, the accounting upon termination, and the effect of any claimed waiver are not purely legal questions susceptible to resolution on the pleadings. These issues require examination of the prime contract, the payment requisitions, the correspondence between the parties, and the circumstances of the termination.</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When a motion to dismiss raises issues that require interpretation of contract terms and examination of factual circumstances, conversion to summary judgment is inappropriate absent full discovery.</w:t>
      </w:r>
    </w:p>
    <w:p>
      <w:pPr>
        <w:spacing w:after="0"/>
        <w:rPr>
          <w:rFonts w:ascii="Courier New" w:eastAsia="Courier New" w:hAnsi="Courier New" w:cs="Courier New"/>
          <w:szCs w:val="20"/>
        </w:rPr>
      </w:pPr>
    </w:p>
    <w:p>
      <w:pPr>
        <w:pStyle w:val="Heading4"/>
        <w:keepNext w:val="0"/>
        <w:spacing w:before="266" w:after="266"/>
        <w:rPr>
          <w:rFonts w:ascii="Courier New" w:eastAsia="Courier New" w:hAnsi="Courier New" w:cs="Courier New"/>
          <w:b/>
          <w:bCs/>
          <w:szCs w:val="20"/>
        </w:rPr>
      </w:pPr>
      <w:r>
        <w:rPr>
          <w:rFonts w:ascii="Courier New" w:eastAsia="Courier New" w:hAnsi="Courier New" w:cs="Courier New"/>
          <w:sz w:val="20"/>
          <w:szCs w:val="20"/>
        </w:rPr>
        <w:t>4. In the Alternative, If the Court Considers Conversion, It Should Permit Targeted Discovery and Supplemental Submissions</w:t>
      </w:r>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 xml:space="preserve">Should the Court be inclined to convert the motion to summary judgment, it should not do so without permitting Plaintiff to conduct targeted discovery and submit supplemental evidence. The statute contemplates that upon conversion, the court may order discovery limited to the issues raised in the motion.  </w:t>
      </w:r>
      <w:hyperlink r:id="rId34" w:history="1">
        <w:r>
          <w:rPr>
            <w:rStyle w:val="Hyperlink"/>
            <w:rFonts w:ascii="Times New Roman" w:eastAsia="Times New Roman" w:hAnsi="Times New Roman" w:cs="Times New Roman"/>
            <w:b w:val="0"/>
            <w:bCs w:val="0"/>
            <w:color w:val="006EBB"/>
            <w:sz w:val="24"/>
            <w:u w:color="006EBB"/>
          </w:rPr>
          <w:t>NY CLS CPLR R 3211</w:t>
        </w:r>
      </w:hyperlink>
    </w:p>
    <w:p>
      <w:pPr>
        <w:spacing w:after="0"/>
        <w:rPr>
          <w:rFonts w:ascii="Courier New" w:eastAsia="Courier New" w:hAnsi="Courier New" w:cs="Courier New"/>
          <w:szCs w:val="20"/>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Plaintiff should be afforded the opportunity to depose Defendant's representatives regarding prime contract administration, payment requisitions, retainage, termination accounting, and Defendant's knowledge and consent to Plaintiff's work. Plaintiff should also be permitted to obtain documents in Defendant's possession relating to these issues. Only after such discovery is completed should the parties be permitted to submit supplemental affidavits and evidence for the Court's consideration on the converted motion.</w:t>
      </w:r>
    </w:p>
    <w:p>
      <w:pPr>
        <w:spacing w:after="0"/>
        <w:rPr>
          <w:rFonts w:ascii="Courier New" w:eastAsia="Courier New" w:hAnsi="Courier New" w:cs="Courier New"/>
          <w:szCs w:val="20"/>
        </w:rPr>
      </w:pPr>
    </w:p>
    <w:p>
      <w:pPr>
        <w:pStyle w:val="Heading3"/>
        <w:keepNext w:val="0"/>
        <w:spacing w:before="270" w:after="0"/>
        <w:rPr>
          <w:rFonts w:ascii="Times New Roman" w:eastAsia="Times New Roman" w:hAnsi="Times New Roman" w:cs="Times New Roman"/>
          <w:b/>
          <w:bCs/>
          <w:sz w:val="27"/>
          <w:szCs w:val="27"/>
        </w:rPr>
      </w:pPr>
      <w:r>
        <w:rPr>
          <w:rFonts w:ascii="Times New Roman" w:eastAsia="Times New Roman" w:hAnsi="Times New Roman" w:cs="Times New Roman"/>
          <w:sz w:val="27"/>
          <w:szCs w:val="27"/>
        </w:rPr>
        <w:t>E. The Notice of Pendency Must Remain in Place</w:t>
      </w: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 xml:space="preserve">Under CPLR 6514, a notice of pendency may be filed in any action in which the judgment demanded would affect the title to, or the possession, use or enjoyment of, real property.  </w:t>
      </w:r>
      <w:hyperlink r:id="rId35" w:history="1">
        <w:r>
          <w:rPr>
            <w:rStyle w:val="Hyperlink"/>
            <w:rFonts w:ascii="Times New Roman" w:eastAsia="Times New Roman" w:hAnsi="Times New Roman" w:cs="Times New Roman"/>
            <w:b w:val="0"/>
            <w:bCs w:val="0"/>
            <w:color w:val="006EBB"/>
            <w:sz w:val="24"/>
            <w:u w:color="006EBB"/>
          </w:rPr>
          <w:t>NY CLS CPLR § 6514</w:t>
        </w:r>
      </w:hyperlink>
      <w:r>
        <w:rPr>
          <w:rFonts w:ascii="Times New Roman" w:eastAsia="Times New Roman" w:hAnsi="Times New Roman" w:cs="Times New Roman"/>
          <w:b w:val="0"/>
          <w:bCs w:val="0"/>
          <w:color w:val="00172E"/>
          <w:sz w:val="24"/>
        </w:rPr>
        <w:t xml:space="preserve">,  </w:t>
      </w:r>
      <w:hyperlink r:id="rId36" w:history="1">
        <w:r>
          <w:rPr>
            <w:rStyle w:val="Hyperlink"/>
            <w:rFonts w:ascii="Times New Roman" w:eastAsia="Times New Roman" w:hAnsi="Times New Roman" w:cs="Times New Roman"/>
            <w:b w:val="0"/>
            <w:bCs w:val="0"/>
            <w:color w:val="006EBB"/>
            <w:sz w:val="24"/>
            <w:u w:color="006EBB"/>
          </w:rPr>
          <w:t>Vanderbilt Brookland, LLC v Vanderbilt Myrtle, Inc., 147 A.D.3d 1106</w:t>
        </w:r>
      </w:hyperlink>
      <w:r>
        <w:rPr>
          <w:rFonts w:ascii="Times New Roman" w:eastAsia="Times New Roman" w:hAnsi="Times New Roman" w:cs="Times New Roman"/>
          <w:b w:val="0"/>
          <w:bCs w:val="0"/>
          <w:color w:val="00172E"/>
          <w:sz w:val="24"/>
        </w:rPr>
        <w:t xml:space="preserve"> A mechanic's lien foreclosure action is precisely such an action, as it seeks to enforce a lien against real property.</w:t>
      </w:r>
    </w:p>
    <w:p>
      <w:pPr>
        <w:pStyle w:val="Heading3"/>
        <w:keepNext w:val="0"/>
        <w:spacing w:before="0" w:after="0"/>
        <w:rPr>
          <w:rFonts w:ascii="Times New Roman" w:eastAsia="Times New Roman" w:hAnsi="Times New Roman" w:cs="Times New Roman"/>
          <w:b/>
          <w:bCs/>
          <w:sz w:val="27"/>
          <w:szCs w:val="27"/>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 xml:space="preserve">The court may direct that a notice of pendency be canceled only if the plaintiff has not commenced or prosecuted the action in good faith.  </w:t>
      </w:r>
      <w:hyperlink r:id="rId37" w:history="1">
        <w:r>
          <w:rPr>
            <w:rStyle w:val="Hyperlink"/>
            <w:rFonts w:ascii="Times New Roman" w:eastAsia="Times New Roman" w:hAnsi="Times New Roman" w:cs="Times New Roman"/>
            <w:b w:val="0"/>
            <w:bCs w:val="0"/>
            <w:color w:val="006EBB"/>
            <w:sz w:val="24"/>
            <w:u w:color="006EBB"/>
          </w:rPr>
          <w:t>Vanderbilt Brookland, LLC v Vanderbilt Myrtle, Inc., 147 A.D.3d 1106</w:t>
        </w:r>
      </w:hyperlink>
      <w:r>
        <w:rPr>
          <w:rFonts w:ascii="Times New Roman" w:eastAsia="Times New Roman" w:hAnsi="Times New Roman" w:cs="Times New Roman"/>
          <w:b w:val="0"/>
          <w:bCs w:val="0"/>
          <w:color w:val="00172E"/>
          <w:sz w:val="24"/>
        </w:rPr>
        <w:t xml:space="preserve"> Here, Plaintiff has alleged that it performed work through December 4, 2025, and filed its lien on December 16, 2025, for $361,080. These allegations, taken as true at the pleading stage, establish that Plaintiff has commenced the action in good faith and that the action affects real property.</w:t>
      </w:r>
    </w:p>
    <w:p>
      <w:pPr>
        <w:pStyle w:val="Heading3"/>
        <w:keepNext w:val="0"/>
        <w:spacing w:before="0" w:after="0"/>
        <w:rPr>
          <w:rFonts w:ascii="Times New Roman" w:eastAsia="Times New Roman" w:hAnsi="Times New Roman" w:cs="Times New Roman"/>
          <w:b/>
          <w:bCs/>
          <w:sz w:val="27"/>
          <w:szCs w:val="27"/>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Because the lien foreclosure claim should not be dismissed and the action affects real property, the notice of pendency is proper and must remain in place. Cancellation of the notice of pendency is therefore inappropriate.</w:t>
      </w:r>
    </w:p>
    <w:p>
      <w:pPr>
        <w:pStyle w:val="Heading3"/>
        <w:keepNext w:val="0"/>
        <w:spacing w:before="0" w:after="0"/>
        <w:rPr>
          <w:rFonts w:ascii="Times New Roman" w:eastAsia="Times New Roman" w:hAnsi="Times New Roman" w:cs="Times New Roman"/>
          <w:b/>
          <w:bCs/>
          <w:sz w:val="27"/>
          <w:szCs w:val="27"/>
        </w:rPr>
      </w:pPr>
    </w:p>
    <w:p>
      <w:pPr>
        <w:pStyle w:val="Heading3"/>
        <w:keepNext w:val="0"/>
        <w:spacing w:before="270" w:after="0"/>
        <w:rPr>
          <w:rFonts w:ascii="Times New Roman" w:eastAsia="Times New Roman" w:hAnsi="Times New Roman" w:cs="Times New Roman"/>
          <w:b/>
          <w:bCs/>
          <w:sz w:val="27"/>
          <w:szCs w:val="27"/>
        </w:rPr>
      </w:pPr>
      <w:r>
        <w:rPr>
          <w:rFonts w:ascii="Times New Roman" w:eastAsia="Times New Roman" w:hAnsi="Times New Roman" w:cs="Times New Roman"/>
          <w:sz w:val="27"/>
          <w:szCs w:val="27"/>
        </w:rPr>
        <w:t>F. Severance and Caption Amendment Are Moot and Premature</w:t>
      </w: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Defendant's alternative request for severance and caption amendment deleting Defendant should be denied as moot and premature. These remedies are appropriate only if the Court grants the motion to dismiss as to Defendant. Because the motion to dismiss should be denied on the merits, the question of severance and caption amendment does not arise.</w:t>
      </w:r>
    </w:p>
    <w:p>
      <w:pPr>
        <w:pStyle w:val="Heading3"/>
        <w:keepNext w:val="0"/>
        <w:spacing w:before="0" w:after="0"/>
        <w:rPr>
          <w:rFonts w:ascii="Times New Roman" w:eastAsia="Times New Roman" w:hAnsi="Times New Roman" w:cs="Times New Roman"/>
          <w:b/>
          <w:bCs/>
          <w:sz w:val="27"/>
          <w:szCs w:val="27"/>
        </w:rPr>
      </w:pPr>
    </w:p>
    <w:p>
      <w:pPr>
        <w:pStyle w:val="Heading2"/>
        <w:keepNext w:val="0"/>
        <w:spacing w:before="299" w:after="0"/>
        <w:rPr>
          <w:rFonts w:ascii="Times New Roman" w:eastAsia="Times New Roman" w:hAnsi="Times New Roman" w:cs="Times New Roman"/>
          <w:b/>
          <w:bCs/>
          <w:sz w:val="36"/>
          <w:szCs w:val="36"/>
        </w:rPr>
      </w:pPr>
      <w:r>
        <w:rPr>
          <w:rFonts w:ascii="Times New Roman" w:eastAsia="Times New Roman" w:hAnsi="Times New Roman" w:cs="Times New Roman"/>
          <w:i w:val="0"/>
          <w:iCs w:val="0"/>
          <w:sz w:val="36"/>
          <w:szCs w:val="36"/>
        </w:rPr>
        <w:t>V. CONCLUSION</w:t>
      </w: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For the foregoing reasons, Plaintiff Marine Bulkheading, Inc. respectfully requests that this Court:</w:t>
      </w:r>
    </w:p>
    <w:p>
      <w:pPr>
        <w:pStyle w:val="Heading2"/>
        <w:keepNext w:val="0"/>
        <w:spacing w:before="0" w:after="0"/>
        <w:rPr>
          <w:rFonts w:ascii="Times New Roman" w:eastAsia="Times New Roman" w:hAnsi="Times New Roman" w:cs="Times New Roman"/>
          <w:b/>
          <w:bCs/>
          <w:sz w:val="36"/>
          <w:szCs w:val="36"/>
        </w:rPr>
      </w:pPr>
    </w:p>
    <w:p>
      <w:pPr>
        <w:spacing w:before="240" w:after="0"/>
        <w:ind w:left="720"/>
        <w:rPr>
          <w:rFonts w:ascii="Times New Roman" w:eastAsia="Times New Roman" w:hAnsi="Times New Roman" w:cs="Times New Roman"/>
          <w:b w:val="0"/>
          <w:bCs w:val="0"/>
          <w:color w:val="00172E"/>
          <w:sz w:val="24"/>
        </w:rPr>
      </w:pPr>
    </w:p>
    <w:p>
      <w:pPr>
        <w:numPr>
          <w:ilvl w:val="0"/>
          <w:numId w:val="4"/>
        </w:numPr>
        <w:spacing w:before="0" w:after="0"/>
        <w:ind w:left="720" w:right="0" w:hanging="280"/>
        <w:jc w:val="left"/>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DENY Defendant 402 Avenue T LLC's motion to dismiss the Verified Complaint in its entirety;</w:t>
      </w:r>
    </w:p>
    <w:p>
      <w:pPr>
        <w:spacing w:after="0"/>
        <w:ind w:left="720"/>
        <w:jc w:val="left"/>
        <w:rPr>
          <w:rFonts w:ascii="Times New Roman" w:eastAsia="Times New Roman" w:hAnsi="Times New Roman" w:cs="Times New Roman"/>
          <w:b w:val="0"/>
          <w:bCs w:val="0"/>
          <w:color w:val="00172E"/>
          <w:sz w:val="24"/>
        </w:rPr>
      </w:pPr>
    </w:p>
    <w:p>
      <w:pPr>
        <w:spacing w:after="0"/>
        <w:ind w:left="720"/>
        <w:rPr>
          <w:rFonts w:ascii="Times New Roman" w:eastAsia="Times New Roman" w:hAnsi="Times New Roman" w:cs="Times New Roman"/>
          <w:b w:val="0"/>
          <w:bCs w:val="0"/>
          <w:color w:val="00172E"/>
          <w:sz w:val="24"/>
        </w:rPr>
      </w:pPr>
    </w:p>
    <w:p>
      <w:pPr>
        <w:numPr>
          <w:ilvl w:val="0"/>
          <w:numId w:val="4"/>
        </w:numPr>
        <w:spacing w:before="0" w:after="0"/>
        <w:ind w:left="720" w:right="0" w:hanging="280"/>
        <w:jc w:val="left"/>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DENY, in the alternative, Defendant 402 Avenue T LLC's motion to dismiss the Second, Fourth, and Fifth Causes of Action insofar as asserted against Defendant 402 Avenue T LLC;</w:t>
      </w:r>
    </w:p>
    <w:p>
      <w:pPr>
        <w:spacing w:after="0"/>
        <w:ind w:left="720"/>
        <w:jc w:val="left"/>
        <w:rPr>
          <w:rFonts w:ascii="Times New Roman" w:eastAsia="Times New Roman" w:hAnsi="Times New Roman" w:cs="Times New Roman"/>
          <w:b w:val="0"/>
          <w:bCs w:val="0"/>
          <w:color w:val="00172E"/>
          <w:sz w:val="24"/>
        </w:rPr>
      </w:pPr>
    </w:p>
    <w:p>
      <w:pPr>
        <w:spacing w:after="0"/>
        <w:ind w:left="720"/>
        <w:rPr>
          <w:rFonts w:ascii="Times New Roman" w:eastAsia="Times New Roman" w:hAnsi="Times New Roman" w:cs="Times New Roman"/>
          <w:b w:val="0"/>
          <w:bCs w:val="0"/>
          <w:color w:val="00172E"/>
          <w:sz w:val="24"/>
        </w:rPr>
      </w:pPr>
    </w:p>
    <w:p>
      <w:pPr>
        <w:numPr>
          <w:ilvl w:val="0"/>
          <w:numId w:val="4"/>
        </w:numPr>
        <w:spacing w:before="0" w:after="0"/>
        <w:ind w:left="720" w:right="0" w:hanging="280"/>
        <w:jc w:val="left"/>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DENY Defendant 402 Avenue T LLC's request to dismiss all demands for personal money judgment against Defendant 402 Avenue T LLC;</w:t>
      </w:r>
    </w:p>
    <w:p>
      <w:pPr>
        <w:spacing w:after="0"/>
        <w:ind w:left="720"/>
        <w:jc w:val="left"/>
        <w:rPr>
          <w:rFonts w:ascii="Times New Roman" w:eastAsia="Times New Roman" w:hAnsi="Times New Roman" w:cs="Times New Roman"/>
          <w:b w:val="0"/>
          <w:bCs w:val="0"/>
          <w:color w:val="00172E"/>
          <w:sz w:val="24"/>
        </w:rPr>
      </w:pPr>
    </w:p>
    <w:p>
      <w:pPr>
        <w:spacing w:after="0"/>
        <w:ind w:left="720"/>
        <w:rPr>
          <w:rFonts w:ascii="Times New Roman" w:eastAsia="Times New Roman" w:hAnsi="Times New Roman" w:cs="Times New Roman"/>
          <w:b w:val="0"/>
          <w:bCs w:val="0"/>
          <w:color w:val="00172E"/>
          <w:sz w:val="24"/>
        </w:rPr>
      </w:pPr>
    </w:p>
    <w:p>
      <w:pPr>
        <w:numPr>
          <w:ilvl w:val="0"/>
          <w:numId w:val="4"/>
        </w:numPr>
        <w:spacing w:before="0" w:after="0"/>
        <w:ind w:left="720" w:right="0" w:hanging="280"/>
        <w:jc w:val="left"/>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DENY Defendant 402 Avenue T LLC's request to cancel the Notice of Pendency;</w:t>
      </w:r>
    </w:p>
    <w:p>
      <w:pPr>
        <w:spacing w:after="0"/>
        <w:ind w:left="720"/>
        <w:jc w:val="left"/>
        <w:rPr>
          <w:rFonts w:ascii="Times New Roman" w:eastAsia="Times New Roman" w:hAnsi="Times New Roman" w:cs="Times New Roman"/>
          <w:b w:val="0"/>
          <w:bCs w:val="0"/>
          <w:color w:val="00172E"/>
          <w:sz w:val="24"/>
        </w:rPr>
      </w:pPr>
    </w:p>
    <w:p>
      <w:pPr>
        <w:spacing w:after="0"/>
        <w:ind w:left="720"/>
        <w:rPr>
          <w:rFonts w:ascii="Times New Roman" w:eastAsia="Times New Roman" w:hAnsi="Times New Roman" w:cs="Times New Roman"/>
          <w:b w:val="0"/>
          <w:bCs w:val="0"/>
          <w:color w:val="00172E"/>
          <w:sz w:val="24"/>
        </w:rPr>
      </w:pPr>
    </w:p>
    <w:p>
      <w:pPr>
        <w:numPr>
          <w:ilvl w:val="0"/>
          <w:numId w:val="4"/>
        </w:numPr>
        <w:spacing w:before="0" w:after="0"/>
        <w:ind w:left="720" w:right="0" w:hanging="280"/>
        <w:jc w:val="left"/>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DENY Defendant 402 Avenue T LLC's request for severance and amendment of the caption;</w:t>
      </w:r>
    </w:p>
    <w:p>
      <w:pPr>
        <w:spacing w:after="0"/>
        <w:ind w:left="720"/>
        <w:jc w:val="left"/>
        <w:rPr>
          <w:rFonts w:ascii="Times New Roman" w:eastAsia="Times New Roman" w:hAnsi="Times New Roman" w:cs="Times New Roman"/>
          <w:b w:val="0"/>
          <w:bCs w:val="0"/>
          <w:color w:val="00172E"/>
          <w:sz w:val="24"/>
        </w:rPr>
      </w:pPr>
    </w:p>
    <w:p>
      <w:pPr>
        <w:spacing w:after="0"/>
        <w:ind w:left="720"/>
        <w:rPr>
          <w:rFonts w:ascii="Times New Roman" w:eastAsia="Times New Roman" w:hAnsi="Times New Roman" w:cs="Times New Roman"/>
          <w:b w:val="0"/>
          <w:bCs w:val="0"/>
          <w:color w:val="00172E"/>
          <w:sz w:val="24"/>
        </w:rPr>
      </w:pPr>
    </w:p>
    <w:p>
      <w:pPr>
        <w:numPr>
          <w:ilvl w:val="0"/>
          <w:numId w:val="4"/>
        </w:numPr>
        <w:spacing w:before="0" w:after="0"/>
        <w:ind w:left="720" w:right="0" w:hanging="280"/>
        <w:jc w:val="left"/>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DENY any conversion of this motion to a motion for summary judgment under CPLR 3211(c), or alternatively, if conversion is ordered, PERMIT Plaintiff to conduct targeted discovery and submit supplemental evidence before the converted motion is decided;</w:t>
      </w:r>
    </w:p>
    <w:p>
      <w:pPr>
        <w:spacing w:after="0"/>
        <w:ind w:left="720"/>
        <w:jc w:val="left"/>
        <w:rPr>
          <w:rFonts w:ascii="Times New Roman" w:eastAsia="Times New Roman" w:hAnsi="Times New Roman" w:cs="Times New Roman"/>
          <w:b w:val="0"/>
          <w:bCs w:val="0"/>
          <w:color w:val="00172E"/>
          <w:sz w:val="24"/>
        </w:rPr>
      </w:pPr>
    </w:p>
    <w:p>
      <w:pPr>
        <w:spacing w:after="0"/>
        <w:ind w:left="720"/>
        <w:rPr>
          <w:rFonts w:ascii="Times New Roman" w:eastAsia="Times New Roman" w:hAnsi="Times New Roman" w:cs="Times New Roman"/>
          <w:b w:val="0"/>
          <w:bCs w:val="0"/>
          <w:color w:val="00172E"/>
          <w:sz w:val="24"/>
        </w:rPr>
      </w:pPr>
    </w:p>
    <w:p>
      <w:pPr>
        <w:numPr>
          <w:ilvl w:val="0"/>
          <w:numId w:val="4"/>
        </w:numPr>
        <w:spacing w:before="0" w:after="0"/>
        <w:ind w:left="720" w:right="0" w:hanging="280"/>
        <w:jc w:val="left"/>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PERMIT Plaintiff to proceed with discovery and to develop the factual record necessary to support its claims; and</w:t>
      </w:r>
    </w:p>
    <w:p>
      <w:pPr>
        <w:spacing w:after="0"/>
        <w:ind w:left="720"/>
        <w:jc w:val="left"/>
        <w:rPr>
          <w:rFonts w:ascii="Times New Roman" w:eastAsia="Times New Roman" w:hAnsi="Times New Roman" w:cs="Times New Roman"/>
          <w:b w:val="0"/>
          <w:bCs w:val="0"/>
          <w:color w:val="00172E"/>
          <w:sz w:val="24"/>
        </w:rPr>
      </w:pPr>
    </w:p>
    <w:p>
      <w:pPr>
        <w:spacing w:after="0"/>
        <w:ind w:left="720"/>
        <w:rPr>
          <w:rFonts w:ascii="Times New Roman" w:eastAsia="Times New Roman" w:hAnsi="Times New Roman" w:cs="Times New Roman"/>
          <w:b w:val="0"/>
          <w:bCs w:val="0"/>
          <w:color w:val="00172E"/>
          <w:sz w:val="24"/>
        </w:rPr>
      </w:pPr>
    </w:p>
    <w:p>
      <w:pPr>
        <w:numPr>
          <w:ilvl w:val="0"/>
          <w:numId w:val="4"/>
        </w:numPr>
        <w:spacing w:before="0" w:after="0"/>
        <w:ind w:left="720" w:right="0" w:hanging="280"/>
        <w:jc w:val="left"/>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GRANT such other and further relief as the Court deems just and proper.</w:t>
      </w:r>
    </w:p>
    <w:p>
      <w:pPr>
        <w:spacing w:after="0"/>
        <w:ind w:left="720"/>
        <w:jc w:val="left"/>
        <w:rPr>
          <w:rFonts w:ascii="Times New Roman" w:eastAsia="Times New Roman" w:hAnsi="Times New Roman" w:cs="Times New Roman"/>
          <w:b w:val="0"/>
          <w:bCs w:val="0"/>
          <w:color w:val="00172E"/>
          <w:sz w:val="24"/>
        </w:rPr>
      </w:pPr>
    </w:p>
    <w:p>
      <w:pPr>
        <w:spacing w:after="0"/>
        <w:ind w:left="720"/>
        <w:rPr>
          <w:rFonts w:ascii="Times New Roman" w:eastAsia="Times New Roman" w:hAnsi="Times New Roman" w:cs="Times New Roman"/>
          <w:b w:val="0"/>
          <w:bCs w:val="0"/>
          <w:color w:val="00172E"/>
          <w:sz w:val="24"/>
        </w:rPr>
      </w:pPr>
    </w:p>
    <w:p>
      <w:pPr>
        <w:spacing w:before="0" w:after="0"/>
        <w:ind w:left="720"/>
        <w:rPr>
          <w:rFonts w:ascii="Times New Roman" w:eastAsia="Times New Roman" w:hAnsi="Times New Roman" w:cs="Times New Roman"/>
          <w:b w:val="0"/>
          <w:bCs w:val="0"/>
          <w:color w:val="00172E"/>
          <w:sz w:val="24"/>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Dated: [DATE]</w:t>
      </w:r>
    </w:p>
    <w:p>
      <w:pPr>
        <w:pStyle w:val="Heading2"/>
        <w:keepNext w:val="0"/>
        <w:spacing w:before="0" w:after="0"/>
        <w:rPr>
          <w:rFonts w:ascii="Times New Roman" w:eastAsia="Times New Roman" w:hAnsi="Times New Roman" w:cs="Times New Roman"/>
          <w:b/>
          <w:bCs/>
          <w:sz w:val="36"/>
          <w:szCs w:val="36"/>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Respectfully submitted,</w:t>
      </w:r>
    </w:p>
    <w:p>
      <w:pPr>
        <w:pStyle w:val="Heading2"/>
        <w:keepNext w:val="0"/>
        <w:spacing w:before="0" w:after="0"/>
        <w:rPr>
          <w:rFonts w:ascii="Times New Roman" w:eastAsia="Times New Roman" w:hAnsi="Times New Roman" w:cs="Times New Roman"/>
          <w:b/>
          <w:bCs/>
          <w:sz w:val="36"/>
          <w:szCs w:val="36"/>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_________________________________</w:t>
      </w: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John N. Cuomo, Esq.</w:t>
      </w: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Attorney for Plaintiff Marine Bulkheading, Inc.</w:t>
      </w: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11 Fern Drive</w:t>
      </w: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Commack, New York 11725</w:t>
      </w: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(631) 403-0515</w:t>
      </w:r>
    </w:p>
    <w:p>
      <w:pPr>
        <w:pStyle w:val="Heading2"/>
        <w:keepNext w:val="0"/>
        <w:spacing w:before="0" w:after="0"/>
        <w:rPr>
          <w:rFonts w:ascii="Times New Roman" w:eastAsia="Times New Roman" w:hAnsi="Times New Roman" w:cs="Times New Roman"/>
          <w:b/>
          <w:bCs/>
          <w:sz w:val="36"/>
          <w:szCs w:val="36"/>
        </w:rPr>
      </w:pPr>
    </w:p>
    <w:p>
      <w:pPr>
        <w:pStyle w:val="Heading2"/>
        <w:keepNext w:val="0"/>
        <w:spacing w:before="299" w:after="0"/>
        <w:rPr>
          <w:rFonts w:ascii="Times New Roman" w:eastAsia="Times New Roman" w:hAnsi="Times New Roman" w:cs="Times New Roman"/>
          <w:b/>
          <w:bCs/>
          <w:sz w:val="36"/>
          <w:szCs w:val="36"/>
        </w:rPr>
      </w:pPr>
      <w:r>
        <w:rPr>
          <w:rFonts w:ascii="Times New Roman" w:eastAsia="Times New Roman" w:hAnsi="Times New Roman" w:cs="Times New Roman"/>
          <w:i w:val="0"/>
          <w:iCs w:val="0"/>
          <w:sz w:val="36"/>
          <w:szCs w:val="36"/>
        </w:rPr>
        <w:t>CERTIFICATE OF SERVICE</w:t>
      </w: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I, John N. Cuomo, Esq. , hereby certify that on [DATE], I served a true and correct copy of the foregoing AFFIRMATION IN OPPOSITION TO DEFENDANT 402 AVENUE T LLC'S MOTION TO DISMISS upon the following parties by electronic service via NYSCEF:</w:t>
      </w:r>
    </w:p>
    <w:p>
      <w:pPr>
        <w:pStyle w:val="Heading2"/>
        <w:keepNext w:val="0"/>
        <w:spacing w:before="0" w:after="0"/>
        <w:rPr>
          <w:rFonts w:ascii="Times New Roman" w:eastAsia="Times New Roman" w:hAnsi="Times New Roman" w:cs="Times New Roman"/>
          <w:b/>
          <w:bCs/>
          <w:sz w:val="36"/>
          <w:szCs w:val="36"/>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Gary Rosen, Esq.</w:t>
      </w: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Rosen Law LLC</w:t>
      </w: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Attorneys for Defendant 402 Avenue T LLC</w:t>
      </w: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216 Lakeville Road</w:t>
      </w: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Great Neck, New York 11020</w:t>
      </w: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(516) 437-3400</w:t>
      </w: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grosen@rosenlawllc.com</w:t>
      </w:r>
    </w:p>
    <w:p>
      <w:pPr>
        <w:pStyle w:val="Heading2"/>
        <w:keepNext w:val="0"/>
        <w:spacing w:before="0" w:after="0"/>
        <w:rPr>
          <w:rFonts w:ascii="Times New Roman" w:eastAsia="Times New Roman" w:hAnsi="Times New Roman" w:cs="Times New Roman"/>
          <w:b/>
          <w:bCs/>
          <w:sz w:val="36"/>
          <w:szCs w:val="36"/>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[Counsel for JAT Construction Group Inc., if applicable]</w:t>
      </w:r>
    </w:p>
    <w:p>
      <w:pPr>
        <w:pStyle w:val="Heading2"/>
        <w:keepNext w:val="0"/>
        <w:spacing w:before="0" w:after="0"/>
        <w:rPr>
          <w:rFonts w:ascii="Times New Roman" w:eastAsia="Times New Roman" w:hAnsi="Times New Roman" w:cs="Times New Roman"/>
          <w:b/>
          <w:bCs/>
          <w:sz w:val="36"/>
          <w:szCs w:val="36"/>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I declare under penalty of perjury that the foregoing is true and correct.</w:t>
      </w:r>
    </w:p>
    <w:p>
      <w:pPr>
        <w:pStyle w:val="Heading2"/>
        <w:keepNext w:val="0"/>
        <w:spacing w:before="0" w:after="0"/>
        <w:rPr>
          <w:rFonts w:ascii="Times New Roman" w:eastAsia="Times New Roman" w:hAnsi="Times New Roman" w:cs="Times New Roman"/>
          <w:b/>
          <w:bCs/>
          <w:sz w:val="36"/>
          <w:szCs w:val="36"/>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Dated: [DATE]</w:t>
      </w:r>
    </w:p>
    <w:p>
      <w:pPr>
        <w:pStyle w:val="Heading2"/>
        <w:keepNext w:val="0"/>
        <w:spacing w:before="0" w:after="0"/>
        <w:rPr>
          <w:rFonts w:ascii="Times New Roman" w:eastAsia="Times New Roman" w:hAnsi="Times New Roman" w:cs="Times New Roman"/>
          <w:b/>
          <w:bCs/>
          <w:sz w:val="36"/>
          <w:szCs w:val="36"/>
        </w:rPr>
      </w:pP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_________________________________</w:t>
      </w:r>
    </w:p>
    <w:p>
      <w:pP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John N. Cuomo, Esq.</w:t>
      </w:r>
    </w:p>
    <w:p>
      <w:pPr>
        <w:pStyle w:val="Heading2"/>
        <w:keepNext w:val="0"/>
        <w:spacing w:before="0" w:after="0"/>
        <w:rPr>
          <w:rFonts w:ascii="Times New Roman" w:eastAsia="Times New Roman" w:hAnsi="Times New Roman" w:cs="Times New Roman"/>
          <w:b/>
          <w:bCs/>
          <w:sz w:val="36"/>
          <w:szCs w:val="36"/>
        </w:rPr>
      </w:pPr>
    </w:p>
    <w:p>
      <w:pPr>
        <w:pBdr>
          <w:top w:val="none" w:sz="0" w:space="15" w:color="auto"/>
        </w:pBdr>
        <w:spacing w:before="0" w:after="0"/>
        <w:ind w:left="0" w:right="0"/>
        <w:rPr>
          <w:rFonts w:ascii="Times New Roman" w:eastAsia="Times New Roman" w:hAnsi="Times New Roman" w:cs="Times New Roman"/>
          <w:b w:val="0"/>
          <w:bCs w:val="0"/>
          <w:color w:val="00172E"/>
          <w:sz w:val="24"/>
        </w:rPr>
      </w:pPr>
      <w:r>
        <w:rPr>
          <w:rFonts w:ascii="Times New Roman" w:eastAsia="Times New Roman" w:hAnsi="Times New Roman" w:cs="Times New Roman"/>
          <w:b w:val="0"/>
          <w:bCs w:val="0"/>
          <w:color w:val="00172E"/>
          <w:sz w:val="24"/>
        </w:rPr>
        <w:t>Content supporting AI-generated response:</w:t>
      </w:r>
      <w:r>
        <w:rPr>
          <w:rFonts w:ascii="Times New Roman" w:eastAsia="Times New Roman" w:hAnsi="Times New Roman" w:cs="Times New Roman"/>
          <w:b w:val="0"/>
          <w:bCs w:val="0"/>
          <w:color w:val="00172E"/>
          <w:sz w:val="24"/>
        </w:rPr>
        <w:fldChar w:fldCharType="begin"/>
      </w:r>
      <w:r>
        <w:rPr>
          <w:rFonts w:ascii="Times New Roman" w:eastAsia="Times New Roman" w:hAnsi="Times New Roman" w:cs="Times New Roman"/>
          <w:b w:val="0"/>
          <w:bCs w:val="0"/>
          <w:color w:val="00172E"/>
          <w:sz w:val="24"/>
        </w:rPr>
        <w:instrText xml:space="preserve"> HYPERLINK "https://plus.lexis.com/shepards/?pdshepid=urn%3acontentItem%3a6286-B1D3-GXF7-308N-00000-00&amp;pdischatbotdoc=true&amp;passagetext=QSBtb3Rpb24gdG8gZGlzbWlzcyBwdXJzdWFudCB0byBDUExSIDMyMS4qIG5vdCBhZmZpZGF2aXRzIG9yIGRlcG9zaXRpb24gdGVzdGltb255Lg%3d%3d" </w:instrText>
      </w:r>
      <w:r>
        <w:rPr>
          <w:rFonts w:ascii="Times New Roman" w:eastAsia="Times New Roman" w:hAnsi="Times New Roman" w:cs="Times New Roman"/>
          <w:b w:val="0"/>
          <w:bCs w:val="0"/>
          <w:color w:val="00172E"/>
          <w:sz w:val="24"/>
        </w:rPr>
        <w:fldChar w:fldCharType="separate"/>
      </w:r>
    </w:p>
    <w:p>
      <w:pPr>
        <w:spacing w:after="299"/>
        <w:rPr>
          <w:rStyle w:val="Hyperlink"/>
          <w:b/>
          <w:bCs/>
          <w:color w:val="006EBB"/>
          <w:sz w:val="21"/>
          <w:szCs w:val="21"/>
          <w:u w:color="006EBB"/>
        </w:rPr>
      </w:pPr>
      <w:r>
        <w:rPr>
          <w:rStyle w:val="Hyperlink"/>
          <w:b/>
          <w:bCs/>
          <w:strike w:val="0"/>
          <w:color w:val="006EBB"/>
          <w:sz w:val="21"/>
          <w:szCs w:val="21"/>
          <w:u w:val="none" w:color="006EBB"/>
        </w:rPr>
        <w:drawing>
          <wp:inline>
            <wp:extent cx="161925" cy="161925"/>
            <wp:docPr id="100005" name="" descr="CaselawPositive">
              <a:hlinkClick xmlns:a="http://schemas.openxmlformats.org/drawingml/2006/main" xmlns:r="http://schemas.openxmlformats.org/officeDocument/2006/relationships"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39"/>
                    <a:stretch>
                      <a:fillRect/>
                    </a:stretch>
                  </pic:blipFill>
                  <pic:spPr>
                    <a:xfrm>
                      <a:off x="0" y="0"/>
                      <a:ext cx="161925" cy="161925"/>
                    </a:xfrm>
                    <a:prstGeom prst="rect">
                      <a:avLst/>
                    </a:prstGeom>
                  </pic:spPr>
                </pic:pic>
              </a:graphicData>
            </a:graphic>
          </wp:inline>
        </w:drawing>
      </w:r>
      <w:r>
        <w:rPr>
          <w:rStyle w:val="Hyperlink"/>
          <w:b/>
          <w:bCs/>
          <w:strike w:val="0"/>
          <w:color w:val="006EBB"/>
          <w:sz w:val="21"/>
          <w:szCs w:val="21"/>
          <w:u w:val="none" w:color="006EBB"/>
        </w:rPr>
        <w:fldChar w:fldCharType="end"/>
      </w:r>
      <w:r>
        <w:rPr>
          <w:rFonts w:ascii="Times New Roman" w:eastAsia="Times New Roman" w:hAnsi="Times New Roman" w:cs="Times New Roman"/>
          <w:b/>
          <w:bCs/>
          <w:sz w:val="36"/>
          <w:szCs w:val="36"/>
        </w:rPr>
        <w:t xml:space="preserve"> </w:t>
      </w:r>
      <w:hyperlink r:id="rId40" w:history="1">
        <w:r>
          <w:rPr>
            <w:rStyle w:val="Hyperlink"/>
            <w:b w:val="0"/>
            <w:bCs w:val="0"/>
            <w:color w:val="006EBB"/>
            <w:sz w:val="21"/>
            <w:szCs w:val="21"/>
            <w:u w:color="006EBB"/>
          </w:rPr>
          <w:t>Rider v. Rainbow Mobile Home Park, 192 A.D.3d 1561</w:t>
        </w:r>
      </w:hyperlink>
      <w:r>
        <w:rPr>
          <w:b w:val="0"/>
          <w:bCs w:val="0"/>
          <w:sz w:val="21"/>
          <w:szCs w:val="21"/>
        </w:rPr>
        <w:t xml:space="preserve">  | NY Supreme Court Cases - Appellate Division from 1875 | Cases | New York | Mar 19, 2021</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Style w:val="Hyperlink"/>
          <w:b/>
          <w:bCs/>
          <w:strike w:val="0"/>
          <w:color w:val="006EBB"/>
          <w:sz w:val="21"/>
          <w:szCs w:val="21"/>
          <w:u w:val="none" w:color="006EBB"/>
        </w:rPr>
        <w:drawing>
          <wp:inline>
            <wp:extent cx="161925" cy="161925"/>
            <wp:docPr id="100007" name="" descr="CaselawReferenced">
              <a:hlinkClick xmlns:a="http://schemas.openxmlformats.org/drawingml/2006/main" xmlns:r="http://schemas.openxmlformats.org/officeDocument/2006/relationships"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42"/>
                    <a:stretch>
                      <a:fillRect/>
                    </a:stretch>
                  </pic:blipFill>
                  <pic:spPr>
                    <a:xfrm>
                      <a:off x="0" y="0"/>
                      <a:ext cx="161925" cy="161925"/>
                    </a:xfrm>
                    <a:prstGeom prst="rect">
                      <a:avLst/>
                    </a:prstGeom>
                  </pic:spPr>
                </pic:pic>
              </a:graphicData>
            </a:graphic>
          </wp:inline>
        </w:drawing>
      </w:r>
      <w:r>
        <w:rPr>
          <w:rFonts w:ascii="Times New Roman" w:eastAsia="Times New Roman" w:hAnsi="Times New Roman" w:cs="Times New Roman"/>
          <w:b/>
          <w:bCs/>
          <w:sz w:val="36"/>
          <w:szCs w:val="36"/>
        </w:rPr>
        <w:t xml:space="preserve"> </w:t>
      </w:r>
      <w:hyperlink r:id="rId43" w:history="1">
        <w:r>
          <w:rPr>
            <w:rStyle w:val="Hyperlink"/>
            <w:b w:val="0"/>
            <w:bCs w:val="0"/>
            <w:color w:val="006EBB"/>
            <w:sz w:val="21"/>
            <w:szCs w:val="21"/>
            <w:u w:color="006EBB"/>
          </w:rPr>
          <w:t>Jeffrey v. Collins, 218 A.D.3d 451</w:t>
        </w:r>
      </w:hyperlink>
      <w:r>
        <w:rPr>
          <w:b w:val="0"/>
          <w:bCs w:val="0"/>
          <w:sz w:val="21"/>
          <w:szCs w:val="21"/>
        </w:rPr>
        <w:t xml:space="preserve">  | NY Supreme Court Cases - Appellate Division from 1875 | Cases | New York | Jul 5, 2023</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Style w:val="Hyperlink"/>
          <w:b/>
          <w:bCs/>
          <w:strike w:val="0"/>
          <w:color w:val="006EBB"/>
          <w:sz w:val="21"/>
          <w:szCs w:val="21"/>
          <w:u w:val="none" w:color="006EBB"/>
        </w:rPr>
        <w:drawing>
          <wp:inline>
            <wp:extent cx="161925" cy="161925"/>
            <wp:docPr id="100009" name="" descr="CaselawCaution">
              <a:hlinkClick xmlns:a="http://schemas.openxmlformats.org/drawingml/2006/main" xmlns:r="http://schemas.openxmlformats.org/officeDocument/2006/relationships"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45"/>
                    <a:stretch>
                      <a:fillRect/>
                    </a:stretch>
                  </pic:blipFill>
                  <pic:spPr>
                    <a:xfrm>
                      <a:off x="0" y="0"/>
                      <a:ext cx="161925" cy="161925"/>
                    </a:xfrm>
                    <a:prstGeom prst="rect">
                      <a:avLst/>
                    </a:prstGeom>
                  </pic:spPr>
                </pic:pic>
              </a:graphicData>
            </a:graphic>
          </wp:inline>
        </w:drawing>
      </w:r>
      <w:r>
        <w:rPr>
          <w:rFonts w:ascii="Times New Roman" w:eastAsia="Times New Roman" w:hAnsi="Times New Roman" w:cs="Times New Roman"/>
          <w:b/>
          <w:bCs/>
          <w:sz w:val="36"/>
          <w:szCs w:val="36"/>
        </w:rPr>
        <w:t xml:space="preserve"> </w:t>
      </w:r>
      <w:hyperlink r:id="rId46" w:history="1">
        <w:r>
          <w:rPr>
            <w:rStyle w:val="Hyperlink"/>
            <w:b w:val="0"/>
            <w:bCs w:val="0"/>
            <w:color w:val="006EBB"/>
            <w:sz w:val="21"/>
            <w:szCs w:val="21"/>
            <w:u w:color="006EBB"/>
          </w:rPr>
          <w:t>Porat v Rybina, 177 A.D.3d 632</w:t>
        </w:r>
      </w:hyperlink>
      <w:r>
        <w:rPr>
          <w:b w:val="0"/>
          <w:bCs w:val="0"/>
          <w:sz w:val="21"/>
          <w:szCs w:val="21"/>
        </w:rPr>
        <w:t xml:space="preserve">  | NY Supreme Court Cases - Appellate Division from 1875 | Cases | New York | Nov 6, 2019</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Style w:val="Hyperlink"/>
          <w:b/>
          <w:bCs/>
          <w:strike w:val="0"/>
          <w:color w:val="006EBB"/>
          <w:sz w:val="21"/>
          <w:szCs w:val="21"/>
          <w:u w:val="none" w:color="006EBB"/>
        </w:rPr>
        <w:drawing>
          <wp:inline>
            <wp:extent cx="161925" cy="161925"/>
            <wp:docPr id="100011" name="" descr="CaselawPositive">
              <a:hlinkClick xmlns:a="http://schemas.openxmlformats.org/drawingml/2006/main" xmlns:r="http://schemas.openxmlformats.org/officeDocument/2006/relationships"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39"/>
                    <a:stretch>
                      <a:fillRect/>
                    </a:stretch>
                  </pic:blipFill>
                  <pic:spPr>
                    <a:xfrm>
                      <a:off x="0" y="0"/>
                      <a:ext cx="161925" cy="161925"/>
                    </a:xfrm>
                    <a:prstGeom prst="rect">
                      <a:avLst/>
                    </a:prstGeom>
                  </pic:spPr>
                </pic:pic>
              </a:graphicData>
            </a:graphic>
          </wp:inline>
        </w:drawing>
      </w:r>
      <w:r>
        <w:rPr>
          <w:rFonts w:ascii="Times New Roman" w:eastAsia="Times New Roman" w:hAnsi="Times New Roman" w:cs="Times New Roman"/>
          <w:b/>
          <w:bCs/>
          <w:sz w:val="36"/>
          <w:szCs w:val="36"/>
        </w:rPr>
        <w:t xml:space="preserve"> </w:t>
      </w:r>
      <w:hyperlink r:id="rId48" w:history="1">
        <w:r>
          <w:rPr>
            <w:rStyle w:val="Hyperlink"/>
            <w:b w:val="0"/>
            <w:bCs w:val="0"/>
            <w:color w:val="006EBB"/>
            <w:sz w:val="21"/>
            <w:szCs w:val="21"/>
            <w:u w:color="006EBB"/>
          </w:rPr>
          <w:t>Springer v Almontaser, 75 A.D.3d 539</w:t>
        </w:r>
      </w:hyperlink>
      <w:r>
        <w:rPr>
          <w:b w:val="0"/>
          <w:bCs w:val="0"/>
          <w:sz w:val="21"/>
          <w:szCs w:val="21"/>
        </w:rPr>
        <w:t xml:space="preserve">  | NY Supreme Court Cases - Appellate Division from 1875 | Cases | New York | Jul 13, 2010</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Style w:val="Hyperlink"/>
          <w:b/>
          <w:bCs/>
          <w:strike w:val="0"/>
          <w:color w:val="006EBB"/>
          <w:sz w:val="21"/>
          <w:szCs w:val="21"/>
          <w:u w:val="none" w:color="006EBB"/>
        </w:rPr>
        <w:drawing>
          <wp:inline>
            <wp:extent cx="161925" cy="161925"/>
            <wp:docPr id="100013" name="" descr="CaselawPositive">
              <a:hlinkClick xmlns:a="http://schemas.openxmlformats.org/drawingml/2006/main" xmlns:r="http://schemas.openxmlformats.org/officeDocument/2006/relationships"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39"/>
                    <a:stretch>
                      <a:fillRect/>
                    </a:stretch>
                  </pic:blipFill>
                  <pic:spPr>
                    <a:xfrm>
                      <a:off x="0" y="0"/>
                      <a:ext cx="161925" cy="161925"/>
                    </a:xfrm>
                    <a:prstGeom prst="rect">
                      <a:avLst/>
                    </a:prstGeom>
                  </pic:spPr>
                </pic:pic>
              </a:graphicData>
            </a:graphic>
          </wp:inline>
        </w:drawing>
      </w:r>
      <w:r>
        <w:rPr>
          <w:rFonts w:ascii="Times New Roman" w:eastAsia="Times New Roman" w:hAnsi="Times New Roman" w:cs="Times New Roman"/>
          <w:b/>
          <w:bCs/>
          <w:sz w:val="36"/>
          <w:szCs w:val="36"/>
        </w:rPr>
        <w:t xml:space="preserve"> </w:t>
      </w:r>
      <w:hyperlink r:id="rId50" w:history="1">
        <w:r>
          <w:rPr>
            <w:rStyle w:val="Hyperlink"/>
            <w:b w:val="0"/>
            <w:bCs w:val="0"/>
            <w:color w:val="006EBB"/>
            <w:sz w:val="21"/>
            <w:szCs w:val="21"/>
            <w:u w:color="006EBB"/>
          </w:rPr>
          <w:t>SMI Bldg. Sys., LLC v. West 4th St. Dev. Group, LLC, 83 A.D.3d 687</w:t>
        </w:r>
      </w:hyperlink>
      <w:r>
        <w:rPr>
          <w:b w:val="0"/>
          <w:bCs w:val="0"/>
          <w:sz w:val="21"/>
          <w:szCs w:val="21"/>
        </w:rPr>
        <w:t xml:space="preserve">  | NY Supreme Court Cases - Appellate Division from 1875 | Cases | New York | Apr 5, 2011</w:t>
      </w:r>
      <w:r>
        <w:rPr>
          <w:rFonts w:ascii="Times New Roman" w:eastAsia="Times New Roman" w:hAnsi="Times New Roman" w:cs="Times New Roman"/>
          <w:b/>
          <w:bCs/>
          <w:sz w:val="36"/>
          <w:szCs w:val="36"/>
        </w:rPr>
        <w:br/>
      </w:r>
    </w:p>
    <w:p>
      <w:pPr>
        <w:rPr>
          <w:rFonts w:ascii="Times New Roman" w:eastAsia="Times New Roman" w:hAnsi="Times New Roman" w:cs="Times New Roman"/>
          <w:sz w:val="24"/>
        </w:rPr>
      </w:pPr>
    </w:p>
    <w:sectPr>
      <w:footerReference w:type="default" r:id="rId51"/>
      <w:pgSz w:w="12240" w:h="15840"/>
      <w:pgMar w:top="1440" w:right="1440" w:bottom="1440" w:left="1440" w:header="720" w:footer="720" w:gutter="0"/>
      <w:pgNumType w:fmt="decimal"/>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t xml:space="preserve">Page </w:t>
    </w:r>
    <w:r>
      <w:fldChar w:fldCharType="begin"/>
    </w:r>
    <w:r>
      <w:instrText>PAGE</w:instrText>
    </w:r>
    <w:r>
      <w:fldChar w:fldCharType="separate"/>
    </w:r>
    <w:r>
      <w:t>1</w:t>
    </w:r>
    <w:r>
      <w:fldChar w:fldCharType="end"/>
    </w:r>
    <w:r>
      <w:t xml:space="preserve"> of </w:t>
    </w:r>
    <w:r>
      <w:fldChar w:fldCharType="begin"/>
    </w:r>
    <w:r>
      <w:instrText>NUMPAGES</w:instrText>
    </w:r>
    <w:r>
      <w:fldChar w:fldCharType="separate"/>
    </w:r>
    <w:r>
      <w:t>1</w:t>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paragraph" w:styleId="Heading4">
    <w:name w:val="heading 4"/>
    <w:basedOn w:val="Normal"/>
    <w:next w:val="Normal"/>
    <w:qFormat/>
    <w:rsid w:val="00EF7B96"/>
    <w:pPr>
      <w:keepNext/>
      <w:spacing w:before="240" w:after="60"/>
      <w:outlineLvl w:val="3"/>
    </w:pPr>
    <w:rPr>
      <w:b/>
      <w:b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rsid w:val="00EF7B96"/>
    <w:rPr>
      <w:color w:val="0000FF"/>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plus.lexis.com/api/document/collection/cases/id/5XFD-5WX1-JKHB-614S-00000-00/?context=1545874" TargetMode="External" /><Relationship Id="rId11" Type="http://schemas.openxmlformats.org/officeDocument/2006/relationships/hyperlink" Target="https://plus.lexis.com/api/document/collection/cases/id/627T-G0G1-JKHB-612Y-00000-00/?context=1545874" TargetMode="External" /><Relationship Id="rId12" Type="http://schemas.openxmlformats.org/officeDocument/2006/relationships/hyperlink" Target="https://plus.lexis.com/api/document/collection/cases/id/68MH-3181-JCRC-B289-00000-00/?context=1545874" TargetMode="External" /><Relationship Id="rId13" Type="http://schemas.openxmlformats.org/officeDocument/2006/relationships/hyperlink" Target="https://plus.lexis.com/api/document/collection/cases/id/7YY0-0W40-YB0T-30ST-00000-00/?context=1545874" TargetMode="External" /><Relationship Id="rId14" Type="http://schemas.openxmlformats.org/officeDocument/2006/relationships/hyperlink" Target="https://plus.lexis.com/api/document/collection/cases/id/52K3-FM31-JCNG-H0MT-00000-00/?context=1545874" TargetMode="External" /><Relationship Id="rId15" Type="http://schemas.openxmlformats.org/officeDocument/2006/relationships/hyperlink" Target="https://plus.lexis.com/api/document/collection/statutes-legislation/id/5CT3-16F1-6RDJ-83YT-00000-00/?context=1545874" TargetMode="External" /><Relationship Id="rId16" Type="http://schemas.openxmlformats.org/officeDocument/2006/relationships/hyperlink" Target="https://plus.lexis.com/api/document/collection/cases/id/3S2R-5XY0-003V-B53W-00000-00/?context=1545874" TargetMode="External" /><Relationship Id="rId17" Type="http://schemas.openxmlformats.org/officeDocument/2006/relationships/hyperlink" Target="https://plus.lexis.com/api/document/collection/cases/id/3S2R-5XY0-003V-B53W-00000-00/?context=1545874" TargetMode="External" /><Relationship Id="rId18" Type="http://schemas.openxmlformats.org/officeDocument/2006/relationships/hyperlink" Target="https://plus.lexis.com/api/document/collection/cases/id/52K3-FM31-JCNG-H0MT-00000-00/?context=1545874" TargetMode="External" /><Relationship Id="rId19" Type="http://schemas.openxmlformats.org/officeDocument/2006/relationships/hyperlink" Target="https://plus.lexis.com/api/document/collection/statutes-legislation/id/5CT3-16F1-6RDJ-8414-00000-00/?context=1545874" TargetMode="External" /><Relationship Id="rId2" Type="http://schemas.openxmlformats.org/officeDocument/2006/relationships/webSettings" Target="webSettings.xml" /><Relationship Id="rId20" Type="http://schemas.openxmlformats.org/officeDocument/2006/relationships/hyperlink" Target="https://plus.lexis.com/api/document/collection/cases/id/60FP-BYX1-F81W-215D-00000-00/?context=1545874" TargetMode="External" /><Relationship Id="rId21" Type="http://schemas.openxmlformats.org/officeDocument/2006/relationships/hyperlink" Target="https://plus.lexis.com/api/document/collection/cases/id/4TY3-YHK0-TXFV-T398-00000-00/?context=1545874" TargetMode="External" /><Relationship Id="rId22" Type="http://schemas.openxmlformats.org/officeDocument/2006/relationships/hyperlink" Target="https://plus.lexis.com/api/document/collection/cases/id/5FPM-M451-F04J-70HG-00000-00/?context=1545874" TargetMode="External" /><Relationship Id="rId23" Type="http://schemas.openxmlformats.org/officeDocument/2006/relationships/hyperlink" Target="https://plus.lexis.com/api/document/collection/cases/id/3S2R-9SJ0-003V-B4KF-00000-00/?context=1545874" TargetMode="External" /><Relationship Id="rId24" Type="http://schemas.openxmlformats.org/officeDocument/2006/relationships/hyperlink" Target="https://plus.lexis.com/api/document/collection/cases/id/3S2R-9SJ0-003V-B4KF-00000-00/?context=1545874" TargetMode="External" /><Relationship Id="rId25" Type="http://schemas.openxmlformats.org/officeDocument/2006/relationships/hyperlink" Target="https://plus.lexis.com/api/document/collection/cases/id/3S2R-9SJ0-003V-B4KF-00000-00/?context=1545874" TargetMode="External" /><Relationship Id="rId26" Type="http://schemas.openxmlformats.org/officeDocument/2006/relationships/hyperlink" Target="https://plus.lexis.com/api/document/collection/cases/id/4TY3-YHK0-TXFV-T398-00000-00/?context=1545874" TargetMode="External" /><Relationship Id="rId27" Type="http://schemas.openxmlformats.org/officeDocument/2006/relationships/hyperlink" Target="https://plus.lexis.com/api/document/collection/cases/id/7VHC-PG31-2R6J-205M-00000-00/?context=1545874" TargetMode="External" /><Relationship Id="rId28" Type="http://schemas.openxmlformats.org/officeDocument/2006/relationships/hyperlink" Target="https://plus.lexis.com/api/document/collection/statutes-legislation/id/641X-W9X3-CH1B-T15S-00000-00/?context=1545874" TargetMode="External" /><Relationship Id="rId29" Type="http://schemas.openxmlformats.org/officeDocument/2006/relationships/hyperlink" Target="https://plus.lexis.com/api/document/collection/cases/id/4C82-VSF0-0039-42FW-00000-00/?context=1545874" TargetMode="External" /><Relationship Id="rId3" Type="http://schemas.openxmlformats.org/officeDocument/2006/relationships/fontTable" Target="fontTable.xml" /><Relationship Id="rId30" Type="http://schemas.openxmlformats.org/officeDocument/2006/relationships/hyperlink" Target="https://plus.lexis.com/api/document/collection/cases/id/5W0W-76R1-JG02-S01C-00000-00/?context=1545874" TargetMode="External" /><Relationship Id="rId31" Type="http://schemas.openxmlformats.org/officeDocument/2006/relationships/hyperlink" Target="https://plus.lexis.com/api/document/collection/cases/id/5W0W-76R1-JG02-S01C-00000-00/?context=1545874" TargetMode="External" /><Relationship Id="rId32" Type="http://schemas.openxmlformats.org/officeDocument/2006/relationships/hyperlink" Target="https://plus.lexis.com/api/document/collection/statutes-legislation/id/641X-W9Y3-GXJ9-33B2-00000-00/?context=1545874" TargetMode="External" /><Relationship Id="rId33" Type="http://schemas.openxmlformats.org/officeDocument/2006/relationships/hyperlink" Target="https://plus.lexis.com/api/document/collection/cases/id/63MC-PDM1-JGPY-X1Y0-00000-00/?context=1545874" TargetMode="External" /><Relationship Id="rId34" Type="http://schemas.openxmlformats.org/officeDocument/2006/relationships/hyperlink" Target="https://plus.lexis.com/api/document/collection/statutes-legislation/id/641X-W9X3-CH1B-T15S-00000-00/?context=1545874" TargetMode="External" /><Relationship Id="rId35" Type="http://schemas.openxmlformats.org/officeDocument/2006/relationships/hyperlink" Target="https://plus.lexis.com/api/document/collection/statutes-legislation/id/5CT3-08C1-6RDJ-851R-00000-00/?context=1545874" TargetMode="External" /><Relationship Id="rId36" Type="http://schemas.openxmlformats.org/officeDocument/2006/relationships/hyperlink" Target="https://plus.lexis.com/api/document/collection/cases/id/5MXX-YNS1-F04J-70KD-00000-00/?context=1545874" TargetMode="External" /><Relationship Id="rId37" Type="http://schemas.openxmlformats.org/officeDocument/2006/relationships/hyperlink" Target="https://plus.lexis.com/api/document/collection/cases/id/5MXX-YNS1-F04J-70KD-00000-00/?context=1545874" TargetMode="External" /><Relationship Id="rId38" Type="http://schemas.openxmlformats.org/officeDocument/2006/relationships/hyperlink" Target="https://plus.lexis.com/shepards/?pdshepid=urn%3acontentItem%3a6286-B1D3-GXF7-308N-00000-00&amp;pdischatbotdoc=true&amp;passagetext=QSBtb3Rpb24gdG8gZGlzbWlzcyBwdXJzdWFudCB0byBDUExSIDMyMS4qIG5vdCBhZmZpZGF2aXRzIG9yIGRlcG9zaXRpb24gdGVzdGltb255Lg%3d%3d" TargetMode="External" /><Relationship Id="rId39" Type="http://schemas.openxmlformats.org/officeDocument/2006/relationships/image" Target="media/image3.png" /><Relationship Id="rId4" Type="http://schemas.openxmlformats.org/officeDocument/2006/relationships/image" Target="media/image1.png" /><Relationship Id="rId40" Type="http://schemas.openxmlformats.org/officeDocument/2006/relationships/hyperlink" Target="https://plus.lexis.com/api/document/collection/cases/id/627T-G0G1-JKHB-612Y-00000-00/?context=1545874" TargetMode="External" /><Relationship Id="rId41" Type="http://schemas.openxmlformats.org/officeDocument/2006/relationships/hyperlink" Target="https://plus.lexis.com/shepards/?pdshepid=urn%3acontentItem%3a68RF-6SF3-RRN0-40KP-00000-00&amp;pdischatbotdoc=true&amp;passagetext=QSBtb3Rpb24gdG8gZGlzbWlzcyBhIGNvbXBsYWludCBwdXJzdWFudC4qaXRoaW4gdGhlIGludGVuZG1lbnQgb2YgQ1BMUiAzMjExKGEpKDEpLg%3d%3d" TargetMode="External" /><Relationship Id="rId42" Type="http://schemas.openxmlformats.org/officeDocument/2006/relationships/image" Target="media/image4.png" /><Relationship Id="rId43" Type="http://schemas.openxmlformats.org/officeDocument/2006/relationships/hyperlink" Target="https://plus.lexis.com/api/document/collection/cases/id/68MH-3181-JCRC-B289-00000-00/?context=1545874" TargetMode="External" /><Relationship Id="rId44" Type="http://schemas.openxmlformats.org/officeDocument/2006/relationships/hyperlink" Target="https://plus.lexis.com/shepards/?pdshepid=urn%3acontentItem%3a5XFV-9RN1-DXC7-N0V9-00000-00&amp;pdischatbotdoc=true&amp;passagetext=V2hlbiBtb3ZpbmcgZm9yIGRpc21pc3NhbCBwdXJzdWFudCB0byBDUC4qc3VlIHdpdGggcmVzcGVjdCB0byBhIGJvbmEgZmlkZSBkZWZlbnNlLg%3d%3d" TargetMode="External" /><Relationship Id="rId45" Type="http://schemas.openxmlformats.org/officeDocument/2006/relationships/image" Target="media/image5.png" /><Relationship Id="rId46" Type="http://schemas.openxmlformats.org/officeDocument/2006/relationships/hyperlink" Target="https://plus.lexis.com/api/document/collection/cases/id/5XFD-5WX1-JKHB-614S-00000-00/?context=1545874" TargetMode="External" /><Relationship Id="rId47" Type="http://schemas.openxmlformats.org/officeDocument/2006/relationships/hyperlink" Target="https://plus.lexis.com/shepards/?pdshepid=urn%3acontentItem%3a7YY5-FXY0-Y87G-9528-00000-00&amp;pdischatbotdoc=true&amp;passagetext=QSBtb3Rpb24gcHVyc3VhbnQgdG8gQ1BMUiAzMjExIChhKSAoMSkgdC4qZGlkIG5vdCBxdWFsaWZ5IGFzIGRvY3VtZW50YXJ5IGV2aWRlbmNlLg%3d%3d" TargetMode="External" /><Relationship Id="rId48" Type="http://schemas.openxmlformats.org/officeDocument/2006/relationships/hyperlink" Target="https://plus.lexis.com/api/document/collection/cases/id/7YY0-0W40-YB0T-30ST-00000-00/?context=1545874" TargetMode="External" /><Relationship Id="rId49" Type="http://schemas.openxmlformats.org/officeDocument/2006/relationships/hyperlink" Target="https://plus.lexis.com/shepards/?pdshepid=urn%3acontentItem%3a52RB-1CS1-DXC7-K4K7-00000-00&amp;pdischatbotdoc=true&amp;passagetext=UHVyc3VhbnQgdG8gc3RhdHV0ZSwgYSBtZWNoYW5pYydzIGxpZW4gIi4qYWhleSwgNzMgQUQyZCA2MzIsIDQyMyBOWVMyZCA1OCBbMTk3OV0pLg%3d%3d" TargetMode="External" /><Relationship Id="rId5" Type="http://schemas.openxmlformats.org/officeDocument/2006/relationships/image" Target="media/image2.png" /><Relationship Id="rId50" Type="http://schemas.openxmlformats.org/officeDocument/2006/relationships/hyperlink" Target="https://plus.lexis.com/api/document/collection/cases/id/52K3-FM31-JCNG-H0MT-00000-00/?context=1545874" TargetMode="External" /><Relationship Id="rId51" Type="http://schemas.openxmlformats.org/officeDocument/2006/relationships/footer" Target="footer1.xml" /><Relationship Id="rId52" Type="http://schemas.openxmlformats.org/officeDocument/2006/relationships/theme" Target="theme/theme1.xml" /><Relationship Id="rId53" Type="http://schemas.openxmlformats.org/officeDocument/2006/relationships/numbering" Target="numbering.xml" /><Relationship Id="rId54" Type="http://schemas.openxmlformats.org/officeDocument/2006/relationships/styles" Target="styles.xml" /><Relationship Id="rId6" Type="http://schemas.openxmlformats.org/officeDocument/2006/relationships/hyperlink" Target="https://plus.lexis.com/api/document/collection/cases/id/627T-G0G1-JKHB-612Y-00000-00/?context=1545874" TargetMode="External" /><Relationship Id="rId7" Type="http://schemas.openxmlformats.org/officeDocument/2006/relationships/hyperlink" Target="https://plus.lexis.com/api/document/collection/cases/id/68MH-3181-JCRC-B289-00000-00/?context=1545874" TargetMode="External" /><Relationship Id="rId8" Type="http://schemas.openxmlformats.org/officeDocument/2006/relationships/hyperlink" Target="https://plus.lexis.com/api/document/collection/cases/id/5XFD-5WX1-JKHB-614S-00000-00/?context=1545874" TargetMode="External" /><Relationship Id="rId9" Type="http://schemas.openxmlformats.org/officeDocument/2006/relationships/hyperlink" Target="https://plus.lexis.com/api/document/collection/cases/id/5XFD-5WX1-JKHB-614S-00000-00/?context=154587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Assistant Response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5bb2aa7e-161d-4504-9421-d927d80065ac">
    <vt:lpwstr>Doc::|contextualFeaturePermID::1545874</vt:lpwstr>
  </property>
  <property fmtid="{D5CDD505-2E9C-101B-9397-08002B2CF9AE}" pid="4" name="LNDeliveryID">
    <vt:lpwstr>281183565</vt:lpwstr>
  </property>
  <property fmtid="{D5CDD505-2E9C-101B-9397-08002B2CF9AE}" pid="5" name="UserPermID">
    <vt:lpwstr>urn:user:PA191559427</vt:lpwstr>
  </property>
</Properties>
</file>