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Python via .NET 26.2.0 -->
  <w:body>
    <w:p>
      <w:pPr>
        <w:pStyle w:val="FirstParagraph"/>
      </w:pPr>
      <w:r>
        <w:rPr>
          <w:b/>
          <w:bCs/>
        </w:rPr>
        <w:t>COCOUNSEL</w:t>
      </w:r>
    </w:p>
    <w:p>
      <w:r>
        <w:pict>
          <v:rect id="_x0000_i1025"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>Skill:</w:t>
      </w:r>
      <w:r>
        <w:t xml:space="preserve"> </w:t>
      </w:r>
      <w:r>
        <w:t>Review Documents</w:t>
      </w:r>
    </w:p>
    <w:p>
      <w:pPr>
        <w:pStyle w:val="BodyText"/>
      </w:pPr>
      <w:r>
        <w:rPr>
          <w:b/>
          <w:bCs/>
        </w:rPr>
        <w:t>Result created:</w:t>
      </w:r>
      <w:r>
        <w:t xml:space="preserve"> </w:t>
      </w:r>
      <w:r>
        <w:t>04/24/2026</w:t>
      </w:r>
    </w:p>
    <w:p>
      <w:pPr>
        <w:pStyle w:val="BodyText"/>
      </w:pPr>
      <w:r>
        <w:rPr>
          <w:b/>
          <w:bCs/>
        </w:rPr>
        <w:t>Prompt:</w:t>
      </w:r>
    </w:p>
    <w:p>
      <w:pPr>
        <w:pStyle w:val="Compact"/>
        <w:numPr>
          <w:ilvl w:val="0"/>
          <w:numId w:val="2"/>
        </w:numPr>
      </w:pPr>
      <w:r>
        <w:t>Review the declaration of John Longardo for inconsistencies and vulnerabilities.</w:t>
      </w:r>
    </w:p>
    <w:p>
      <w:pPr>
        <w:pStyle w:val="FirstParagraph"/>
      </w:pPr>
      <w:r>
        <w:rPr>
          <w:b/>
          <w:bCs/>
        </w:rPr>
        <w:t>Files:</w:t>
      </w:r>
    </w:p>
    <w:p>
      <w:pPr>
        <w:pStyle w:val="Compact"/>
        <w:numPr>
          <w:ilvl w:val="0"/>
          <w:numId w:val="3"/>
        </w:numPr>
      </w:pPr>
      <w:hyperlink r:id="rId4">
        <w:r>
          <w:rPr>
            <w:rStyle w:val="Hyperlink"/>
          </w:rPr>
          <w:t>Condensed Super Combo Binder1.pdf</w:t>
        </w:r>
      </w:hyperlink>
    </w:p>
    <w:p>
      <w:r>
        <w:pict>
          <v:rect id="_x0000_i1026"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>Result:</w:t>
      </w:r>
    </w:p>
    <w:p>
      <w:r>
        <w:pict>
          <v:rect id="_x0000_i1027"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>Result:</w:t>
      </w:r>
    </w:p>
    <w:bookmarkStart w:id="0" w:name="executive-summary"/>
    <w:p>
      <w:pPr>
        <w:pStyle w:val="Heading3"/>
      </w:pPr>
      <w:r>
        <w:t>Executive Summary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Payment timeline and documents are internally inconsistent</w:t>
      </w:r>
      <w:r>
        <w:t>: The declaration relies on an AIA A101 contract</w:t>
      </w:r>
      <w:r>
        <w:t xml:space="preserve"> </w:t>
      </w:r>
      <w:r>
        <w:t>“</w:t>
      </w:r>
      <w:r>
        <w:t>made</w:t>
      </w:r>
      <w:r>
        <w:t>”</w:t>
      </w:r>
      <w:r>
        <w:t xml:space="preserve"> </w:t>
      </w:r>
      <w:r>
        <w:t>9/2/2025, but the owner’s termination notice refers to an</w:t>
      </w:r>
      <w:r>
        <w:t xml:space="preserve"> </w:t>
      </w:r>
      <w:r>
        <w:t>“</w:t>
      </w:r>
      <w:r>
        <w:t>unsigned proposal contract,</w:t>
      </w:r>
      <w:r>
        <w:t>”</w:t>
      </w:r>
      <w:r>
        <w:t xml:space="preserve"> </w:t>
      </w:r>
      <w:r>
        <w:t>creating uncertainty about which governing agreement applies and what payment terms control the</w:t>
      </w:r>
      <w:r>
        <w:t xml:space="preserve"> </w:t>
      </w:r>
      <w:r>
        <w:t>“</w:t>
      </w:r>
      <w:r>
        <w:t>earned and unpaid</w:t>
      </w:r>
      <w:r>
        <w:t>”</w:t>
      </w:r>
      <w:r>
        <w:t xml:space="preserve"> </w:t>
      </w:r>
      <w:r>
        <w:t>analysis.</w:t>
      </w:r>
      <w:r>
        <w:br/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“</w:t>
      </w:r>
      <w:r>
        <w:rPr>
          <w:b/>
          <w:bCs/>
        </w:rPr>
        <w:t>Overpaid/mobilization</w:t>
      </w:r>
      <w:r>
        <w:rPr>
          <w:b/>
          <w:bCs/>
        </w:rPr>
        <w:t>”</w:t>
      </w:r>
      <w:r>
        <w:rPr>
          <w:b/>
          <w:bCs/>
        </w:rPr>
        <w:t xml:space="preserve"> </w:t>
      </w:r>
      <w:r>
        <w:rPr>
          <w:b/>
          <w:bCs/>
        </w:rPr>
        <w:t>conclusions are conclusory and potentially contradicted by JAT’s own AIA pay app</w:t>
      </w:r>
      <w:r>
        <w:t>: The pay application shows substantial</w:t>
      </w:r>
      <w:r>
        <w:t xml:space="preserve"> </w:t>
      </w:r>
      <w:r>
        <w:t>“</w:t>
      </w:r>
      <w:r>
        <w:t>earned</w:t>
      </w:r>
      <w:r>
        <w:t>”</w:t>
      </w:r>
      <w:r>
        <w:t xml:space="preserve"> </w:t>
      </w:r>
      <w:r>
        <w:t>work through 9/30/2025, including mobilization, demolition, and piles/shoring, supporting a current payment due, which cuts against the blanket assertion that JAT was fully paid or overpaid by the time of lien filing.</w:t>
      </w:r>
      <w:r>
        <w:br/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No project-close accounting through the lien date</w:t>
      </w:r>
      <w:r>
        <w:t>: The declaration does not quantify</w:t>
      </w:r>
      <w:r>
        <w:t xml:space="preserve"> </w:t>
      </w:r>
      <w:r>
        <w:t>“</w:t>
      </w:r>
      <w:r>
        <w:t>earned</w:t>
      </w:r>
      <w:r>
        <w:t>”</w:t>
      </w:r>
      <w:r>
        <w:t xml:space="preserve"> </w:t>
      </w:r>
      <w:r>
        <w:t>work through 12/16/2025 (lien filing), even though the complaint alleges Marine continued through 12/4/2025, creating a gap on whether a lien fund existed on that date.</w:t>
      </w:r>
      <w:r>
        <w:br/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Waiver of JAT’s claim does not extinguish owner’s pre-lien obligations</w:t>
      </w:r>
      <w:r>
        <w:t>: JAT’s unilateral</w:t>
      </w:r>
      <w:r>
        <w:t xml:space="preserve"> </w:t>
      </w:r>
      <w:r>
        <w:t>“</w:t>
      </w:r>
      <w:r>
        <w:t>waiver</w:t>
      </w:r>
      <w:r>
        <w:t>”</w:t>
      </w:r>
      <w:r>
        <w:t xml:space="preserve"> </w:t>
      </w:r>
      <w:r>
        <w:t>of claims is used to show no lien fund, but a contractor’s after-the-fact waiver cannot retroactively negate sums already earned and unpaid as of lien filing.</w:t>
      </w:r>
    </w:p>
    <w:bookmarkEnd w:id="0"/>
    <w:bookmarkStart w:id="1" w:name="detailed-vulnerabilities"/>
    <w:p>
      <w:pPr>
        <w:pStyle w:val="Heading3"/>
      </w:pPr>
      <w:r>
        <w:t>Detailed Vulnerabilities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Contract formation uncertainty undermines</w:t>
      </w:r>
      <w:r>
        <w:rPr>
          <w:b/>
          <w:bCs/>
        </w:rPr>
        <w:t xml:space="preserve"> </w:t>
      </w:r>
      <w:r>
        <w:rPr>
          <w:b/>
          <w:bCs/>
        </w:rPr>
        <w:t>“</w:t>
      </w:r>
      <w:r>
        <w:rPr>
          <w:b/>
          <w:bCs/>
        </w:rPr>
        <w:t>no fund</w:t>
      </w:r>
      <w:r>
        <w:rPr>
          <w:b/>
          <w:bCs/>
        </w:rPr>
        <w:t>”</w:t>
      </w:r>
      <w:r>
        <w:rPr>
          <w:b/>
          <w:bCs/>
        </w:rPr>
        <w:t xml:space="preserve"> </w:t>
      </w:r>
      <w:r>
        <w:rPr>
          <w:b/>
          <w:bCs/>
        </w:rPr>
        <w:t>premise</w:t>
      </w:r>
    </w:p>
    <w:p>
      <w:pPr>
        <w:pStyle w:val="Compact"/>
        <w:numPr>
          <w:ilvl w:val="1"/>
          <w:numId w:val="6"/>
        </w:numPr>
      </w:pPr>
      <w:r>
        <w:t>What the declaration states: JAT and owner entered an AIA A101-2017 as of 9/2/2025; owner terminated on 12/5/2025.</w:t>
      </w:r>
    </w:p>
    <w:p>
      <w:pPr>
        <w:pStyle w:val="Compact"/>
        <w:numPr>
          <w:ilvl w:val="1"/>
          <w:numId w:val="6"/>
        </w:numPr>
      </w:pPr>
      <w:r>
        <w:t>Why vulnerable: The owner’s termination letter concurrently describes an</w:t>
      </w:r>
      <w:r>
        <w:t xml:space="preserve"> </w:t>
      </w:r>
      <w:r>
        <w:t>“</w:t>
      </w:r>
      <w:r>
        <w:t>unsigned proposal contract.</w:t>
      </w:r>
      <w:r>
        <w:t>”</w:t>
      </w:r>
      <w:r>
        <w:t xml:space="preserve"> </w:t>
      </w:r>
      <w:r>
        <w:t>If the AIA was not fully executed, the governing terms for</w:t>
      </w:r>
      <w:r>
        <w:t xml:space="preserve"> </w:t>
      </w:r>
      <w:r>
        <w:t>“</w:t>
      </w:r>
      <w:r>
        <w:t>earned</w:t>
      </w:r>
      <w:r>
        <w:t>”</w:t>
      </w:r>
      <w:r>
        <w:t xml:space="preserve"> </w:t>
      </w:r>
      <w:r>
        <w:t>work, retainage, and progress payment triggers may differ, weakening any categorical assertion that advance/mobilization payments eliminated the lien fund.</w:t>
      </w:r>
    </w:p>
    <w:p>
      <w:pPr>
        <w:pStyle w:val="Compact"/>
        <w:numPr>
          <w:ilvl w:val="1"/>
          <w:numId w:val="6"/>
        </w:numPr>
      </w:pPr>
      <w:r>
        <w:t>Supporting details: The AIA shows a $3,460,474 contract with defined payment and retainage mechanics, including 10% retainage and architect certification, which would matter to what is</w:t>
      </w:r>
      <w:r>
        <w:t xml:space="preserve"> </w:t>
      </w:r>
      <w:r>
        <w:t>“</w:t>
      </w:r>
      <w:r>
        <w:t>earned and unpaid.</w:t>
      </w:r>
      <w:r>
        <w:t>”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“</w:t>
      </w:r>
      <w:r>
        <w:rPr>
          <w:b/>
          <w:bCs/>
        </w:rPr>
        <w:t>Overpaid based on mobilization</w:t>
      </w:r>
      <w:r>
        <w:rPr>
          <w:b/>
          <w:bCs/>
        </w:rPr>
        <w:t>”</w:t>
      </w:r>
      <w:r>
        <w:rPr>
          <w:b/>
          <w:bCs/>
        </w:rPr>
        <w:t xml:space="preserve"> </w:t>
      </w:r>
      <w:r>
        <w:rPr>
          <w:b/>
          <w:bCs/>
        </w:rPr>
        <w:t>is asserted, not proven, and may conflict with JAT’s own AIA G702/G703</w:t>
      </w:r>
    </w:p>
    <w:p>
      <w:pPr>
        <w:pStyle w:val="Compact"/>
        <w:numPr>
          <w:ilvl w:val="1"/>
          <w:numId w:val="7"/>
        </w:numPr>
      </w:pPr>
      <w:r>
        <w:t>What the declaration states: A substantial portion of payments were mobilization billed in advance; after crediting actual value of work, JAT was fully paid and overpaid.</w:t>
      </w:r>
    </w:p>
    <w:p>
      <w:pPr>
        <w:pStyle w:val="Compact"/>
        <w:numPr>
          <w:ilvl w:val="1"/>
          <w:numId w:val="7"/>
        </w:numPr>
      </w:pPr>
      <w:r>
        <w:t>Why vulnerable: JAT’s AIA Application and Certificate for Payment No. 2 through the period ending 9/30/2025 shows:</w:t>
      </w:r>
    </w:p>
    <w:p>
      <w:pPr>
        <w:pStyle w:val="Compact"/>
        <w:numPr>
          <w:ilvl w:val="2"/>
          <w:numId w:val="8"/>
        </w:numPr>
      </w:pPr>
      <w:r>
        <w:t>Total completed/stored to date: $504,147.40</w:t>
      </w:r>
    </w:p>
    <w:p>
      <w:pPr>
        <w:pStyle w:val="Compact"/>
        <w:numPr>
          <w:ilvl w:val="2"/>
          <w:numId w:val="8"/>
        </w:numPr>
      </w:pPr>
      <w:r>
        <w:t>Retainage: $50,414.74</w:t>
      </w:r>
    </w:p>
    <w:p>
      <w:pPr>
        <w:pStyle w:val="Compact"/>
        <w:numPr>
          <w:ilvl w:val="2"/>
          <w:numId w:val="8"/>
        </w:numPr>
      </w:pPr>
      <w:r>
        <w:t>Total earned less retainage: $453,732.66</w:t>
      </w:r>
    </w:p>
    <w:p>
      <w:pPr>
        <w:pStyle w:val="Compact"/>
        <w:numPr>
          <w:ilvl w:val="2"/>
          <w:numId w:val="8"/>
        </w:numPr>
      </w:pPr>
      <w:r>
        <w:t>Less previous certificates: $277,290.00</w:t>
      </w:r>
    </w:p>
    <w:p>
      <w:pPr>
        <w:pStyle w:val="Compact"/>
        <w:numPr>
          <w:ilvl w:val="2"/>
          <w:numId w:val="8"/>
        </w:numPr>
      </w:pPr>
      <w:r>
        <w:t>Current payment due: $176,442.66</w:t>
      </w:r>
      <w:r>
        <w:t xml:space="preserve"> </w:t>
      </w:r>
      <w:r>
        <w:t>These are JAT’s own sworn payment metrics indicating</w:t>
      </w:r>
      <w:r>
        <w:t xml:space="preserve"> </w:t>
      </w:r>
      <w:r>
        <w:t>“</w:t>
      </w:r>
      <w:r>
        <w:t>earned</w:t>
      </w:r>
      <w:r>
        <w:t>”</w:t>
      </w:r>
      <w:r>
        <w:t xml:space="preserve"> </w:t>
      </w:r>
      <w:r>
        <w:t>value beyond the first $277,290 draw, undercutting the blanket</w:t>
      </w:r>
      <w:r>
        <w:t xml:space="preserve"> </w:t>
      </w:r>
      <w:r>
        <w:t>“</w:t>
      </w:r>
      <w:r>
        <w:t>overpaid</w:t>
      </w:r>
      <w:r>
        <w:t>”</w:t>
      </w:r>
      <w:r>
        <w:t xml:space="preserve"> </w:t>
      </w:r>
      <w:r>
        <w:t>conclusion unless JAT reconciles and subtracts later change events.</w:t>
      </w:r>
      <w:r>
        <w:br/>
      </w:r>
    </w:p>
    <w:p>
      <w:pPr>
        <w:pStyle w:val="Compact"/>
        <w:numPr>
          <w:ilvl w:val="1"/>
          <w:numId w:val="7"/>
        </w:numPr>
      </w:pPr>
      <w:r>
        <w:t>Concrete examples:</w:t>
      </w:r>
    </w:p>
    <w:p>
      <w:pPr>
        <w:pStyle w:val="Compact"/>
        <w:numPr>
          <w:ilvl w:val="2"/>
          <w:numId w:val="9"/>
        </w:numPr>
      </w:pPr>
      <w:r>
        <w:t>G703 continuation sheet allocates $346,047.40 to Mobilization at 100% complete, plus partial Demolition ($23,100) and Piles/Shoring ($135,000), evidencing earned progress consistent with the AIA framework.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No line-by-line reconciliation from 10/1–12/4/2025</w:t>
      </w:r>
    </w:p>
    <w:p>
      <w:pPr>
        <w:pStyle w:val="Compact"/>
        <w:numPr>
          <w:ilvl w:val="1"/>
          <w:numId w:val="10"/>
        </w:numPr>
      </w:pPr>
      <w:r>
        <w:t>What the declaration states: JAT was terminated 12/5/2025; no money due from owner to JAT as of 12/16/2025; JAT waives present claims.</w:t>
      </w:r>
    </w:p>
    <w:p>
      <w:pPr>
        <w:pStyle w:val="Compact"/>
        <w:numPr>
          <w:ilvl w:val="1"/>
          <w:numId w:val="10"/>
        </w:numPr>
      </w:pPr>
      <w:r>
        <w:t>Why vulnerable: The record lacks a reconciliation from 10/1 to 12/4 work period (when Marine alleges last work) that nets:</w:t>
      </w:r>
    </w:p>
    <w:p>
      <w:pPr>
        <w:pStyle w:val="Compact"/>
        <w:numPr>
          <w:ilvl w:val="2"/>
          <w:numId w:val="11"/>
        </w:numPr>
      </w:pPr>
      <w:r>
        <w:t>Earned line items through 12/4,</w:t>
      </w:r>
    </w:p>
    <w:p>
      <w:pPr>
        <w:pStyle w:val="Compact"/>
        <w:numPr>
          <w:ilvl w:val="2"/>
          <w:numId w:val="11"/>
        </w:numPr>
      </w:pPr>
      <w:r>
        <w:t>Less retainage,</w:t>
      </w:r>
    </w:p>
    <w:p>
      <w:pPr>
        <w:pStyle w:val="Compact"/>
        <w:numPr>
          <w:ilvl w:val="2"/>
          <w:numId w:val="11"/>
        </w:numPr>
      </w:pPr>
      <w:r>
        <w:t>Less paid-to-date ($277,290 checks + $60,000 wire),</w:t>
      </w:r>
    </w:p>
    <w:p>
      <w:pPr>
        <w:pStyle w:val="Compact"/>
        <w:numPr>
          <w:ilvl w:val="2"/>
          <w:numId w:val="11"/>
        </w:numPr>
      </w:pPr>
      <w:r>
        <w:t>Less backcharges/offsets,</w:t>
      </w:r>
      <w:r>
        <w:t xml:space="preserve"> </w:t>
      </w:r>
      <w:r>
        <w:t>to show a zero-or-negative balance as of 12/16. Without that,</w:t>
      </w:r>
      <w:r>
        <w:t xml:space="preserve"> </w:t>
      </w:r>
      <w:r>
        <w:t>“</w:t>
      </w:r>
      <w:r>
        <w:t>no fund</w:t>
      </w:r>
      <w:r>
        <w:t>”</w:t>
      </w:r>
      <w:r>
        <w:t xml:space="preserve"> </w:t>
      </w:r>
      <w:r>
        <w:t>is a conclusion, not an accounting.</w:t>
      </w:r>
      <w:r>
        <w:br/>
      </w:r>
    </w:p>
    <w:p>
      <w:pPr>
        <w:pStyle w:val="Compact"/>
        <w:numPr>
          <w:ilvl w:val="1"/>
          <w:numId w:val="10"/>
        </w:numPr>
      </w:pPr>
      <w:r>
        <w:t>Concrete gap: Marine’s invoices include a 9/25/2025 invoice for $121,500 mobilization/material deposit and a signed waiver</w:t>
      </w:r>
      <w:r>
        <w:t xml:space="preserve"> </w:t>
      </w:r>
      <w:r>
        <w:t>“</w:t>
      </w:r>
      <w:r>
        <w:t>up to 9/30/25,</w:t>
      </w:r>
      <w:r>
        <w:t>”</w:t>
      </w:r>
      <w:r>
        <w:t xml:space="preserve"> </w:t>
      </w:r>
      <w:r>
        <w:t>leaving October–December work unaddressed in the owner–contractor accounting.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Reliance on contractor’s present-tense</w:t>
      </w:r>
      <w:r>
        <w:rPr>
          <w:b/>
          <w:bCs/>
        </w:rPr>
        <w:t xml:space="preserve"> </w:t>
      </w:r>
      <w:r>
        <w:rPr>
          <w:b/>
          <w:bCs/>
        </w:rPr>
        <w:t>“</w:t>
      </w:r>
      <w:r>
        <w:rPr>
          <w:b/>
          <w:bCs/>
        </w:rPr>
        <w:t>waiver</w:t>
      </w:r>
      <w:r>
        <w:rPr>
          <w:b/>
          <w:bCs/>
        </w:rPr>
        <w:t>”</w:t>
      </w:r>
      <w:r>
        <w:rPr>
          <w:b/>
          <w:bCs/>
        </w:rPr>
        <w:t xml:space="preserve"> </w:t>
      </w:r>
      <w:r>
        <w:rPr>
          <w:b/>
          <w:bCs/>
        </w:rPr>
        <w:t>is legally and factually fragile</w:t>
      </w:r>
    </w:p>
    <w:p>
      <w:pPr>
        <w:pStyle w:val="Compact"/>
        <w:numPr>
          <w:ilvl w:val="1"/>
          <w:numId w:val="12"/>
        </w:numPr>
      </w:pPr>
      <w:r>
        <w:t>What the declaration states: JAT waives any present claim; liens by Marine or Urban Industrial do not mean money is due.</w:t>
      </w:r>
    </w:p>
    <w:p>
      <w:pPr>
        <w:pStyle w:val="Compact"/>
        <w:numPr>
          <w:ilvl w:val="1"/>
          <w:numId w:val="12"/>
        </w:numPr>
      </w:pPr>
      <w:r>
        <w:t>Why vulnerable: Lien fund existence is determined as of the lien filing date based on sums</w:t>
      </w:r>
      <w:r>
        <w:t xml:space="preserve"> </w:t>
      </w:r>
      <w:r>
        <w:t>“</w:t>
      </w:r>
      <w:r>
        <w:t>earned and unpaid</w:t>
      </w:r>
      <w:r>
        <w:t>”</w:t>
      </w:r>
      <w:r>
        <w:t xml:space="preserve"> </w:t>
      </w:r>
      <w:r>
        <w:t>on the prime contract. A subsequent or contemporaneous</w:t>
      </w:r>
      <w:r>
        <w:t xml:space="preserve"> </w:t>
      </w:r>
      <w:r>
        <w:t>“</w:t>
      </w:r>
      <w:r>
        <w:t>waiver</w:t>
      </w:r>
      <w:r>
        <w:t>”</w:t>
      </w:r>
      <w:r>
        <w:t xml:space="preserve"> </w:t>
      </w:r>
      <w:r>
        <w:t>by the contractor does not by itself erase amounts already earned and unpaid as of 12/16/2025. The declaration does not show that, as of 12/16, there was truly no earned but unpaid balance under the contract terms.</w:t>
      </w:r>
      <w:r>
        <w:br/>
      </w:r>
    </w:p>
    <w:p>
      <w:pPr>
        <w:pStyle w:val="Compact"/>
        <w:numPr>
          <w:ilvl w:val="1"/>
          <w:numId w:val="12"/>
        </w:numPr>
      </w:pPr>
      <w:r>
        <w:t>Concrete detail: Urban Industrial also filed a lien for $109,300 for demolition, which at least corroborates that multiple subs claim unpaid downstream, increasing the burden to show the upstream owner–contractor balance was genuinely zero as of filing.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Payment evidence is incomplete for a dispositive</w:t>
      </w:r>
      <w:r>
        <w:rPr>
          <w:b/>
          <w:bCs/>
        </w:rPr>
        <w:t xml:space="preserve"> </w:t>
      </w:r>
      <w:r>
        <w:rPr>
          <w:b/>
          <w:bCs/>
        </w:rPr>
        <w:t>“</w:t>
      </w:r>
      <w:r>
        <w:rPr>
          <w:b/>
          <w:bCs/>
        </w:rPr>
        <w:t>no fund</w:t>
      </w:r>
      <w:r>
        <w:rPr>
          <w:b/>
          <w:bCs/>
        </w:rPr>
        <w:t>”</w:t>
      </w:r>
      <w:r>
        <w:rPr>
          <w:b/>
          <w:bCs/>
        </w:rPr>
        <w:t xml:space="preserve"> </w:t>
      </w:r>
      <w:r>
        <w:rPr>
          <w:b/>
          <w:bCs/>
        </w:rPr>
        <w:t>finding</w:t>
      </w:r>
    </w:p>
    <w:p>
      <w:pPr>
        <w:pStyle w:val="Compact"/>
        <w:numPr>
          <w:ilvl w:val="1"/>
          <w:numId w:val="13"/>
        </w:numPr>
      </w:pPr>
      <w:r>
        <w:t>What the declaration includes: Two 9/4/2025 checks totaling $277,290 and a scheduled 11/3/2025 wire of $60,000; an AIA pay app through 9/30/2025.</w:t>
      </w:r>
      <w:r>
        <w:br/>
      </w:r>
    </w:p>
    <w:p>
      <w:pPr>
        <w:pStyle w:val="Compact"/>
        <w:numPr>
          <w:ilvl w:val="1"/>
          <w:numId w:val="13"/>
        </w:numPr>
      </w:pPr>
      <w:r>
        <w:t>Why vulnerable:</w:t>
      </w:r>
    </w:p>
    <w:p>
      <w:pPr>
        <w:pStyle w:val="Compact"/>
        <w:numPr>
          <w:ilvl w:val="2"/>
          <w:numId w:val="14"/>
        </w:numPr>
      </w:pPr>
      <w:r>
        <w:t>The 11/3 wire screenshot shows</w:t>
      </w:r>
      <w:r>
        <w:t xml:space="preserve"> </w:t>
      </w:r>
      <w:r>
        <w:t>“</w:t>
      </w:r>
      <w:r>
        <w:t>Needs approval,</w:t>
      </w:r>
      <w:r>
        <w:t>”</w:t>
      </w:r>
      <w:r>
        <w:t xml:space="preserve"> </w:t>
      </w:r>
      <w:r>
        <w:t>not proof of completion/receipt into JAT’s account; there is no bank confirmation or statement showing posting, which opens an evidentiary gap on the $60,000.</w:t>
      </w:r>
    </w:p>
    <w:p>
      <w:pPr>
        <w:pStyle w:val="Compact"/>
        <w:numPr>
          <w:ilvl w:val="2"/>
          <w:numId w:val="14"/>
        </w:numPr>
      </w:pPr>
      <w:r>
        <w:t>No owner/architect certificate of payment or proof of payment for the $176,442.66</w:t>
      </w:r>
      <w:r>
        <w:t xml:space="preserve"> </w:t>
      </w:r>
      <w:r>
        <w:t>“</w:t>
      </w:r>
      <w:r>
        <w:t>current payment due</w:t>
      </w:r>
      <w:r>
        <w:t>”</w:t>
      </w:r>
      <w:r>
        <w:t xml:space="preserve"> </w:t>
      </w:r>
      <w:r>
        <w:t>per the 9/30 pay app is provided, leaving open whether that amount was ever paid, partially paid, or denied—critical to</w:t>
      </w:r>
      <w:r>
        <w:t xml:space="preserve"> </w:t>
      </w:r>
      <w:r>
        <w:t>“</w:t>
      </w:r>
      <w:r>
        <w:t>earned and unpaid</w:t>
      </w:r>
      <w:r>
        <w:t>”</w:t>
      </w:r>
      <w:r>
        <w:t xml:space="preserve"> </w:t>
      </w:r>
      <w:r>
        <w:t>as of December 16.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Termination letter characterization undermines reliance on AIA retainage/approval framework</w:t>
      </w:r>
    </w:p>
    <w:p>
      <w:pPr>
        <w:pStyle w:val="Compact"/>
        <w:numPr>
          <w:ilvl w:val="1"/>
          <w:numId w:val="15"/>
        </w:numPr>
      </w:pPr>
      <w:r>
        <w:t>What the declaration relies on: The AIA’s structure to label portions as</w:t>
      </w:r>
      <w:r>
        <w:t xml:space="preserve"> </w:t>
      </w:r>
      <w:r>
        <w:t>“</w:t>
      </w:r>
      <w:r>
        <w:t>mobilization</w:t>
      </w:r>
      <w:r>
        <w:t>”</w:t>
      </w:r>
      <w:r>
        <w:t xml:space="preserve"> </w:t>
      </w:r>
      <w:r>
        <w:t>and imply front-loaded value.</w:t>
      </w:r>
    </w:p>
    <w:p>
      <w:pPr>
        <w:pStyle w:val="Compact"/>
        <w:numPr>
          <w:ilvl w:val="1"/>
          <w:numId w:val="15"/>
        </w:numPr>
      </w:pPr>
      <w:r>
        <w:t>Why vulnerable: The owner’s counsel characterizes the governing agreement as an</w:t>
      </w:r>
      <w:r>
        <w:t xml:space="preserve"> </w:t>
      </w:r>
      <w:r>
        <w:t>“</w:t>
      </w:r>
      <w:r>
        <w:t>unsigned proposal contract.</w:t>
      </w:r>
      <w:r>
        <w:t>”</w:t>
      </w:r>
      <w:r>
        <w:t xml:space="preserve"> </w:t>
      </w:r>
      <w:r>
        <w:t>If the AIA terms are disputed or not executed, owner’s reliance on AIA exhibit designations and retainage provisions may not control, increasing factual disputes unsuitable for pre-answer dismissal and weakening the declaration’s conclusory</w:t>
      </w:r>
      <w:r>
        <w:t xml:space="preserve"> </w:t>
      </w:r>
      <w:r>
        <w:t>“</w:t>
      </w:r>
      <w:r>
        <w:t>overpaid</w:t>
      </w:r>
      <w:r>
        <w:t>”</w:t>
      </w:r>
      <w:r>
        <w:t xml:space="preserve"> </w:t>
      </w:r>
      <w:r>
        <w:t>theme.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No articulation of offsets/backcharges supporting</w:t>
      </w:r>
      <w:r>
        <w:rPr>
          <w:b/>
          <w:bCs/>
        </w:rPr>
        <w:t xml:space="preserve"> </w:t>
      </w:r>
      <w:r>
        <w:rPr>
          <w:b/>
          <w:bCs/>
        </w:rPr>
        <w:t>“</w:t>
      </w:r>
      <w:r>
        <w:rPr>
          <w:b/>
          <w:bCs/>
        </w:rPr>
        <w:t>overpaid</w:t>
      </w:r>
      <w:r>
        <w:rPr>
          <w:b/>
          <w:bCs/>
        </w:rPr>
        <w:t>”</w:t>
      </w:r>
      <w:r>
        <w:rPr>
          <w:b/>
          <w:bCs/>
        </w:rPr>
        <w:t xml:space="preserve"> </w:t>
      </w:r>
      <w:r>
        <w:rPr>
          <w:b/>
          <w:bCs/>
        </w:rPr>
        <w:t>conclusion</w:t>
      </w:r>
    </w:p>
    <w:p>
      <w:pPr>
        <w:pStyle w:val="Compact"/>
        <w:numPr>
          <w:ilvl w:val="1"/>
          <w:numId w:val="16"/>
        </w:numPr>
      </w:pPr>
      <w:r>
        <w:t>What the declaration implies: After</w:t>
      </w:r>
      <w:r>
        <w:t xml:space="preserve"> </w:t>
      </w:r>
      <w:r>
        <w:t>“</w:t>
      </w:r>
      <w:r>
        <w:t>crediting the value of the work actually performed,</w:t>
      </w:r>
      <w:r>
        <w:t>”</w:t>
      </w:r>
      <w:r>
        <w:t xml:space="preserve"> </w:t>
      </w:r>
      <w:r>
        <w:t>nothing was due.</w:t>
      </w:r>
    </w:p>
    <w:p>
      <w:pPr>
        <w:pStyle w:val="Compact"/>
        <w:numPr>
          <w:ilvl w:val="1"/>
          <w:numId w:val="16"/>
        </w:numPr>
      </w:pPr>
      <w:r>
        <w:t>Why vulnerable: There is no itemization of:</w:t>
      </w:r>
    </w:p>
    <w:p>
      <w:pPr>
        <w:pStyle w:val="Compact"/>
        <w:numPr>
          <w:ilvl w:val="2"/>
          <w:numId w:val="17"/>
        </w:numPr>
      </w:pPr>
      <w:r>
        <w:t>Defective/incomplete work valuations,</w:t>
      </w:r>
    </w:p>
    <w:p>
      <w:pPr>
        <w:pStyle w:val="Compact"/>
        <w:numPr>
          <w:ilvl w:val="2"/>
          <w:numId w:val="17"/>
        </w:numPr>
      </w:pPr>
      <w:r>
        <w:t>Owner’s completion costs post-termination,</w:t>
      </w:r>
    </w:p>
    <w:p>
      <w:pPr>
        <w:pStyle w:val="Compact"/>
        <w:numPr>
          <w:ilvl w:val="2"/>
          <w:numId w:val="17"/>
        </w:numPr>
      </w:pPr>
      <w:r>
        <w:t>Backcharges or setoffs,</w:t>
      </w:r>
    </w:p>
    <w:p>
      <w:pPr>
        <w:pStyle w:val="Compact"/>
        <w:numPr>
          <w:ilvl w:val="2"/>
          <w:numId w:val="17"/>
        </w:numPr>
      </w:pPr>
      <w:r>
        <w:t>Liquidated damages,</w:t>
      </w:r>
      <w:r>
        <w:t xml:space="preserve"> </w:t>
      </w:r>
      <w:r>
        <w:t>used to reach a zero or negative balance, leaving the</w:t>
      </w:r>
      <w:r>
        <w:t xml:space="preserve"> </w:t>
      </w:r>
      <w:r>
        <w:t>“</w:t>
      </w:r>
      <w:r>
        <w:t>overpaid</w:t>
      </w:r>
      <w:r>
        <w:t>”</w:t>
      </w:r>
      <w:r>
        <w:t xml:space="preserve"> </w:t>
      </w:r>
      <w:r>
        <w:t>assertion unsubstantiated.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Mechanic’s lien alignment with project chain but not rebutted with contemporaneous architect certifications</w:t>
      </w:r>
    </w:p>
    <w:p>
      <w:pPr>
        <w:pStyle w:val="Compact"/>
        <w:numPr>
          <w:ilvl w:val="1"/>
          <w:numId w:val="18"/>
        </w:numPr>
      </w:pPr>
      <w:r>
        <w:t>What the lien shows: Marine identifies JAT as the contracting party; last work 12/4/2025; unpaid $361,080.</w:t>
      </w:r>
    </w:p>
    <w:p>
      <w:pPr>
        <w:pStyle w:val="Compact"/>
        <w:numPr>
          <w:ilvl w:val="1"/>
          <w:numId w:val="18"/>
        </w:numPr>
      </w:pPr>
      <w:r>
        <w:t>Why it matters: The owner’s best rebuttal is architect-issued certificates and proof of payment (or denial) through the lien date; those are absent. The G702/G703 reflect only through 9/30, not through 12/16.</w:t>
      </w:r>
    </w:p>
    <w:bookmarkEnd w:id="1"/>
    <w:bookmarkStart w:id="2" w:name="Xdd43b7a4b6ff628d6c51701a9f8528a6bfda06d"/>
    <w:p>
      <w:pPr>
        <w:pStyle w:val="Heading3"/>
      </w:pPr>
      <w:r>
        <w:t>Targeted Cross-Examination/Discovery Angles</w:t>
      </w:r>
    </w:p>
    <w:p>
      <w:pPr>
        <w:pStyle w:val="Compact"/>
        <w:numPr>
          <w:ilvl w:val="0"/>
          <w:numId w:val="19"/>
        </w:numPr>
      </w:pPr>
      <w:r>
        <w:rPr>
          <w:b/>
          <w:bCs/>
        </w:rPr>
        <w:t>Authenticate and complete the payment record</w:t>
      </w:r>
    </w:p>
    <w:p>
      <w:pPr>
        <w:pStyle w:val="Compact"/>
        <w:numPr>
          <w:ilvl w:val="1"/>
          <w:numId w:val="20"/>
        </w:numPr>
      </w:pPr>
      <w:r>
        <w:t>Bank statements showing negotiation of the two 9/4 checks and posting of the 11/3 $60,000 wire (beyond</w:t>
      </w:r>
      <w:r>
        <w:t xml:space="preserve"> </w:t>
      </w:r>
      <w:r>
        <w:t>“</w:t>
      </w:r>
      <w:r>
        <w:t>Needs approval</w:t>
      </w:r>
      <w:r>
        <w:t>”</w:t>
      </w:r>
      <w:r>
        <w:t>).</w:t>
      </w:r>
      <w:r>
        <w:br/>
      </w:r>
    </w:p>
    <w:p>
      <w:pPr>
        <w:pStyle w:val="Compact"/>
        <w:numPr>
          <w:ilvl w:val="1"/>
          <w:numId w:val="20"/>
        </w:numPr>
      </w:pPr>
      <w:r>
        <w:t>Owner/architect certificates and actual payments, including whether the $176,442.66</w:t>
      </w:r>
      <w:r>
        <w:t xml:space="preserve"> </w:t>
      </w:r>
      <w:r>
        <w:t>“</w:t>
      </w:r>
      <w:r>
        <w:t>current payment due</w:t>
      </w:r>
      <w:r>
        <w:t>”</w:t>
      </w:r>
      <w:r>
        <w:t xml:space="preserve"> </w:t>
      </w:r>
      <w:r>
        <w:t>from the 9/30 pay app was paid or denied.</w:t>
      </w:r>
    </w:p>
    <w:p>
      <w:pPr>
        <w:pStyle w:val="Compact"/>
        <w:numPr>
          <w:ilvl w:val="0"/>
          <w:numId w:val="19"/>
        </w:numPr>
      </w:pPr>
      <w:r>
        <w:rPr>
          <w:b/>
          <w:bCs/>
        </w:rPr>
        <w:t>Close the 10/1–12/4 earned value gap</w:t>
      </w:r>
    </w:p>
    <w:p>
      <w:pPr>
        <w:pStyle w:val="Compact"/>
        <w:numPr>
          <w:ilvl w:val="1"/>
          <w:numId w:val="21"/>
        </w:numPr>
      </w:pPr>
      <w:r>
        <w:t>JAT’s updated G702/G703 through December 2025.</w:t>
      </w:r>
    </w:p>
    <w:p>
      <w:pPr>
        <w:pStyle w:val="Compact"/>
        <w:numPr>
          <w:ilvl w:val="1"/>
          <w:numId w:val="21"/>
        </w:numPr>
      </w:pPr>
      <w:r>
        <w:t>Architect site observations and certifications for October–December.</w:t>
      </w:r>
    </w:p>
    <w:p>
      <w:pPr>
        <w:pStyle w:val="Compact"/>
        <w:numPr>
          <w:ilvl w:val="1"/>
          <w:numId w:val="21"/>
        </w:numPr>
      </w:pPr>
      <w:r>
        <w:t>Any change orders, backcharges, or termination cost-to-complete analyses used to claim</w:t>
      </w:r>
      <w:r>
        <w:t xml:space="preserve"> </w:t>
      </w:r>
      <w:r>
        <w:t>“</w:t>
      </w:r>
      <w:r>
        <w:t>overpayment.</w:t>
      </w:r>
      <w:r>
        <w:t>”</w:t>
      </w:r>
    </w:p>
    <w:p>
      <w:pPr>
        <w:pStyle w:val="Compact"/>
        <w:numPr>
          <w:ilvl w:val="0"/>
          <w:numId w:val="19"/>
        </w:numPr>
      </w:pPr>
      <w:r>
        <w:rPr>
          <w:b/>
          <w:bCs/>
        </w:rPr>
        <w:t>Clarify governing contract status</w:t>
      </w:r>
    </w:p>
    <w:p>
      <w:pPr>
        <w:pStyle w:val="Compact"/>
        <w:numPr>
          <w:ilvl w:val="1"/>
          <w:numId w:val="22"/>
        </w:numPr>
      </w:pPr>
      <w:r>
        <w:t>Execution pages for the AIA A101 and A201; if unsigned, identify the operative agreement and its payment/retainage terms.</w:t>
      </w:r>
    </w:p>
    <w:p>
      <w:pPr>
        <w:pStyle w:val="Compact"/>
        <w:numPr>
          <w:ilvl w:val="0"/>
          <w:numId w:val="19"/>
        </w:numPr>
      </w:pPr>
      <w:r>
        <w:rPr>
          <w:b/>
          <w:bCs/>
        </w:rPr>
        <w:t>Probe basis for</w:t>
      </w:r>
      <w:r>
        <w:rPr>
          <w:b/>
          <w:bCs/>
        </w:rPr>
        <w:t xml:space="preserve"> </w:t>
      </w:r>
      <w:r>
        <w:rPr>
          <w:b/>
          <w:bCs/>
        </w:rPr>
        <w:t>“</w:t>
      </w:r>
      <w:r>
        <w:rPr>
          <w:b/>
          <w:bCs/>
        </w:rPr>
        <w:t>mobilization billed in advance</w:t>
      </w:r>
      <w:r>
        <w:rPr>
          <w:b/>
          <w:bCs/>
        </w:rPr>
        <w:t>”</w:t>
      </w:r>
      <w:r>
        <w:rPr>
          <w:b/>
          <w:bCs/>
        </w:rPr>
        <w:t xml:space="preserve"> </w:t>
      </w:r>
      <w:r>
        <w:rPr>
          <w:b/>
          <w:bCs/>
        </w:rPr>
        <w:t>characterization</w:t>
      </w:r>
    </w:p>
    <w:p>
      <w:pPr>
        <w:pStyle w:val="Compact"/>
        <w:numPr>
          <w:ilvl w:val="1"/>
          <w:numId w:val="23"/>
        </w:numPr>
      </w:pPr>
      <w:r>
        <w:t>How mobilization scope and value were defined in Schedule of Values and contract exhibits; whether architect approved 100% mobilization as earned as of 9/30.</w:t>
      </w:r>
    </w:p>
    <w:p>
      <w:pPr>
        <w:pStyle w:val="Compact"/>
        <w:numPr>
          <w:ilvl w:val="0"/>
          <w:numId w:val="19"/>
        </w:numPr>
      </w:pPr>
      <w:r>
        <w:rPr>
          <w:b/>
          <w:bCs/>
        </w:rPr>
        <w:t>Assess JAT’s</w:t>
      </w:r>
      <w:r>
        <w:rPr>
          <w:b/>
          <w:bCs/>
        </w:rPr>
        <w:t xml:space="preserve"> </w:t>
      </w:r>
      <w:r>
        <w:rPr>
          <w:b/>
          <w:bCs/>
        </w:rPr>
        <w:t>“</w:t>
      </w:r>
      <w:r>
        <w:rPr>
          <w:b/>
          <w:bCs/>
        </w:rPr>
        <w:t>waiver</w:t>
      </w:r>
      <w:r>
        <w:rPr>
          <w:b/>
          <w:bCs/>
        </w:rPr>
        <w:t>”</w:t>
      </w:r>
      <w:r>
        <w:rPr>
          <w:b/>
          <w:bCs/>
        </w:rPr>
        <w:t xml:space="preserve"> </w:t>
      </w:r>
      <w:r>
        <w:rPr>
          <w:b/>
          <w:bCs/>
        </w:rPr>
        <w:t>as litigation-driven</w:t>
      </w:r>
    </w:p>
    <w:p>
      <w:pPr>
        <w:pStyle w:val="Compact"/>
        <w:numPr>
          <w:ilvl w:val="1"/>
          <w:numId w:val="24"/>
        </w:numPr>
      </w:pPr>
      <w:r>
        <w:t>Timing, consideration, and purpose of the</w:t>
      </w:r>
      <w:r>
        <w:t xml:space="preserve"> </w:t>
      </w:r>
      <w:r>
        <w:t>“</w:t>
      </w:r>
      <w:r>
        <w:t>waives and relinquishes any present claim</w:t>
      </w:r>
      <w:r>
        <w:t>”</w:t>
      </w:r>
      <w:r>
        <w:t xml:space="preserve"> </w:t>
      </w:r>
      <w:r>
        <w:t>statement; whether it post-dates the lien and serves merely to defeat lien fund rather than reflect the account as of 12/16.</w:t>
      </w:r>
    </w:p>
    <w:bookmarkEnd w:id="2"/>
    <w:bookmarkStart w:id="3" w:name="bottom-line"/>
    <w:p>
      <w:pPr>
        <w:pStyle w:val="Heading3"/>
      </w:pPr>
      <w:r>
        <w:t>Bottom Line</w:t>
      </w:r>
    </w:p>
    <w:p>
      <w:pPr>
        <w:pStyle w:val="Compact"/>
        <w:numPr>
          <w:ilvl w:val="0"/>
          <w:numId w:val="25"/>
        </w:numPr>
      </w:pPr>
      <w:r>
        <w:rPr>
          <w:b/>
          <w:bCs/>
        </w:rPr>
        <w:t>Core weakness</w:t>
      </w:r>
      <w:r>
        <w:t>: The declaration’s</w:t>
      </w:r>
      <w:r>
        <w:t xml:space="preserve"> </w:t>
      </w:r>
      <w:r>
        <w:t>“</w:t>
      </w:r>
      <w:r>
        <w:t>no lien fund</w:t>
      </w:r>
      <w:r>
        <w:t>”</w:t>
      </w:r>
      <w:r>
        <w:t xml:space="preserve"> </w:t>
      </w:r>
      <w:r>
        <w:t>conclusion rests on a partial, front-loaded snapshot (mobilization plus early payments) and a present-tense waiver—without a full, documented reconciliation of earned vs. paid through the 12/16/2025 lien date. The AIA pay app itself indicates an earned balance due as of 9/30, which is never squarely addressed.</w:t>
      </w:r>
    </w:p>
    <w:bookmarkEnd w:id="3"/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endnotePr>
        <w:numFmt w:val="decimal"/>
      </w:end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PageNumber"/>
      </w:rPr>
      <w:id w:val="-40450920"/>
      <w:docPartObj>
        <w:docPartGallery w:val="Page Numbers (Bottom of Page)"/>
        <w:docPartUnique/>
      </w:docPartObj>
    </w:sdtPr>
    <w:sdtContent>
      <w:p w:rsidR="0087487C" w:rsidP="006D4292" w14:paraId="5B9F6C67" w14:textId="5F2EFA3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87487C" w:rsidP="0087487C" w14:paraId="1FD193FD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PageNumber"/>
      </w:rPr>
      <w:id w:val="1144162695"/>
      <w:docPartObj>
        <w:docPartGallery w:val="Page Numbers (Bottom of Page)"/>
        <w:docPartUnique/>
      </w:docPartObj>
    </w:sdtPr>
    <w:sdtContent>
      <w:p w:rsidR="0087487C" w:rsidP="006D4292" w14:paraId="77CB3C9C" w14:textId="56CED78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6F6091" w:rsidP="0087487C" w14:paraId="313C2092" w14:textId="2EC5DD65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7487C" w14:paraId="10BAB284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7487C" w14:paraId="24AD60D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7487C" w14:paraId="418B199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7487C" w14:paraId="6507D74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A990"/>
    <w:multiLevelType w:val="multilevel"/>
    <w:tmpl w:val="00000000"/>
    <w:lvl w:ilvl="0">
      <w:start w:val="0"/>
      <w:numFmt w:val="bullet"/>
      <w:lvlText w:val=" "/>
      <w:lvlJc w:val="left"/>
      <w:pPr>
        <w:ind w:left="720" w:hanging="480"/>
      </w:pPr>
    </w:lvl>
    <w:lvl w:ilvl="1">
      <w:start w:val="0"/>
      <w:numFmt w:val="bullet"/>
      <w:lvlText w:val=" "/>
      <w:lvlJc w:val="left"/>
      <w:pPr>
        <w:ind w:left="1440" w:hanging="480"/>
      </w:pPr>
    </w:lvl>
    <w:lvl w:ilvl="2">
      <w:start w:val="0"/>
      <w:numFmt w:val="bullet"/>
      <w:lvlText w:val=" "/>
      <w:lvlJc w:val="left"/>
      <w:pPr>
        <w:ind w:left="2160" w:hanging="480"/>
      </w:pPr>
    </w:lvl>
    <w:lvl w:ilvl="3">
      <w:start w:val="0"/>
      <w:numFmt w:val="bullet"/>
      <w:lvlText w:val=" "/>
      <w:lvlJc w:val="left"/>
      <w:pPr>
        <w:ind w:left="2880" w:hanging="480"/>
      </w:pPr>
    </w:lvl>
    <w:lvl w:ilvl="4">
      <w:start w:val="0"/>
      <w:numFmt w:val="bullet"/>
      <w:lvlText w:val=" "/>
      <w:lvlJc w:val="left"/>
      <w:pPr>
        <w:ind w:left="3600" w:hanging="480"/>
      </w:pPr>
    </w:lvl>
    <w:lvl w:ilvl="5">
      <w:start w:val="0"/>
      <w:numFmt w:val="bullet"/>
      <w:lvlText w:val=" "/>
      <w:lvlJc w:val="left"/>
      <w:pPr>
        <w:ind w:left="4320" w:hanging="480"/>
      </w:pPr>
    </w:lvl>
    <w:lvl w:ilvl="6">
      <w:start w:val="0"/>
      <w:numFmt w:val="bullet"/>
      <w:lvlText w:val=" "/>
      <w:lvlJc w:val="left"/>
      <w:pPr>
        <w:ind w:left="5040" w:hanging="480"/>
      </w:pPr>
    </w:lvl>
    <w:lvl w:ilvl="7">
      <w:start w:val="0"/>
      <w:numFmt w:val="bullet"/>
      <w:lvlText w:val=" "/>
      <w:lvlJc w:val="left"/>
      <w:pPr>
        <w:ind w:left="5760" w:hanging="480"/>
      </w:pPr>
    </w:lvl>
    <w:lvl w:ilvl="8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0000"/>
    <w:lvl w:ilvl="0">
      <w:start w:val="0"/>
      <w:numFmt w:val="bullet"/>
      <w:lvlText w:val="•"/>
      <w:lvlJc w:val="left"/>
      <w:pPr>
        <w:ind w:left="720" w:hanging="480"/>
      </w:pPr>
    </w:lvl>
    <w:lvl w:ilvl="1">
      <w:start w:val="0"/>
      <w:numFmt w:val="bullet"/>
      <w:lvlText w:val="–"/>
      <w:lvlJc w:val="left"/>
      <w:pPr>
        <w:ind w:left="1440" w:hanging="480"/>
      </w:pPr>
    </w:lvl>
    <w:lvl w:ilvl="2">
      <w:start w:val="0"/>
      <w:numFmt w:val="bullet"/>
      <w:lvlText w:val="•"/>
      <w:lvlJc w:val="left"/>
      <w:pPr>
        <w:ind w:left="2160" w:hanging="480"/>
      </w:pPr>
    </w:lvl>
    <w:lvl w:ilvl="3">
      <w:start w:val="0"/>
      <w:numFmt w:val="bullet"/>
      <w:lvlText w:val="–"/>
      <w:lvlJc w:val="left"/>
      <w:pPr>
        <w:ind w:left="2880" w:hanging="480"/>
      </w:pPr>
    </w:lvl>
    <w:lvl w:ilvl="4">
      <w:start w:val="0"/>
      <w:numFmt w:val="bullet"/>
      <w:lvlText w:val="•"/>
      <w:lvlJc w:val="left"/>
      <w:pPr>
        <w:ind w:left="3600" w:hanging="480"/>
      </w:pPr>
    </w:lvl>
    <w:lvl w:ilvl="5">
      <w:start w:val="0"/>
      <w:numFmt w:val="bullet"/>
      <w:lvlText w:val="–"/>
      <w:lvlJc w:val="left"/>
      <w:pPr>
        <w:ind w:left="4320" w:hanging="480"/>
      </w:pPr>
    </w:lvl>
    <w:lvl w:ilvl="6">
      <w:start w:val="0"/>
      <w:numFmt w:val="bullet"/>
      <w:lvlText w:val="•"/>
      <w:lvlJc w:val="left"/>
      <w:pPr>
        <w:ind w:left="5040" w:hanging="480"/>
      </w:pPr>
    </w:lvl>
    <w:lvl w:ilvl="7">
      <w:start w:val="0"/>
      <w:numFmt w:val="bullet"/>
      <w:lvlText w:val="–"/>
      <w:lvlJc w:val="left"/>
      <w:pPr>
        <w:ind w:left="5760" w:hanging="480"/>
      </w:pPr>
    </w:lvl>
    <w:lvl w:ilvl="8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21"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91"/>
    <w:rsid w:val="0008599A"/>
    <w:rsid w:val="001541CF"/>
    <w:rsid w:val="00164562"/>
    <w:rsid w:val="001733F7"/>
    <w:rsid w:val="00197CA9"/>
    <w:rsid w:val="001A5BED"/>
    <w:rsid w:val="0022569A"/>
    <w:rsid w:val="00260315"/>
    <w:rsid w:val="0027219F"/>
    <w:rsid w:val="002A5FE9"/>
    <w:rsid w:val="002E718C"/>
    <w:rsid w:val="00370358"/>
    <w:rsid w:val="003A2914"/>
    <w:rsid w:val="003A3408"/>
    <w:rsid w:val="004423DE"/>
    <w:rsid w:val="00460A47"/>
    <w:rsid w:val="004D136E"/>
    <w:rsid w:val="004F736A"/>
    <w:rsid w:val="00507F72"/>
    <w:rsid w:val="005F0DC0"/>
    <w:rsid w:val="00606CAE"/>
    <w:rsid w:val="0069216D"/>
    <w:rsid w:val="006D4292"/>
    <w:rsid w:val="006F6091"/>
    <w:rsid w:val="0071445F"/>
    <w:rsid w:val="007A580D"/>
    <w:rsid w:val="00824763"/>
    <w:rsid w:val="0087487C"/>
    <w:rsid w:val="008D6782"/>
    <w:rsid w:val="008F01A3"/>
    <w:rsid w:val="00A10CE7"/>
    <w:rsid w:val="00A203F8"/>
    <w:rsid w:val="00C02429"/>
    <w:rsid w:val="00C42682"/>
    <w:rsid w:val="00C65777"/>
    <w:rsid w:val="00C85901"/>
    <w:rsid w:val="00CE05BB"/>
    <w:rsid w:val="00D169FC"/>
    <w:rsid w:val="00D54555"/>
    <w:rsid w:val="00D709B2"/>
    <w:rsid w:val="00E441C9"/>
    <w:rsid w:val="00F13A3B"/>
    <w:rsid w:val="00F32E7D"/>
    <w:rsid w:val="00F36162"/>
    <w:rsid w:val="00F531DA"/>
    <w:rsid w:val="00F7280F"/>
    <w:rsid w:val="00F733E7"/>
    <w:rsid w:val="00F73A27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901"/>
    <w:rPr>
      <w:rFonts w:ascii="Aptos" w:hAnsi="Aptos"/>
    </w:rPr>
  </w:style>
  <w:style w:type="paragraph" w:styleId="Heading1">
    <w:name w:val="heading 1"/>
    <w:uiPriority w:val="9"/>
    <w:qFormat/>
    <w:rsid w:val="00C85901"/>
    <w:pPr>
      <w:keepNext/>
      <w:keepLines/>
      <w:spacing w:before="480"/>
      <w:outlineLvl w:val="0"/>
    </w:pPr>
    <w:rPr>
      <w:rFonts w:ascii="Aptos Display" w:hAnsi="Aptos Display"/>
      <w:sz w:val="36"/>
      <w:szCs w:val="48"/>
    </w:rPr>
  </w:style>
  <w:style w:type="paragraph" w:styleId="Heading2">
    <w:name w:val="heading 2"/>
    <w:uiPriority w:val="9"/>
    <w:unhideWhenUsed/>
    <w:qFormat/>
    <w:rsid w:val="00C85901"/>
    <w:pPr>
      <w:keepNext/>
      <w:keepLines/>
      <w:spacing w:before="360" w:after="80"/>
      <w:outlineLvl w:val="1"/>
    </w:pPr>
    <w:rPr>
      <w:rFonts w:ascii="Aptos Display" w:hAnsi="Aptos Display"/>
      <w:sz w:val="28"/>
      <w:szCs w:val="36"/>
    </w:rPr>
  </w:style>
  <w:style w:type="paragraph" w:styleId="Heading3">
    <w:name w:val="heading 3"/>
    <w:uiPriority w:val="9"/>
    <w:unhideWhenUsed/>
    <w:qFormat/>
    <w:rsid w:val="004D136E"/>
    <w:pPr>
      <w:keepNext/>
      <w:keepLines/>
      <w:spacing w:before="280" w:after="80"/>
      <w:outlineLvl w:val="2"/>
    </w:pPr>
    <w:rPr>
      <w:rFonts w:ascii="Aptos Display" w:hAnsi="Aptos Display"/>
      <w:color w:val="757575"/>
      <w:sz w:val="36"/>
      <w:szCs w:val="28"/>
    </w:rPr>
  </w:style>
  <w:style w:type="paragraph" w:styleId="Heading4">
    <w:name w:val="heading 4"/>
    <w:uiPriority w:val="9"/>
    <w:unhideWhenUsed/>
    <w:qFormat/>
    <w:rsid w:val="004D136E"/>
    <w:pPr>
      <w:keepNext/>
      <w:keepLines/>
      <w:spacing w:before="240" w:after="40"/>
      <w:outlineLvl w:val="3"/>
    </w:pPr>
    <w:rPr>
      <w:rFonts w:ascii="Aptos Display" w:hAnsi="Aptos Display"/>
      <w:color w:val="757575"/>
      <w:sz w:val="32"/>
      <w:szCs w:val="24"/>
    </w:rPr>
  </w:style>
  <w:style w:type="paragraph" w:styleId="Heading5">
    <w:name w:val="heading 5"/>
    <w:uiPriority w:val="9"/>
    <w:unhideWhenUsed/>
    <w:qFormat/>
    <w:rsid w:val="00C85901"/>
    <w:pPr>
      <w:keepNext/>
      <w:keepLines/>
      <w:spacing w:before="220" w:after="40"/>
      <w:outlineLvl w:val="4"/>
    </w:pPr>
    <w:rPr>
      <w:rFonts w:ascii="Aptos Display" w:hAnsi="Aptos Display"/>
      <w:b/>
    </w:rPr>
  </w:style>
  <w:style w:type="paragraph" w:styleId="Heading6">
    <w:name w:val="heading 6"/>
    <w:uiPriority w:val="9"/>
    <w:unhideWhenUsed/>
    <w:qFormat/>
    <w:rsid w:val="004D136E"/>
    <w:pPr>
      <w:keepNext/>
      <w:keepLines/>
      <w:spacing w:before="200" w:after="40"/>
      <w:outlineLvl w:val="5"/>
    </w:pPr>
    <w:rPr>
      <w:rFonts w:ascii="Aptos Display" w:hAnsi="Aptos Display"/>
      <w:i/>
      <w:color w:val="757575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D136E"/>
    <w:pPr>
      <w:keepNext/>
      <w:keepLines/>
      <w:spacing w:before="40" w:after="0"/>
      <w:outlineLvl w:val="6"/>
    </w:pPr>
    <w:rPr>
      <w:rFonts w:ascii="Aptos Display" w:hAnsi="Aptos Display" w:eastAsiaTheme="majorEastAsia" w:cstheme="majorBidi"/>
      <w:iCs/>
      <w:color w:val="757575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85901"/>
    <w:pPr>
      <w:keepNext/>
      <w:keepLines/>
      <w:spacing w:before="40" w:after="0"/>
      <w:outlineLvl w:val="7"/>
    </w:pPr>
    <w:rPr>
      <w:rFonts w:ascii="Aptos Display" w:hAnsi="Aptos Display" w:eastAsiaTheme="majorEastAsia" w:cstheme="majorBidi"/>
      <w:i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85901"/>
    <w:pPr>
      <w:keepNext/>
      <w:keepLines/>
      <w:spacing w:before="40" w:after="0"/>
      <w:outlineLvl w:val="8"/>
    </w:pPr>
    <w:rPr>
      <w:rFonts w:ascii="Aptos Display" w:hAnsi="Aptos Display"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85901"/>
    <w:rPr>
      <w:b/>
      <w:color w:val="006FC4"/>
      <w:u w:val="single"/>
    </w:rPr>
  </w:style>
  <w:style w:type="table" w:styleId="TableGrid">
    <w:name w:val="Table Grid"/>
    <w:basedOn w:val="TableNormal"/>
    <w:uiPriority w:val="39"/>
    <w:rsid w:val="00F73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A2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7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A27"/>
    <w:rPr>
      <w:rFonts w:ascii="Times New Roman" w:hAnsi="Times New Roman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3A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3A27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73A27"/>
    <w:rPr>
      <w:rFonts w:ascii="Times New Roman" w:hAnsi="Times New Roman"/>
      <w:sz w:val="24"/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C85901"/>
    <w:pPr>
      <w:spacing w:after="0" w:line="240" w:lineRule="auto"/>
      <w:contextualSpacing/>
      <w:jc w:val="center"/>
    </w:pPr>
    <w:rPr>
      <w:rFonts w:ascii="Aptos Display" w:hAnsi="Aptos Display"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01"/>
    <w:rPr>
      <w:rFonts w:ascii="Aptos Display" w:hAnsi="Aptos Display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01"/>
    <w:pPr>
      <w:numPr>
        <w:ilvl w:val="1"/>
      </w:numPr>
      <w:spacing w:after="160"/>
      <w:jc w:val="center"/>
    </w:pPr>
    <w:rPr>
      <w:rFonts w:ascii="Aptos Display" w:hAnsi="Aptos Display"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85901"/>
    <w:rPr>
      <w:rFonts w:ascii="Aptos Display" w:hAnsi="Aptos Display" w:eastAsiaTheme="minorEastAsia"/>
      <w:color w:val="5A5A5A" w:themeColor="text1" w:themeTint="A5"/>
      <w:spacing w:val="1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4D136E"/>
    <w:rPr>
      <w:rFonts w:ascii="Aptos Display" w:hAnsi="Aptos Display" w:eastAsiaTheme="majorEastAsia" w:cstheme="majorBidi"/>
      <w:iCs/>
      <w:color w:val="757575"/>
    </w:rPr>
  </w:style>
  <w:style w:type="character" w:customStyle="1" w:styleId="Heading8Char">
    <w:name w:val="Heading 8 Char"/>
    <w:basedOn w:val="DefaultParagraphFont"/>
    <w:link w:val="Heading8"/>
    <w:uiPriority w:val="9"/>
    <w:rsid w:val="00C85901"/>
    <w:rPr>
      <w:rFonts w:ascii="Aptos Display" w:hAnsi="Aptos Display" w:eastAsiaTheme="majorEastAsia" w:cstheme="majorBidi"/>
      <w:i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85901"/>
    <w:rPr>
      <w:rFonts w:ascii="Aptos Display" w:hAnsi="Aptos Display" w:eastAsiaTheme="majorEastAsia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uiPriority w:val="99"/>
    <w:unhideWhenUsed/>
    <w:rsid w:val="00C85901"/>
  </w:style>
  <w:style w:type="character" w:customStyle="1" w:styleId="BodyTextChar">
    <w:name w:val="Body Text Char"/>
    <w:basedOn w:val="DefaultParagraphFont"/>
    <w:link w:val="BodyText"/>
    <w:uiPriority w:val="99"/>
    <w:rsid w:val="00C85901"/>
    <w:rPr>
      <w:rFonts w:ascii="Aptos" w:hAnsi="Aptos"/>
    </w:rPr>
  </w:style>
  <w:style w:type="paragraph" w:customStyle="1" w:styleId="Author">
    <w:name w:val="Author"/>
    <w:basedOn w:val="Normal"/>
    <w:qFormat/>
    <w:rsid w:val="004423DE"/>
    <w:pPr>
      <w:jc w:val="center"/>
    </w:pPr>
  </w:style>
  <w:style w:type="paragraph" w:styleId="Date">
    <w:name w:val="Date"/>
    <w:basedOn w:val="Normal"/>
    <w:next w:val="Normal"/>
    <w:link w:val="DateChar"/>
    <w:uiPriority w:val="99"/>
    <w:unhideWhenUsed/>
    <w:rsid w:val="004423DE"/>
    <w:pPr>
      <w:jc w:val="center"/>
    </w:pPr>
  </w:style>
  <w:style w:type="character" w:customStyle="1" w:styleId="DateChar">
    <w:name w:val="Date Char"/>
    <w:basedOn w:val="DefaultParagraphFont"/>
    <w:link w:val="Date"/>
    <w:uiPriority w:val="99"/>
    <w:rsid w:val="004423DE"/>
    <w:rPr>
      <w:rFonts w:ascii="Times New Roman" w:hAnsi="Times New Roman"/>
      <w:sz w:val="24"/>
    </w:rPr>
  </w:style>
  <w:style w:type="paragraph" w:customStyle="1" w:styleId="Abstract">
    <w:name w:val="Abstract"/>
    <w:qFormat/>
    <w:rsid w:val="00C85901"/>
    <w:rPr>
      <w:rFonts w:ascii="Aptos" w:hAnsi="Aptos"/>
    </w:rPr>
  </w:style>
  <w:style w:type="paragraph" w:customStyle="1" w:styleId="FirstParagraph">
    <w:name w:val="First Paragraph"/>
    <w:basedOn w:val="BodyText"/>
    <w:next w:val="BodyText"/>
    <w:qFormat/>
    <w:rsid w:val="004423DE"/>
  </w:style>
  <w:style w:type="paragraph" w:styleId="BlockText">
    <w:name w:val="Block Text"/>
    <w:basedOn w:val="Normal"/>
    <w:uiPriority w:val="99"/>
    <w:unhideWhenUsed/>
    <w:rsid w:val="00C85901"/>
    <w:pPr>
      <w:ind w:left="288" w:right="1152"/>
    </w:pPr>
    <w:rPr>
      <w:rFonts w:eastAsiaTheme="minorEastAsia"/>
      <w:iCs/>
      <w:color w:val="000000" w:themeColor="text1"/>
    </w:rPr>
  </w:style>
  <w:style w:type="paragraph" w:customStyle="1" w:styleId="Compact">
    <w:name w:val="Compact"/>
    <w:basedOn w:val="BodyText"/>
    <w:qFormat/>
    <w:rsid w:val="0069216D"/>
    <w:pPr>
      <w:spacing w:before="36" w:after="36" w:line="240" w:lineRule="auto"/>
    </w:pPr>
    <w:rPr>
      <w:rFonts w:hAnsi="Times New Roman"/>
      <w:szCs w:val="24"/>
    </w:rPr>
  </w:style>
  <w:style w:type="table" w:customStyle="1" w:styleId="Table">
    <w:name w:val="Table"/>
    <w:semiHidden/>
    <w:unhideWhenUsed/>
    <w:qFormat/>
    <w:rsid w:val="0008599A"/>
    <w:pPr>
      <w:spacing w:after="200" w:line="240" w:lineRule="auto"/>
    </w:pPr>
    <w:rPr>
      <w:rFonts w:asciiTheme="minorHAnsi"/>
      <w:sz w:val="20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D5E0E8"/>
      </w:tcPr>
    </w:tblStylePr>
  </w:style>
  <w:style w:type="paragraph" w:styleId="BodyText2">
    <w:name w:val="Body Text 2"/>
    <w:basedOn w:val="Normal"/>
    <w:link w:val="BodyText2Char"/>
    <w:uiPriority w:val="99"/>
    <w:unhideWhenUsed/>
    <w:rsid w:val="00C85901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85901"/>
    <w:rPr>
      <w:rFonts w:ascii="Aptos" w:hAnsi="Aptos"/>
    </w:rPr>
  </w:style>
  <w:style w:type="character" w:customStyle="1" w:styleId="green-char-style">
    <w:name w:val="green-char-style"/>
    <w:basedOn w:val="DefaultParagraphFont"/>
    <w:uiPriority w:val="1"/>
    <w:qFormat/>
    <w:rsid w:val="002E718C"/>
    <w:rPr>
      <w:b w:val="0"/>
      <w:color w:val="218321"/>
    </w:rPr>
  </w:style>
  <w:style w:type="character" w:customStyle="1" w:styleId="plain-black-char-style">
    <w:name w:val="plain-black-char-style"/>
    <w:uiPriority w:val="1"/>
    <w:qFormat/>
    <w:rsid w:val="00D169FC"/>
    <w:rPr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87487C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cocounsel.thomsonreuters.com/file/view/a45b99f2-ccd7-4233-9679-198c154bb11e?page=1&amp;bounds=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</Words>
  <Characters>165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Review Documents (Short Answers Only)</vt:lpstr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CoCounsel Skill Results</dc:title>
  <dc:creator>CoCounsel</dc:creator>
  <cp:revision>0</cp:revision>
  <dcterms:created xsi:type="dcterms:W3CDTF">2026-04-24T20:38:18Z</dcterms:created>
  <dcterms:modified xsi:type="dcterms:W3CDTF">2026-04-24T20:38:18Z</dcterms:modified>
</cp:coreProperties>
</file>