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6.2.0 -->
  <w:body>
    <w:p>
      <w:pPr>
        <w:pStyle w:val="FirstParagraph"/>
      </w:pPr>
      <w:r>
        <w:rPr>
          <w:b/>
          <w:bCs/>
        </w:rPr>
        <w:t>COCOUNSEL</w:t>
      </w:r>
    </w:p>
    <w:p>
      <w:r>
        <w:pict>
          <v:rect id="_x0000_i1025" style="width:0;height:1.5pt" o:hralign="center" o:hrstd="t" o:hr="t"/>
        </w:pict>
      </w:r>
    </w:p>
    <w:p>
      <w:pPr>
        <w:pStyle w:val="FirstParagraph"/>
      </w:pPr>
      <w:r>
        <w:rPr>
          <w:b/>
          <w:bCs/>
        </w:rPr>
        <w:t>Skill:</w:t>
      </w:r>
      <w:r>
        <w:t xml:space="preserve"> </w:t>
      </w:r>
      <w:r>
        <w:t>Draft</w:t>
      </w:r>
    </w:p>
    <w:p>
      <w:pPr>
        <w:pStyle w:val="BodyText"/>
      </w:pPr>
      <w:r>
        <w:rPr>
          <w:b/>
          <w:bCs/>
        </w:rPr>
        <w:t>Result created:</w:t>
      </w:r>
      <w:r>
        <w:t xml:space="preserve"> </w:t>
      </w:r>
      <w:r>
        <w:t>04/24/2026</w:t>
      </w:r>
    </w:p>
    <w:p>
      <w:pPr>
        <w:pStyle w:val="BodyText"/>
      </w:pPr>
      <w:r>
        <w:rPr>
          <w:b/>
          <w:bCs/>
        </w:rPr>
        <w:t>Prompt:</w:t>
      </w:r>
      <w:r>
        <w:t xml:space="preserve"> </w:t>
      </w:r>
      <w:r>
        <w:t>Draft an affirmation in opposition to the motion, focusing on the vulnerabilities and inconsistencies in John Longardo’s declarations. Highlight the following points:</w:t>
      </w:r>
    </w:p>
    <w:p>
      <w:pPr>
        <w:numPr>
          <w:ilvl w:val="0"/>
          <w:numId w:val="2"/>
        </w:numPr>
      </w:pPr>
      <w:r>
        <w:rPr>
          <w:b/>
          <w:bCs/>
        </w:rPr>
        <w:t>Contract Formation Uncertainty</w:t>
      </w:r>
      <w:r>
        <w:t>: Emphasize the inconsistency between the AIA A101 contract and the owner’s termination notice referring to an</w:t>
      </w:r>
      <w:r>
        <w:t xml:space="preserve"> </w:t>
      </w:r>
      <w:r>
        <w:t>“</w:t>
      </w:r>
      <w:r>
        <w:t>unsigned proposal contract.</w:t>
      </w:r>
      <w:r>
        <w:t>”</w:t>
      </w:r>
      <w:r>
        <w:t xml:space="preserve"> </w:t>
      </w:r>
      <w:r>
        <w:t>This creates uncertainty about the governing agreement and payment terms.</w:t>
      </w:r>
    </w:p>
    <w:p>
      <w:pPr>
        <w:numPr>
          <w:ilvl w:val="0"/>
          <w:numId w:val="2"/>
        </w:numPr>
      </w:pPr>
      <w:r>
        <w:rPr>
          <w:b/>
          <w:bCs/>
        </w:rPr>
        <w:t>Overpayment Assertions</w:t>
      </w:r>
      <w:r>
        <w:t>: Challenge the conclusory statements about being</w:t>
      </w:r>
      <w:r>
        <w:t xml:space="preserve"> </w:t>
      </w:r>
      <w:r>
        <w:t>“</w:t>
      </w:r>
      <w:r>
        <w:t>overpaid</w:t>
      </w:r>
      <w:r>
        <w:t>”</w:t>
      </w:r>
      <w:r>
        <w:t xml:space="preserve"> </w:t>
      </w:r>
      <w:r>
        <w:t>based on mobilization. Reference JAT’s own AIA pay application showing substantial</w:t>
      </w:r>
      <w:r>
        <w:t xml:space="preserve"> </w:t>
      </w:r>
      <w:r>
        <w:t>“</w:t>
      </w:r>
      <w:r>
        <w:t>earned</w:t>
      </w:r>
      <w:r>
        <w:t>”</w:t>
      </w:r>
      <w:r>
        <w:t xml:space="preserve"> </w:t>
      </w:r>
      <w:r>
        <w:t>work through 9/30/2025, which contradicts the overpayment claim.</w:t>
      </w:r>
    </w:p>
    <w:p>
      <w:pPr>
        <w:numPr>
          <w:ilvl w:val="0"/>
          <w:numId w:val="2"/>
        </w:numPr>
      </w:pPr>
      <w:r>
        <w:rPr>
          <w:b/>
          <w:bCs/>
        </w:rPr>
        <w:t>Lack of Project-Close Accounting</w:t>
      </w:r>
      <w:r>
        <w:t>: Point out the absence of a detailed reconciliation of</w:t>
      </w:r>
      <w:r>
        <w:t xml:space="preserve"> </w:t>
      </w:r>
      <w:r>
        <w:t>“</w:t>
      </w:r>
      <w:r>
        <w:t>earned</w:t>
      </w:r>
      <w:r>
        <w:t>”</w:t>
      </w:r>
      <w:r>
        <w:t xml:space="preserve"> </w:t>
      </w:r>
      <w:r>
        <w:t>work through the lien filing date of 12/16/2025, leaving a gap in the lien fund analysis.</w:t>
      </w:r>
    </w:p>
    <w:p>
      <w:pPr>
        <w:numPr>
          <w:ilvl w:val="0"/>
          <w:numId w:val="2"/>
        </w:numPr>
      </w:pPr>
      <w:r>
        <w:rPr>
          <w:b/>
          <w:bCs/>
        </w:rPr>
        <w:t>Waiver of Claims</w:t>
      </w:r>
      <w:r>
        <w:t>: Argue that JAT’s waiver of claims does not retroactively negate sums already earned and unpaid as of the lien filing date.</w:t>
      </w:r>
    </w:p>
    <w:p>
      <w:pPr>
        <w:numPr>
          <w:ilvl w:val="0"/>
          <w:numId w:val="2"/>
        </w:numPr>
      </w:pPr>
      <w:r>
        <w:rPr>
          <w:b/>
          <w:bCs/>
        </w:rPr>
        <w:t>Incomplete Payment Evidence</w:t>
      </w:r>
      <w:r>
        <w:t>: Highlight the lack of bank confirmation for the $60,000 wire and the absence of owner/architect certificates for payments due per the 9/30 pay application.</w:t>
      </w:r>
    </w:p>
    <w:p>
      <w:pPr>
        <w:numPr>
          <w:ilvl w:val="0"/>
          <w:numId w:val="2"/>
        </w:numPr>
      </w:pPr>
      <w:r>
        <w:rPr>
          <w:b/>
          <w:bCs/>
        </w:rPr>
        <w:t>Termination Letter Characterization</w:t>
      </w:r>
      <w:r>
        <w:t>: Undermine reliance on the AIA framework by noting the owner’s characterization of the agreement as an</w:t>
      </w:r>
      <w:r>
        <w:t xml:space="preserve"> </w:t>
      </w:r>
      <w:r>
        <w:t>“</w:t>
      </w:r>
      <w:r>
        <w:t>unsigned proposal contract.</w:t>
      </w:r>
      <w:r>
        <w:t>”</w:t>
      </w:r>
    </w:p>
    <w:p>
      <w:pPr>
        <w:numPr>
          <w:ilvl w:val="0"/>
          <w:numId w:val="2"/>
        </w:numPr>
      </w:pPr>
      <w:r>
        <w:rPr>
          <w:b/>
          <w:bCs/>
        </w:rPr>
        <w:t>No Articulation of Offsets/Backcharges</w:t>
      </w:r>
      <w:r>
        <w:t>: Criticize the lack of itemization for offsets or backcharges used to claim</w:t>
      </w:r>
      <w:r>
        <w:t xml:space="preserve"> </w:t>
      </w:r>
      <w:r>
        <w:t>“</w:t>
      </w:r>
      <w:r>
        <w:t>overpayment.</w:t>
      </w:r>
      <w:r>
        <w:t>”</w:t>
      </w:r>
    </w:p>
    <w:p>
      <w:pPr>
        <w:numPr>
          <w:ilvl w:val="0"/>
          <w:numId w:val="2"/>
        </w:numPr>
      </w:pPr>
      <w:r>
        <w:rPr>
          <w:b/>
          <w:bCs/>
        </w:rPr>
        <w:t>Mechanic’s Lien Alignment</w:t>
      </w:r>
      <w:r>
        <w:t>: Emphasize the absence of architect certifications to rebut the mechanic’s lien claims.</w:t>
      </w:r>
    </w:p>
    <w:p>
      <w:pPr>
        <w:pStyle w:val="FirstParagraph"/>
      </w:pPr>
      <w:r>
        <w:t>Ensure the affirmation is structured logically, with clear headings for each point, and includes any necessary legal citations or references to the document’s content.</w:t>
      </w:r>
    </w:p>
    <w:p>
      <w:pPr>
        <w:pStyle w:val="BodyText"/>
      </w:pPr>
      <w:r>
        <w:rPr>
          <w:b/>
          <w:bCs/>
        </w:rPr>
        <w:t>Files:</w:t>
      </w:r>
    </w:p>
    <w:p>
      <w:pPr>
        <w:pStyle w:val="Compact"/>
        <w:numPr>
          <w:ilvl w:val="0"/>
          <w:numId w:val="3"/>
        </w:numPr>
      </w:pPr>
      <w:hyperlink r:id="rId4">
        <w:r>
          <w:rPr>
            <w:rStyle w:val="Hyperlink"/>
          </w:rPr>
          <w:t>Condensed Super Combo Binder1.pdf</w:t>
        </w:r>
      </w:hyperlink>
    </w:p>
    <w:p>
      <w:r>
        <w:pict>
          <v:rect id="_x0000_i1026" style="width:0;height:1.5pt" o:hralign="center" o:hrstd="t" o:hr="t"/>
        </w:pict>
      </w:r>
    </w:p>
    <w:p>
      <w:pPr>
        <w:pStyle w:val="FirstParagraph"/>
      </w:pPr>
      <w:r>
        <w:rPr>
          <w:b/>
          <w:bCs/>
        </w:rPr>
        <w:t>Result:</w:t>
      </w:r>
    </w:p>
    <w:p>
      <w:pPr>
        <w:pStyle w:val="BodyText"/>
      </w:pPr>
      <w:r>
        <w:t>SUPREME COURT OF THE STATE OF NEW YORK</w:t>
      </w:r>
      <w:r>
        <w:t xml:space="preserve"> </w:t>
      </w:r>
      <w:r>
        <w:t>COUNTY OF KINGS</w:t>
      </w:r>
    </w:p>
    <w:p>
      <w:pPr>
        <w:pStyle w:val="BodyText"/>
      </w:pPr>
      <w:r>
        <w:t>Marine Bulkheading, Inc., Plaintiff,</w:t>
      </w:r>
      <w:r>
        <w:t xml:space="preserve"> </w:t>
      </w:r>
      <w:r>
        <w:t>-against-</w:t>
      </w:r>
      <w:r>
        <w:t xml:space="preserve"> </w:t>
      </w:r>
      <w:r>
        <w:t>JAT Construction Group Inc., 402 Avenue T LLC, and</w:t>
      </w:r>
      <w:r>
        <w:t xml:space="preserve"> </w:t>
      </w:r>
      <w:r>
        <w:t>“</w:t>
      </w:r>
      <w:r>
        <w:t>John Doe,</w:t>
      </w:r>
      <w:r>
        <w:t>”</w:t>
      </w:r>
      <w:r>
        <w:t xml:space="preserve"> </w:t>
      </w:r>
      <w:r>
        <w:t>Defendants.</w:t>
      </w:r>
    </w:p>
    <w:p>
      <w:pPr>
        <w:pStyle w:val="BodyText"/>
      </w:pPr>
      <w:r>
        <w:t>Index No. 500420/2026</w:t>
      </w:r>
    </w:p>
    <w:p>
      <w:pPr>
        <w:pStyle w:val="BodyText"/>
      </w:pPr>
      <w:r>
        <w:t>AFFIRMATION OF [NAME], ESQ. IN OPPOSITION TO MOTION TO DISMISS</w:t>
      </w:r>
    </w:p>
    <w:p>
      <w:pPr>
        <w:pStyle w:val="BodyText"/>
      </w:pPr>
      <w:r>
        <w:t>I, [Name], an attorney duly admitted to practice in the Courts of the State of New York, affirm the following under penalties of perjury:</w:t>
      </w:r>
    </w:p>
    <w:bookmarkStart w:id="0" w:name="preliminary-statement"/>
    <w:p>
      <w:pPr>
        <w:pStyle w:val="Heading2"/>
      </w:pPr>
      <w:r>
        <w:t>Preliminary Statement</w:t>
      </w:r>
    </w:p>
    <w:p>
      <w:pPr>
        <w:pStyle w:val="Compact"/>
        <w:numPr>
          <w:ilvl w:val="0"/>
          <w:numId w:val="4"/>
        </w:numPr>
      </w:pPr>
      <w:r>
        <w:t>I submit this affirmation on behalf of Plaintiff Marine Bulkheading, Inc. in opposition to 402 Avenue T LLC’s Motion to Dismiss. The motion leans heavily on the declaration of JAT’s president, John Longardo, and an AIA A101 form, to argue the absence of a lien fund and to defeat Plaintiff’s claims as a matter of law. As shown below, material vulnerabilities and inconsistencies in the movant’s submissions preclude dismissal, including: uncertainty as to the governing contract and payment framework; conclusory</w:t>
      </w:r>
      <w:r>
        <w:t xml:space="preserve"> </w:t>
      </w:r>
      <w:r>
        <w:t>“</w:t>
      </w:r>
      <w:r>
        <w:t>overpayment</w:t>
      </w:r>
      <w:r>
        <w:t>”</w:t>
      </w:r>
      <w:r>
        <w:t xml:space="preserve"> </w:t>
      </w:r>
      <w:r>
        <w:t>assertions that conflict with JAT’s own AIA pay application; missing project-close accounting through the 12/16/2025 lien date; an improper attempt to use a subcontractor’s waiver to retroactively annul sums earned and unpaid as of the lien filing; incomplete proof of payments and approvals; a termination letter that itself characterizes the operative agreement as an</w:t>
      </w:r>
      <w:r>
        <w:t xml:space="preserve"> </w:t>
      </w:r>
      <w:r>
        <w:t>“</w:t>
      </w:r>
      <w:r>
        <w:t>unsigned proposal contract;</w:t>
      </w:r>
      <w:r>
        <w:t>”</w:t>
      </w:r>
      <w:r>
        <w:t xml:space="preserve"> </w:t>
      </w:r>
      <w:r>
        <w:t>the absence of any articulated offsets/backcharges; and no architect certifications rebuffing the lien claims.</w:t>
      </w:r>
    </w:p>
    <w:bookmarkEnd w:id="0"/>
    <w:bookmarkStart w:id="1" w:name="X1efcabe0df22f40da5647fc17f93aca641d7627"/>
    <w:p>
      <w:pPr>
        <w:pStyle w:val="Heading2"/>
      </w:pPr>
      <w:r>
        <w:t>I. Contract Formation Uncertainty and Payment Framework Incongruity</w:t>
      </w:r>
    </w:p>
    <w:p>
      <w:pPr>
        <w:pStyle w:val="Compact"/>
        <w:numPr>
          <w:ilvl w:val="0"/>
          <w:numId w:val="5"/>
        </w:numPr>
      </w:pPr>
      <w:r>
        <w:t>Movants proffer the AIA A101-2017 as the</w:t>
      </w:r>
      <w:r>
        <w:t xml:space="preserve"> </w:t>
      </w:r>
      <w:r>
        <w:t>“</w:t>
      </w:r>
      <w:r>
        <w:t>prime agreement</w:t>
      </w:r>
      <w:r>
        <w:t>”</w:t>
      </w:r>
      <w:r>
        <w:t xml:space="preserve"> </w:t>
      </w:r>
      <w:r>
        <w:t>while simultaneously relying on a December 3, 2025 owner termination letter that expressly references</w:t>
      </w:r>
      <w:r>
        <w:t xml:space="preserve"> </w:t>
      </w:r>
      <w:r>
        <w:t>“</w:t>
      </w:r>
      <w:r>
        <w:t>that certain unsigned proposal contract.</w:t>
      </w:r>
      <w:r>
        <w:t>”</w:t>
      </w:r>
      <w:r>
        <w:t xml:space="preserve"> </w:t>
      </w:r>
      <w:r>
        <w:t>The Declaration annexes an AIA A101-2017 executed by Owner and JAT dated as of September 2, 2025 . The Owner’s December 3, 2025 termination notice to JAT states:</w:t>
      </w:r>
      <w:r>
        <w:t xml:space="preserve"> </w:t>
      </w:r>
      <w:r>
        <w:t>“</w:t>
      </w:r>
      <w:r>
        <w:t>Reference is hereby made to that certain unsigned proposal contract by JAT Construction Group annexed hereto (the</w:t>
      </w:r>
      <w:r>
        <w:t xml:space="preserve"> </w:t>
      </w:r>
      <w:r>
        <w:t>‘</w:t>
      </w:r>
      <w:r>
        <w:t>Contract</w:t>
      </w:r>
      <w:r>
        <w:t>’</w:t>
      </w:r>
      <w:r>
        <w:t>).</w:t>
      </w:r>
      <w:r>
        <w:t>”</w:t>
      </w:r>
      <w:r>
        <w:t xml:space="preserve"> </w:t>
      </w:r>
      <w:r>
        <w:t>. These conflicting documents inject uncertainty about the governing agreement and payment terms, undermining any definitive lien-fund conclusion at the pleading stage.</w:t>
      </w:r>
    </w:p>
    <w:bookmarkEnd w:id="1"/>
    <w:bookmarkStart w:id="2" w:name="X821bc74be69dd1c979bdbe2948bf245583318e6"/>
    <w:p>
      <w:pPr>
        <w:pStyle w:val="Heading2"/>
      </w:pPr>
      <w:r>
        <w:t>II.</w:t>
      </w:r>
      <w:r>
        <w:t xml:space="preserve"> </w:t>
      </w:r>
      <w:r>
        <w:t>“</w:t>
      </w:r>
      <w:r>
        <w:t>Overpayment</w:t>
      </w:r>
      <w:r>
        <w:t>”</w:t>
      </w:r>
      <w:r>
        <w:t xml:space="preserve"> </w:t>
      </w:r>
      <w:r>
        <w:t>Assertions Conflict with JAT’s Own AIA Pay Application</w:t>
      </w:r>
    </w:p>
    <w:p>
      <w:pPr>
        <w:pStyle w:val="Compact"/>
        <w:numPr>
          <w:ilvl w:val="0"/>
          <w:numId w:val="6"/>
        </w:numPr>
      </w:pPr>
      <w:r>
        <w:t>Mr. Longardo asserts JAT was</w:t>
      </w:r>
      <w:r>
        <w:t xml:space="preserve"> </w:t>
      </w:r>
      <w:r>
        <w:t>“</w:t>
      </w:r>
      <w:r>
        <w:t>paid in full</w:t>
      </w:r>
      <w:r>
        <w:t>”</w:t>
      </w:r>
      <w:r>
        <w:t xml:space="preserve"> </w:t>
      </w:r>
      <w:r>
        <w:t>and</w:t>
      </w:r>
      <w:r>
        <w:t xml:space="preserve"> </w:t>
      </w:r>
      <w:r>
        <w:t>“</w:t>
      </w:r>
      <w:r>
        <w:t>overpaid,</w:t>
      </w:r>
      <w:r>
        <w:t>”</w:t>
      </w:r>
      <w:r>
        <w:t xml:space="preserve"> </w:t>
      </w:r>
      <w:r>
        <w:t>largely due to mobilization entries. But JAT’s AIA Application and Certificate for Payment contradicts that narrative. JAT’s AIA application through 9/30/2025 shows $504,147.40</w:t>
      </w:r>
      <w:r>
        <w:t xml:space="preserve"> </w:t>
      </w:r>
      <w:r>
        <w:t>“</w:t>
      </w:r>
      <w:r>
        <w:t>Total Completed &amp; Stored to Date,</w:t>
      </w:r>
      <w:r>
        <w:t>”</w:t>
      </w:r>
      <w:r>
        <w:t xml:space="preserve"> </w:t>
      </w:r>
      <w:r>
        <w:t>including $346,047.40 for</w:t>
      </w:r>
      <w:r>
        <w:t xml:space="preserve"> </w:t>
      </w:r>
      <w:r>
        <w:t>“</w:t>
      </w:r>
      <w:r>
        <w:t>Mobilization</w:t>
      </w:r>
      <w:r>
        <w:t>”</w:t>
      </w:r>
      <w:r>
        <w:t xml:space="preserve"> </w:t>
      </w:r>
      <w:r>
        <w:t>and other earned line items, with 10% retainage of $50,414.74, and a current payment due of $176,442.66 after prior payment of $277,290.00 . These contemporaneous AIA requisition figures reflect substantial earned work, belying blanket</w:t>
      </w:r>
      <w:r>
        <w:t xml:space="preserve"> </w:t>
      </w:r>
      <w:r>
        <w:t>“</w:t>
      </w:r>
      <w:r>
        <w:t>overpayment</w:t>
      </w:r>
      <w:r>
        <w:t>”</w:t>
      </w:r>
      <w:r>
        <w:t xml:space="preserve"> </w:t>
      </w:r>
      <w:r>
        <w:t>claims premised on mobilization alone.</w:t>
      </w:r>
    </w:p>
    <w:bookmarkEnd w:id="2"/>
    <w:bookmarkStart w:id="3" w:name="Xa0d98940c62cb57731a398bccfd0198c4889637"/>
    <w:p>
      <w:pPr>
        <w:pStyle w:val="Heading2"/>
      </w:pPr>
      <w:r>
        <w:t>III. Absence of Project-Close Accounting Through the 12/16/2025 Lien Date</w:t>
      </w:r>
    </w:p>
    <w:p>
      <w:pPr>
        <w:pStyle w:val="Compact"/>
        <w:numPr>
          <w:ilvl w:val="0"/>
          <w:numId w:val="7"/>
        </w:numPr>
      </w:pPr>
      <w:r>
        <w:t>The motion supplies no reconciliation tying JAT’s values earned to payments actually made and approved through the lien filing date. While the declaration lists two checks totaling $277,290.00 on 9/4/2025 and a scheduled wire of $60,000.00 on 11/3/2025, it does not present a complete earned-versus-paid accounting through 12/16/2025, nor any architect/owner certifications closing out the September application line items . Without a period-close reconciliation, the</w:t>
      </w:r>
      <w:r>
        <w:t xml:space="preserve"> </w:t>
      </w:r>
      <w:r>
        <w:t>“</w:t>
      </w:r>
      <w:r>
        <w:t>no lien fund</w:t>
      </w:r>
      <w:r>
        <w:t>”</w:t>
      </w:r>
      <w:r>
        <w:t xml:space="preserve"> </w:t>
      </w:r>
      <w:r>
        <w:t>conclusion is speculative.</w:t>
      </w:r>
    </w:p>
    <w:bookmarkEnd w:id="3"/>
    <w:bookmarkStart w:id="4" w:name="Xe5d1d83f3b01c96e603ae5e01078fc1b8f3ffd5"/>
    <w:p>
      <w:pPr>
        <w:pStyle w:val="Heading2"/>
      </w:pPr>
      <w:r>
        <w:t>IV. Waiver of Claims Cannot Retroactively Negate Earned Sums Unpaid as of Lien Filing</w:t>
      </w:r>
    </w:p>
    <w:p>
      <w:pPr>
        <w:pStyle w:val="Compact"/>
        <w:numPr>
          <w:ilvl w:val="0"/>
          <w:numId w:val="8"/>
        </w:numPr>
      </w:pPr>
      <w:r>
        <w:t>The declaration states JAT</w:t>
      </w:r>
      <w:r>
        <w:t xml:space="preserve"> </w:t>
      </w:r>
      <w:r>
        <w:t>“</w:t>
      </w:r>
      <w:r>
        <w:t>waives any present claim for payment</w:t>
      </w:r>
      <w:r>
        <w:t>”</w:t>
      </w:r>
      <w:r>
        <w:t xml:space="preserve"> </w:t>
      </w:r>
      <w:r>
        <w:t>and was</w:t>
      </w:r>
      <w:r>
        <w:t xml:space="preserve"> </w:t>
      </w:r>
      <w:r>
        <w:t>“</w:t>
      </w:r>
      <w:r>
        <w:t>overpaid</w:t>
      </w:r>
      <w:r>
        <w:t>”</w:t>
      </w:r>
      <w:r>
        <w:t xml:space="preserve"> </w:t>
      </w:r>
      <w:r>
        <w:t>due to mobilization. The declaration asserts that JAT</w:t>
      </w:r>
      <w:r>
        <w:t xml:space="preserve"> </w:t>
      </w:r>
      <w:r>
        <w:t>“</w:t>
      </w:r>
      <w:r>
        <w:t>was paid in full and, in fact, was overpaid,</w:t>
      </w:r>
      <w:r>
        <w:t>”</w:t>
      </w:r>
      <w:r>
        <w:t xml:space="preserve"> </w:t>
      </w:r>
      <w:r>
        <w:t>and that</w:t>
      </w:r>
      <w:r>
        <w:t xml:space="preserve"> </w:t>
      </w:r>
      <w:r>
        <w:t>“</w:t>
      </w:r>
      <w:r>
        <w:t>no monies are due or owing from Owner to JAT,</w:t>
      </w:r>
      <w:r>
        <w:t>”</w:t>
      </w:r>
      <w:r>
        <w:t xml:space="preserve"> </w:t>
      </w:r>
      <w:r>
        <w:t>and that</w:t>
      </w:r>
      <w:r>
        <w:t xml:space="preserve"> </w:t>
      </w:r>
      <w:r>
        <w:t>“</w:t>
      </w:r>
      <w:r>
        <w:t>JAT hereby waives and relinquishes any present claim for payment against Owner</w:t>
      </w:r>
      <w:r>
        <w:t>”</w:t>
      </w:r>
      <w:r>
        <w:t xml:space="preserve"> </w:t>
      </w:r>
      <w:r>
        <w:t>. A contractor’s unilateral waiver after termination cannot retroactively erase a lien fund where contract sums were earned and remained unpaid as of 12/16/2025. The motion provides no evidence that all AIA-certified values through 9/30/2025 were fully funded net of retainage and approvals by the lien date.</w:t>
      </w:r>
    </w:p>
    <w:bookmarkEnd w:id="4"/>
    <w:bookmarkStart w:id="5" w:name="Xa5f201a0c3f4e7ab917468741543cc683c6c750"/>
    <w:p>
      <w:pPr>
        <w:pStyle w:val="Heading2"/>
      </w:pPr>
      <w:r>
        <w:t>V. Incomplete Payment Evidence and Missing Certifications</w:t>
      </w:r>
    </w:p>
    <w:p>
      <w:pPr>
        <w:numPr>
          <w:ilvl w:val="0"/>
          <w:numId w:val="9"/>
        </w:numPr>
      </w:pPr>
      <w:r>
        <w:t>The payment record is incomplete and lacks corroboration of approval and certification.</w:t>
      </w:r>
    </w:p>
    <w:p>
      <w:pPr>
        <w:numPr>
          <w:ilvl w:val="1"/>
          <w:numId w:val="10"/>
        </w:numPr>
      </w:pPr>
      <w:r>
        <w:t>The September 4, 2025 payments are shown via two checks totaling $277,290.00 from JG Acquisitions LLC to JAT .</w:t>
      </w:r>
    </w:p>
    <w:p>
      <w:pPr>
        <w:numPr>
          <w:ilvl w:val="1"/>
          <w:numId w:val="10"/>
        </w:numPr>
      </w:pPr>
      <w:r>
        <w:t>The purported $60,000.00 wire is a</w:t>
      </w:r>
      <w:r>
        <w:t xml:space="preserve"> </w:t>
      </w:r>
      <w:r>
        <w:t>“</w:t>
      </w:r>
      <w:r>
        <w:t>scheduled</w:t>
      </w:r>
      <w:r>
        <w:t>”</w:t>
      </w:r>
      <w:r>
        <w:t xml:space="preserve"> </w:t>
      </w:r>
      <w:r>
        <w:t>wire confirmation reflecting status</w:t>
      </w:r>
      <w:r>
        <w:t xml:space="preserve"> </w:t>
      </w:r>
      <w:r>
        <w:t>“</w:t>
      </w:r>
      <w:r>
        <w:t>Needs approval,</w:t>
      </w:r>
      <w:r>
        <w:t>”</w:t>
      </w:r>
      <w:r>
        <w:t xml:space="preserve"> </w:t>
      </w:r>
      <w:r>
        <w:t>not bank confirmation of execution/settlement .</w:t>
      </w:r>
    </w:p>
    <w:p>
      <w:pPr>
        <w:numPr>
          <w:ilvl w:val="1"/>
          <w:numId w:val="10"/>
        </w:numPr>
      </w:pPr>
      <w:r>
        <w:t>The AIA Application lists an</w:t>
      </w:r>
      <w:r>
        <w:t xml:space="preserve"> </w:t>
      </w:r>
      <w:r>
        <w:t>“</w:t>
      </w:r>
      <w:r>
        <w:t>Amount Certified</w:t>
      </w:r>
      <w:r>
        <w:t>”</w:t>
      </w:r>
      <w:r>
        <w:t xml:space="preserve"> </w:t>
      </w:r>
      <w:r>
        <w:t>of $504,147.40, but the Architect’s certification section is blank and unsigned .</w:t>
      </w:r>
    </w:p>
    <w:p>
      <w:pPr>
        <w:numPr>
          <w:ilvl w:val="1"/>
          <w:numId w:val="10"/>
        </w:numPr>
      </w:pPr>
      <w:r>
        <w:t>There is no owner/architect certificate for payment corresponding to the remaining balance due on the 9/30/2025 pay application.</w:t>
      </w:r>
    </w:p>
    <w:p>
      <w:pPr>
        <w:pStyle w:val="FirstParagraph"/>
      </w:pPr>
      <w:r>
        <w:t>These gaps preclude reliance on asserted payments and undermine any showing that the September application was fully funded by 12/16/2025.</w:t>
      </w:r>
    </w:p>
    <w:bookmarkEnd w:id="5"/>
    <w:bookmarkStart w:id="6" w:name="Xe20b60ad2fca2449ddf15cf13aaacc769605f66"/>
    <w:p>
      <w:pPr>
        <w:pStyle w:val="Heading2"/>
      </w:pPr>
      <w:r>
        <w:t>VI. Termination Letter Undercuts Reliance on the AIA Framework</w:t>
      </w:r>
    </w:p>
    <w:p>
      <w:pPr>
        <w:pStyle w:val="Compact"/>
        <w:numPr>
          <w:ilvl w:val="0"/>
          <w:numId w:val="11"/>
        </w:numPr>
      </w:pPr>
      <w:r>
        <w:t>Owner’s own notice describes the operative agreement with JAT as an</w:t>
      </w:r>
      <w:r>
        <w:t xml:space="preserve"> </w:t>
      </w:r>
      <w:r>
        <w:t>“</w:t>
      </w:r>
      <w:r>
        <w:t>unsigned proposal contract,</w:t>
      </w:r>
      <w:r>
        <w:t>”</w:t>
      </w:r>
      <w:r>
        <w:t xml:space="preserve"> </w:t>
      </w:r>
      <w:r>
        <w:t>not the executed AIA that movants otherwise invoke. The December 3, 2025 notice states</w:t>
      </w:r>
      <w:r>
        <w:t xml:space="preserve"> </w:t>
      </w:r>
      <w:r>
        <w:t>“</w:t>
      </w:r>
      <w:r>
        <w:t>unsigned proposal contract,</w:t>
      </w:r>
      <w:r>
        <w:t>”</w:t>
      </w:r>
      <w:r>
        <w:t xml:space="preserve"> </w:t>
      </w:r>
      <w:r>
        <w:t>and sets termination effective 12/5/2025 . This inconsistency raises a threshold factual dispute as to the controlling payment terms, including approvals, retainage, and certification mechanics.</w:t>
      </w:r>
    </w:p>
    <w:bookmarkEnd w:id="6"/>
    <w:bookmarkStart w:id="7" w:name="X78ba01669f3d58f0d1a4ecbabba798f1d796723"/>
    <w:p>
      <w:pPr>
        <w:pStyle w:val="Heading2"/>
      </w:pPr>
      <w:r>
        <w:t>VII. No Articulation or Itemization of Offsets/Backcharges</w:t>
      </w:r>
    </w:p>
    <w:p>
      <w:pPr>
        <w:pStyle w:val="Compact"/>
        <w:numPr>
          <w:ilvl w:val="0"/>
          <w:numId w:val="12"/>
        </w:numPr>
      </w:pPr>
      <w:r>
        <w:t>The motion offers no itemized offsets, backcharges, or completion costs to support an</w:t>
      </w:r>
      <w:r>
        <w:t xml:space="preserve"> </w:t>
      </w:r>
      <w:r>
        <w:t>“</w:t>
      </w:r>
      <w:r>
        <w:t>overpayment</w:t>
      </w:r>
      <w:r>
        <w:t>”</w:t>
      </w:r>
      <w:r>
        <w:t xml:space="preserve"> </w:t>
      </w:r>
      <w:r>
        <w:t>conclusion. The declaration provides no line-item offsets/backcharges or reconciliation against the schedule of values to demonstrate that the $337,290.00 was applied to specific earned items and that no net balance remained due as of 12/16/2025 . Absent a quantified offset schedule, the</w:t>
      </w:r>
      <w:r>
        <w:t xml:space="preserve"> </w:t>
      </w:r>
      <w:r>
        <w:t>“</w:t>
      </w:r>
      <w:r>
        <w:t>overpayment</w:t>
      </w:r>
      <w:r>
        <w:t>”</w:t>
      </w:r>
      <w:r>
        <w:t xml:space="preserve"> </w:t>
      </w:r>
      <w:r>
        <w:t>assertion is conclusory.</w:t>
      </w:r>
    </w:p>
    <w:bookmarkEnd w:id="7"/>
    <w:bookmarkStart w:id="8" w:name="X145815e51d71e36123b6aef3ad1deabca9028dc"/>
    <w:p>
      <w:pPr>
        <w:pStyle w:val="Heading2"/>
      </w:pPr>
      <w:r>
        <w:t>VIII. Mechanic’s Lien Alignment and Missing Architect Certifications</w:t>
      </w:r>
    </w:p>
    <w:p>
      <w:pPr>
        <w:pStyle w:val="Compact"/>
        <w:numPr>
          <w:ilvl w:val="0"/>
          <w:numId w:val="13"/>
        </w:numPr>
      </w:pPr>
      <w:r>
        <w:t>The lien aligns with subcontract work performed through 12/4/2025 and was filed on 12/16/2025. Marine’s Notice of Mechanic’s Lien states labor/materials for foundation, superstructure, and foundation waterproofing, with first work around 10/1/2025 and last work around 12/4/2025, and claims $361,080.00 unpaid of an $854,700.00 agreed value . No architect certifications or owner-issued denials are submitted to rebut the earned amounts reflected in JAT’s own 9/30/2025 AIA application. On this record, the derivative lien rights cannot be extinguished via conclusory affiant say-so.</w:t>
      </w:r>
    </w:p>
    <w:bookmarkEnd w:id="8"/>
    <w:bookmarkStart w:id="9" w:name="Xe3d3bfe9ea8311fb3439cf0015a5716dd62e854"/>
    <w:p>
      <w:pPr>
        <w:pStyle w:val="Heading2"/>
      </w:pPr>
      <w:r>
        <w:t>IX. Marine’s Pay Application and Waiver Confirm Earned Work, Not</w:t>
      </w:r>
      <w:r>
        <w:t xml:space="preserve"> </w:t>
      </w:r>
      <w:r>
        <w:t>“</w:t>
      </w:r>
      <w:r>
        <w:t>Overpayment</w:t>
      </w:r>
      <w:r>
        <w:t>”</w:t>
      </w:r>
    </w:p>
    <w:p>
      <w:pPr>
        <w:pStyle w:val="Compact"/>
        <w:numPr>
          <w:ilvl w:val="0"/>
          <w:numId w:val="14"/>
        </w:numPr>
      </w:pPr>
      <w:r>
        <w:t>Marine’s contemporaneous documents show substantial progress through 9/30/2025. Marine invoiced JAT $121,500.00 on 9/25/2025 for mobilization and material deposit for SOE/Foundation . Marine executed an</w:t>
      </w:r>
      <w:r>
        <w:t xml:space="preserve"> </w:t>
      </w:r>
      <w:r>
        <w:t>“</w:t>
      </w:r>
      <w:r>
        <w:t>Unconditional Waiver and Release on Progress Payment</w:t>
      </w:r>
      <w:r>
        <w:t>”</w:t>
      </w:r>
      <w:r>
        <w:t xml:space="preserve"> </w:t>
      </w:r>
      <w:r>
        <w:t>in the amount of $121,500.00, expressly limited</w:t>
      </w:r>
      <w:r>
        <w:t xml:space="preserve"> </w:t>
      </w:r>
      <w:r>
        <w:t>“</w:t>
      </w:r>
      <w:r>
        <w:t>up to period end date only of 9/30/25</w:t>
      </w:r>
      <w:r>
        <w:t>”</w:t>
      </w:r>
      <w:r>
        <w:t xml:space="preserve"> </w:t>
      </w:r>
      <w:r>
        <w:t>. The limited waiver does not extinguish sums earned after 9/30/2025 or unpaid balances outstanding as of the 12/16/2025 lien filing.</w:t>
      </w:r>
    </w:p>
    <w:bookmarkEnd w:id="9"/>
    <w:bookmarkStart w:id="10" w:name="X13c7f53706b8dfbfb8ddee6fb97548b7373eebd"/>
    <w:p>
      <w:pPr>
        <w:pStyle w:val="Heading2"/>
      </w:pPr>
      <w:r>
        <w:t>X. The Motion’s Reliance on JAT’s Post-Termination Waiver Is Misplaced</w:t>
      </w:r>
    </w:p>
    <w:p>
      <w:pPr>
        <w:pStyle w:val="Compact"/>
        <w:numPr>
          <w:ilvl w:val="0"/>
          <w:numId w:val="15"/>
        </w:numPr>
      </w:pPr>
      <w:r>
        <w:t>Movants rely on JAT’s post-termination waiver to argue no lien fund existed. JAT’s declaration states it</w:t>
      </w:r>
      <w:r>
        <w:t xml:space="preserve"> </w:t>
      </w:r>
      <w:r>
        <w:t>“</w:t>
      </w:r>
      <w:r>
        <w:t>waives and relinquishes any present claim for payment against Owner</w:t>
      </w:r>
      <w:r>
        <w:t>”</w:t>
      </w:r>
      <w:r>
        <w:t xml:space="preserve"> </w:t>
      </w:r>
      <w:r>
        <w:t>and was</w:t>
      </w:r>
      <w:r>
        <w:t xml:space="preserve"> </w:t>
      </w:r>
      <w:r>
        <w:t>“</w:t>
      </w:r>
      <w:r>
        <w:t>overpaid based on the mobilization charges it received</w:t>
      </w:r>
      <w:r>
        <w:t>”</w:t>
      </w:r>
      <w:r>
        <w:t xml:space="preserve"> </w:t>
      </w:r>
      <w:r>
        <w:t>. That self-serving, after-the-fact waiver does not resolve whether, as of 12/16/2025, sums earned under the governing pay application(s) and schedule of values remained unpaid by Owner to JAT, the only question relevant to the derivative lien fund. The record lacks the necessary final reconciliation and certifications.</w:t>
      </w:r>
    </w:p>
    <w:bookmarkEnd w:id="10"/>
    <w:bookmarkStart w:id="11" w:name="conclusion"/>
    <w:p>
      <w:pPr>
        <w:pStyle w:val="Heading2"/>
      </w:pPr>
      <w:r>
        <w:t>Conclusion</w:t>
      </w:r>
    </w:p>
    <w:p>
      <w:pPr>
        <w:pStyle w:val="Compact"/>
        <w:numPr>
          <w:ilvl w:val="0"/>
          <w:numId w:val="16"/>
        </w:numPr>
      </w:pPr>
      <w:r>
        <w:t>The motion should be denied. The submissions contain material inconsistencies regarding contract formation, fail to reconcile earned work through the lien date, and rest on conclusory</w:t>
      </w:r>
      <w:r>
        <w:t xml:space="preserve"> </w:t>
      </w:r>
      <w:r>
        <w:t>“</w:t>
      </w:r>
      <w:r>
        <w:t>overpayment</w:t>
      </w:r>
      <w:r>
        <w:t>”</w:t>
      </w:r>
      <w:r>
        <w:t xml:space="preserve"> </w:t>
      </w:r>
      <w:r>
        <w:t>assertions unbacked by itemized offsets, executed payment proofs, and architect/owner certifications. At minimum, these issues present fact questions inappropriate for CPLR 3211 dismissal.</w:t>
      </w:r>
    </w:p>
    <w:p>
      <w:pPr>
        <w:pStyle w:val="FirstParagraph"/>
      </w:pPr>
      <w:r>
        <w:t>Dated: [April 24, 2026]</w:t>
      </w:r>
      <w:r>
        <w:t xml:space="preserve"> </w:t>
      </w:r>
      <w:r>
        <w:t>[City], New York</w:t>
      </w:r>
    </w:p>
    <w:p>
      <w:pPr>
        <w:pStyle w:val="BodyText"/>
      </w:pPr>
      <w:r>
        <w:t>[Name], Esq.</w:t>
      </w:r>
      <w:r>
        <w:t xml:space="preserve"> </w:t>
      </w:r>
      <w:r>
        <w:t>[Law Firm]</w:t>
      </w:r>
      <w:r>
        <w:t xml:space="preserve"> </w:t>
      </w:r>
      <w:r>
        <w:t>Attorneys for Plaintiff Marine Bulkheading, Inc.</w:t>
      </w:r>
      <w:r>
        <w:t xml:space="preserve"> </w:t>
      </w:r>
      <w:r>
        <w:t>[Address]</w:t>
      </w:r>
      <w:r>
        <w:t xml:space="preserve"> </w:t>
      </w:r>
      <w:r>
        <w:t>[Phone]</w:t>
      </w:r>
      <w:r>
        <w:t xml:space="preserve"> </w:t>
      </w:r>
      <w:r>
        <w:t>[Email]</w:t>
      </w:r>
    </w:p>
    <w:p>
      <w:pPr>
        <w:pStyle w:val="BodyText"/>
      </w:pPr>
      <w:r>
        <w:rPr>
          <w:b/>
          <w:bCs/>
        </w:rPr>
        <w:t>CoCounsel’s Draft skill uses a combination of the underlying large language model (LLM), your provided materials, and, when explicitly cited, Thomson Reuters proprietary content to generate legal and non-legal documents. Any citations, including hyperlinked citations to Thomson Reuters content, should be independently verified. As a legal professional, you are ultimately responsible for ensuring the final work is accurate and does not misrepresent the law.</w:t>
      </w:r>
    </w:p>
    <w:bookmarkEnd w:id="11"/>
    <w:sectPr>
      <w:headerReference w:type="even" r:id="rId5"/>
      <w:headerReference w:type="default" r:id="rId6"/>
      <w:footerReference w:type="even" r:id="rId7"/>
      <w:footerReference w:type="default" r:id="rId8"/>
      <w:headerReference w:type="first" r:id="rId9"/>
      <w:footerReference w:type="first" r:id="rId10"/>
      <w:endnotePr>
        <w:numFmt w:val="decimal"/>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Style w:val="PageNumber"/>
      </w:rPr>
      <w:id w:val="-40450920"/>
      <w:docPartObj>
        <w:docPartGallery w:val="Page Numbers (Bottom of Page)"/>
        <w:docPartUnique/>
      </w:docPartObj>
    </w:sdtPr>
    <w:sdtContent>
      <w:p w:rsidR="0087487C" w:rsidP="006D4292" w14:paraId="5B9F6C67" w14:textId="5F2EFA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87487C" w:rsidP="0087487C" w14:paraId="1FD193F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Style w:val="PageNumber"/>
      </w:rPr>
      <w:id w:val="1144162695"/>
      <w:docPartObj>
        <w:docPartGallery w:val="Page Numbers (Bottom of Page)"/>
        <w:docPartUnique/>
      </w:docPartObj>
    </w:sdtPr>
    <w:sdtContent>
      <w:p w:rsidR="0087487C" w:rsidP="006D4292" w14:paraId="77CB3C9C" w14:textId="56CED7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6F6091" w:rsidP="0087487C" w14:paraId="313C2092" w14:textId="2EC5DD65">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87C" w14:paraId="10BAB28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87C" w14:paraId="24AD60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87C" w14:paraId="418B199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87C" w14:paraId="6507D74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A990"/>
    <w:multiLevelType w:val="multilevel"/>
    <w:tmpl w:val="00000000"/>
    <w:lvl w:ilvl="0">
      <w:start w:val="0"/>
      <w:numFmt w:val="bullet"/>
      <w:lvlText w:val=" "/>
      <w:lvlJc w:val="left"/>
      <w:pPr>
        <w:ind w:left="720" w:hanging="480"/>
      </w:pPr>
    </w:lvl>
    <w:lvl w:ilvl="1">
      <w:start w:val="0"/>
      <w:numFmt w:val="bullet"/>
      <w:lvlText w:val=" "/>
      <w:lvlJc w:val="left"/>
      <w:pPr>
        <w:ind w:left="1440" w:hanging="480"/>
      </w:pPr>
    </w:lvl>
    <w:lvl w:ilvl="2">
      <w:start w:val="0"/>
      <w:numFmt w:val="bullet"/>
      <w:lvlText w:val=" "/>
      <w:lvlJc w:val="left"/>
      <w:pPr>
        <w:ind w:left="2160" w:hanging="480"/>
      </w:pPr>
    </w:lvl>
    <w:lvl w:ilvl="3">
      <w:start w:val="0"/>
      <w:numFmt w:val="bullet"/>
      <w:lvlText w:val=" "/>
      <w:lvlJc w:val="left"/>
      <w:pPr>
        <w:ind w:left="2880" w:hanging="480"/>
      </w:pPr>
    </w:lvl>
    <w:lvl w:ilvl="4">
      <w:start w:val="0"/>
      <w:numFmt w:val="bullet"/>
      <w:lvlText w:val=" "/>
      <w:lvlJc w:val="left"/>
      <w:pPr>
        <w:ind w:left="3600" w:hanging="480"/>
      </w:pPr>
    </w:lvl>
    <w:lvl w:ilvl="5">
      <w:start w:val="0"/>
      <w:numFmt w:val="bullet"/>
      <w:lvlText w:val=" "/>
      <w:lvlJc w:val="left"/>
      <w:pPr>
        <w:ind w:left="4320" w:hanging="480"/>
      </w:pPr>
    </w:lvl>
    <w:lvl w:ilvl="6">
      <w:start w:val="0"/>
      <w:numFmt w:val="bullet"/>
      <w:lvlText w:val=" "/>
      <w:lvlJc w:val="left"/>
      <w:pPr>
        <w:ind w:left="5040" w:hanging="480"/>
      </w:pPr>
    </w:lvl>
    <w:lvl w:ilvl="7">
      <w:start w:val="0"/>
      <w:numFmt w:val="bullet"/>
      <w:lvlText w:val=" "/>
      <w:lvlJc w:val="left"/>
      <w:pPr>
        <w:ind w:left="5760" w:hanging="480"/>
      </w:pPr>
    </w:lvl>
    <w:lvl w:ilvl="8">
      <w:start w:val="0"/>
      <w:numFmt w:val="bullet"/>
      <w:lvlText w:val=" "/>
      <w:lvlJc w:val="left"/>
      <w:pPr>
        <w:ind w:left="6480" w:hanging="480"/>
      </w:pPr>
    </w:lvl>
  </w:abstractNum>
  <w:abstractNum w:abstractNumId="1">
    <w:nsid w:val="0000A991"/>
    <w:multiLevelType w:val="multilevel"/>
    <w:tmpl w:val="00000000"/>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abstractNum w:abstractNumId="2">
    <w:nsid w:val="00A99411"/>
    <w:multiLevelType w:val="multilevel"/>
    <w:tmpl w:val="000000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nsid w:val="00A99412"/>
    <w:multiLevelType w:val="multilevel"/>
    <w:tmpl w:val="0000000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nsid w:val="00A99413"/>
    <w:multiLevelType w:val="multilevel"/>
    <w:tmpl w:val="0000000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nsid w:val="00A99414"/>
    <w:multiLevelType w:val="multilevel"/>
    <w:tmpl w:val="0000000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nsid w:val="00A99415"/>
    <w:multiLevelType w:val="multilevel"/>
    <w:tmpl w:val="00000000"/>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nsid w:val="00A99416"/>
    <w:multiLevelType w:val="multilevel"/>
    <w:tmpl w:val="00000000"/>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8">
    <w:nsid w:val="00A99417"/>
    <w:multiLevelType w:val="multilevel"/>
    <w:tmpl w:val="0000000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
    <w:nsid w:val="00A99418"/>
    <w:multiLevelType w:val="multilevel"/>
    <w:tmpl w:val="00000000"/>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10">
    <w:nsid w:val="00A99419"/>
    <w:multiLevelType w:val="multilevel"/>
    <w:tmpl w:val="00000000"/>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1">
    <w:nsid w:val="00A99711"/>
    <w:multiLevelType w:val="multilevel"/>
    <w:tmpl w:val="00000000"/>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2">
    <w:nsid w:val="0A994110"/>
    <w:multiLevelType w:val="multilevel"/>
    <w:tmpl w:val="0000000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3">
    <w:nsid w:val="0A994111"/>
    <w:multiLevelType w:val="multilevel"/>
    <w:tmpl w:val="00000000"/>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14">
    <w:nsid w:val="0A994112"/>
    <w:multiLevelType w:val="multilevel"/>
    <w:tmpl w:val="00000000"/>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
    <w:abstractNumId w:val="12"/>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5">
    <w:abstractNumId w:val="1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
    <w:abstractNumId w:val="1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21"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isibleStyles="0"/>
  <w:doNotTrackMoves/>
  <w:defaultTabStop w:val="720"/>
  <w:drawingGridHorizontalSpacing w:val="360"/>
  <w:drawingGridVerticalSpacing w:val="360"/>
  <w:displayHorizontalDrawingGridEvery w:val="0"/>
  <w:displayVerticalDrawingGridEvery w:val="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91"/>
    <w:rsid w:val="0008599A"/>
    <w:rsid w:val="001541CF"/>
    <w:rsid w:val="00164562"/>
    <w:rsid w:val="001733F7"/>
    <w:rsid w:val="00197CA9"/>
    <w:rsid w:val="001A5BED"/>
    <w:rsid w:val="0022569A"/>
    <w:rsid w:val="00260315"/>
    <w:rsid w:val="0027219F"/>
    <w:rsid w:val="002A5FE9"/>
    <w:rsid w:val="002E718C"/>
    <w:rsid w:val="00370358"/>
    <w:rsid w:val="003A2914"/>
    <w:rsid w:val="003A3408"/>
    <w:rsid w:val="004423DE"/>
    <w:rsid w:val="00460A47"/>
    <w:rsid w:val="004D136E"/>
    <w:rsid w:val="004F736A"/>
    <w:rsid w:val="00507F72"/>
    <w:rsid w:val="005F0DC0"/>
    <w:rsid w:val="00606CAE"/>
    <w:rsid w:val="0069216D"/>
    <w:rsid w:val="006D4292"/>
    <w:rsid w:val="006F6091"/>
    <w:rsid w:val="0071445F"/>
    <w:rsid w:val="007A580D"/>
    <w:rsid w:val="00824763"/>
    <w:rsid w:val="0087487C"/>
    <w:rsid w:val="008D6782"/>
    <w:rsid w:val="008F01A3"/>
    <w:rsid w:val="00A10CE7"/>
    <w:rsid w:val="00A203F8"/>
    <w:rsid w:val="00C02429"/>
    <w:rsid w:val="00C42682"/>
    <w:rsid w:val="00C65777"/>
    <w:rsid w:val="00C85901"/>
    <w:rsid w:val="00CE05BB"/>
    <w:rsid w:val="00D169FC"/>
    <w:rsid w:val="00D54555"/>
    <w:rsid w:val="00D709B2"/>
    <w:rsid w:val="00E441C9"/>
    <w:rsid w:val="00F13A3B"/>
    <w:rsid w:val="00F32E7D"/>
    <w:rsid w:val="00F36162"/>
    <w:rsid w:val="00F531DA"/>
    <w:rsid w:val="00F7280F"/>
    <w:rsid w:val="00F733E7"/>
    <w:rsid w:val="00F73A27"/>
  </w:rsids>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5901"/>
    <w:rPr>
      <w:rFonts w:ascii="Aptos" w:hAnsi="Aptos"/>
    </w:rPr>
  </w:style>
  <w:style w:type="paragraph" w:styleId="Heading1">
    <w:name w:val="heading 1"/>
    <w:uiPriority w:val="9"/>
    <w:qFormat/>
    <w:rsid w:val="00C85901"/>
    <w:pPr>
      <w:keepNext/>
      <w:keepLines/>
      <w:spacing w:before="480"/>
      <w:outlineLvl w:val="0"/>
    </w:pPr>
    <w:rPr>
      <w:rFonts w:ascii="Aptos Display" w:hAnsi="Aptos Display"/>
      <w:sz w:val="36"/>
      <w:szCs w:val="48"/>
    </w:rPr>
  </w:style>
  <w:style w:type="paragraph" w:styleId="Heading2">
    <w:name w:val="heading 2"/>
    <w:uiPriority w:val="9"/>
    <w:unhideWhenUsed/>
    <w:qFormat/>
    <w:rsid w:val="00C85901"/>
    <w:pPr>
      <w:keepNext/>
      <w:keepLines/>
      <w:spacing w:before="360" w:after="80"/>
      <w:outlineLvl w:val="1"/>
    </w:pPr>
    <w:rPr>
      <w:rFonts w:ascii="Aptos Display" w:hAnsi="Aptos Display"/>
      <w:sz w:val="28"/>
      <w:szCs w:val="36"/>
    </w:rPr>
  </w:style>
  <w:style w:type="paragraph" w:styleId="Heading3">
    <w:name w:val="heading 3"/>
    <w:uiPriority w:val="9"/>
    <w:unhideWhenUsed/>
    <w:qFormat/>
    <w:rsid w:val="004D136E"/>
    <w:pPr>
      <w:keepNext/>
      <w:keepLines/>
      <w:spacing w:before="280" w:after="80"/>
      <w:outlineLvl w:val="2"/>
    </w:pPr>
    <w:rPr>
      <w:rFonts w:ascii="Aptos Display" w:hAnsi="Aptos Display"/>
      <w:color w:val="757575"/>
      <w:sz w:val="36"/>
      <w:szCs w:val="28"/>
    </w:rPr>
  </w:style>
  <w:style w:type="paragraph" w:styleId="Heading4">
    <w:name w:val="heading 4"/>
    <w:uiPriority w:val="9"/>
    <w:unhideWhenUsed/>
    <w:qFormat/>
    <w:rsid w:val="004D136E"/>
    <w:pPr>
      <w:keepNext/>
      <w:keepLines/>
      <w:spacing w:before="240" w:after="40"/>
      <w:outlineLvl w:val="3"/>
    </w:pPr>
    <w:rPr>
      <w:rFonts w:ascii="Aptos Display" w:hAnsi="Aptos Display"/>
      <w:color w:val="757575"/>
      <w:sz w:val="32"/>
      <w:szCs w:val="24"/>
    </w:rPr>
  </w:style>
  <w:style w:type="paragraph" w:styleId="Heading5">
    <w:name w:val="heading 5"/>
    <w:uiPriority w:val="9"/>
    <w:unhideWhenUsed/>
    <w:qFormat/>
    <w:rsid w:val="00C85901"/>
    <w:pPr>
      <w:keepNext/>
      <w:keepLines/>
      <w:spacing w:before="220" w:after="40"/>
      <w:outlineLvl w:val="4"/>
    </w:pPr>
    <w:rPr>
      <w:rFonts w:ascii="Aptos Display" w:hAnsi="Aptos Display"/>
      <w:b/>
    </w:rPr>
  </w:style>
  <w:style w:type="paragraph" w:styleId="Heading6">
    <w:name w:val="heading 6"/>
    <w:uiPriority w:val="9"/>
    <w:unhideWhenUsed/>
    <w:qFormat/>
    <w:rsid w:val="004D136E"/>
    <w:pPr>
      <w:keepNext/>
      <w:keepLines/>
      <w:spacing w:before="200" w:after="40"/>
      <w:outlineLvl w:val="5"/>
    </w:pPr>
    <w:rPr>
      <w:rFonts w:ascii="Aptos Display" w:hAnsi="Aptos Display"/>
      <w:i/>
      <w:color w:val="757575"/>
      <w:szCs w:val="20"/>
    </w:rPr>
  </w:style>
  <w:style w:type="paragraph" w:styleId="Heading7">
    <w:name w:val="heading 7"/>
    <w:basedOn w:val="Normal"/>
    <w:next w:val="Normal"/>
    <w:link w:val="Heading7Char"/>
    <w:uiPriority w:val="9"/>
    <w:unhideWhenUsed/>
    <w:qFormat/>
    <w:rsid w:val="004D136E"/>
    <w:pPr>
      <w:keepNext/>
      <w:keepLines/>
      <w:spacing w:before="40" w:after="0"/>
      <w:outlineLvl w:val="6"/>
    </w:pPr>
    <w:rPr>
      <w:rFonts w:ascii="Aptos Display" w:hAnsi="Aptos Display" w:eastAsiaTheme="majorEastAsia" w:cstheme="majorBidi"/>
      <w:iCs/>
      <w:color w:val="757575"/>
    </w:rPr>
  </w:style>
  <w:style w:type="paragraph" w:styleId="Heading8">
    <w:name w:val="heading 8"/>
    <w:basedOn w:val="Normal"/>
    <w:next w:val="Normal"/>
    <w:link w:val="Heading8Char"/>
    <w:uiPriority w:val="9"/>
    <w:unhideWhenUsed/>
    <w:qFormat/>
    <w:rsid w:val="00C85901"/>
    <w:pPr>
      <w:keepNext/>
      <w:keepLines/>
      <w:spacing w:before="40" w:after="0"/>
      <w:outlineLvl w:val="7"/>
    </w:pPr>
    <w:rPr>
      <w:rFonts w:ascii="Aptos Display" w:hAnsi="Aptos Display" w:eastAsiaTheme="majorEastAsia" w:cstheme="majorBidi"/>
      <w:i/>
      <w:color w:val="272727" w:themeColor="text1" w:themeTint="D8"/>
      <w:szCs w:val="21"/>
    </w:rPr>
  </w:style>
  <w:style w:type="paragraph" w:styleId="Heading9">
    <w:name w:val="heading 9"/>
    <w:basedOn w:val="Normal"/>
    <w:next w:val="Normal"/>
    <w:link w:val="Heading9Char"/>
    <w:uiPriority w:val="9"/>
    <w:unhideWhenUsed/>
    <w:qFormat/>
    <w:rsid w:val="00C85901"/>
    <w:pPr>
      <w:keepNext/>
      <w:keepLines/>
      <w:spacing w:before="40" w:after="0"/>
      <w:outlineLvl w:val="8"/>
    </w:pPr>
    <w:rPr>
      <w:rFonts w:ascii="Aptos Display" w:hAnsi="Aptos Display"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85901"/>
    <w:rPr>
      <w:b/>
      <w:color w:val="006FC4"/>
      <w:u w:val="single"/>
    </w:rPr>
  </w:style>
  <w:style w:type="table" w:styleId="TableGrid">
    <w:name w:val="Table Grid"/>
    <w:basedOn w:val="TableNormal"/>
    <w:uiPriority w:val="39"/>
    <w:rsid w:val="00F73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A27"/>
    <w:rPr>
      <w:rFonts w:ascii="Times New Roman" w:hAnsi="Times New Roman"/>
      <w:sz w:val="24"/>
    </w:rPr>
  </w:style>
  <w:style w:type="paragraph" w:styleId="Footer">
    <w:name w:val="footer"/>
    <w:basedOn w:val="Normal"/>
    <w:link w:val="FooterChar"/>
    <w:uiPriority w:val="99"/>
    <w:unhideWhenUsed/>
    <w:rsid w:val="00F73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A27"/>
    <w:rPr>
      <w:rFonts w:ascii="Times New Roman" w:hAnsi="Times New Roman"/>
      <w:sz w:val="24"/>
    </w:rPr>
  </w:style>
  <w:style w:type="paragraph" w:styleId="FootnoteText">
    <w:name w:val="footnote text"/>
    <w:basedOn w:val="Normal"/>
    <w:link w:val="FootnoteTextChar"/>
    <w:uiPriority w:val="99"/>
    <w:semiHidden/>
    <w:unhideWhenUsed/>
    <w:rsid w:val="00F73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3A27"/>
    <w:rPr>
      <w:rFonts w:ascii="Times New Roman" w:hAnsi="Times New Roman"/>
      <w:sz w:val="20"/>
      <w:szCs w:val="20"/>
    </w:rPr>
  </w:style>
  <w:style w:type="character" w:styleId="FootnoteReference">
    <w:name w:val="footnote reference"/>
    <w:basedOn w:val="DefaultParagraphFont"/>
    <w:uiPriority w:val="99"/>
    <w:semiHidden/>
    <w:unhideWhenUsed/>
    <w:rsid w:val="00F73A27"/>
    <w:rPr>
      <w:rFonts w:ascii="Times New Roman" w:hAnsi="Times New Roman"/>
      <w:sz w:val="24"/>
      <w:vertAlign w:val="superscript"/>
    </w:rPr>
  </w:style>
  <w:style w:type="paragraph" w:styleId="Title">
    <w:name w:val="Title"/>
    <w:basedOn w:val="Normal"/>
    <w:next w:val="Normal"/>
    <w:link w:val="TitleChar"/>
    <w:uiPriority w:val="10"/>
    <w:qFormat/>
    <w:rsid w:val="00C85901"/>
    <w:pPr>
      <w:spacing w:after="0" w:line="240" w:lineRule="auto"/>
      <w:contextualSpacing/>
      <w:jc w:val="center"/>
    </w:pPr>
    <w:rPr>
      <w:rFonts w:ascii="Aptos Display" w:hAnsi="Aptos Display" w:eastAsiaTheme="majorEastAsia" w:cstheme="majorBidi"/>
      <w:spacing w:val="-10"/>
      <w:kern w:val="28"/>
      <w:sz w:val="56"/>
      <w:szCs w:val="56"/>
    </w:rPr>
  </w:style>
  <w:style w:type="character" w:customStyle="1" w:styleId="TitleChar">
    <w:name w:val="Title Char"/>
    <w:basedOn w:val="DefaultParagraphFont"/>
    <w:link w:val="Title"/>
    <w:uiPriority w:val="10"/>
    <w:rsid w:val="00C85901"/>
    <w:rPr>
      <w:rFonts w:ascii="Aptos Display" w:hAnsi="Aptos Display" w:eastAsiaTheme="majorEastAsia" w:cstheme="majorBidi"/>
      <w:spacing w:val="-10"/>
      <w:kern w:val="28"/>
      <w:sz w:val="56"/>
      <w:szCs w:val="56"/>
    </w:rPr>
  </w:style>
  <w:style w:type="paragraph" w:styleId="Subtitle">
    <w:name w:val="Subtitle"/>
    <w:basedOn w:val="Normal"/>
    <w:next w:val="Normal"/>
    <w:link w:val="SubtitleChar"/>
    <w:uiPriority w:val="11"/>
    <w:qFormat/>
    <w:rsid w:val="00C85901"/>
    <w:pPr>
      <w:numPr>
        <w:ilvl w:val="1"/>
      </w:numPr>
      <w:spacing w:after="160"/>
      <w:jc w:val="center"/>
    </w:pPr>
    <w:rPr>
      <w:rFonts w:ascii="Aptos Display" w:hAnsi="Aptos Display"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C85901"/>
    <w:rPr>
      <w:rFonts w:ascii="Aptos Display" w:hAnsi="Aptos Display" w:eastAsiaTheme="minorEastAsia"/>
      <w:color w:val="5A5A5A" w:themeColor="text1" w:themeTint="A5"/>
      <w:spacing w:val="15"/>
      <w:sz w:val="22"/>
    </w:rPr>
  </w:style>
  <w:style w:type="character" w:customStyle="1" w:styleId="Heading7Char">
    <w:name w:val="Heading 7 Char"/>
    <w:basedOn w:val="DefaultParagraphFont"/>
    <w:link w:val="Heading7"/>
    <w:uiPriority w:val="9"/>
    <w:rsid w:val="004D136E"/>
    <w:rPr>
      <w:rFonts w:ascii="Aptos Display" w:hAnsi="Aptos Display" w:eastAsiaTheme="majorEastAsia" w:cstheme="majorBidi"/>
      <w:iCs/>
      <w:color w:val="757575"/>
    </w:rPr>
  </w:style>
  <w:style w:type="character" w:customStyle="1" w:styleId="Heading8Char">
    <w:name w:val="Heading 8 Char"/>
    <w:basedOn w:val="DefaultParagraphFont"/>
    <w:link w:val="Heading8"/>
    <w:uiPriority w:val="9"/>
    <w:rsid w:val="00C85901"/>
    <w:rPr>
      <w:rFonts w:ascii="Aptos Display" w:hAnsi="Aptos Display" w:eastAsiaTheme="majorEastAsia" w:cstheme="majorBidi"/>
      <w:i/>
      <w:color w:val="272727" w:themeColor="text1" w:themeTint="D8"/>
      <w:szCs w:val="21"/>
    </w:rPr>
  </w:style>
  <w:style w:type="character" w:customStyle="1" w:styleId="Heading9Char">
    <w:name w:val="Heading 9 Char"/>
    <w:basedOn w:val="DefaultParagraphFont"/>
    <w:link w:val="Heading9"/>
    <w:uiPriority w:val="9"/>
    <w:rsid w:val="00C85901"/>
    <w:rPr>
      <w:rFonts w:ascii="Aptos Display" w:hAnsi="Aptos Display" w:eastAsiaTheme="majorEastAsia" w:cstheme="majorBidi"/>
      <w:i/>
      <w:iCs/>
      <w:color w:val="272727" w:themeColor="text1" w:themeTint="D8"/>
      <w:sz w:val="21"/>
      <w:szCs w:val="21"/>
    </w:rPr>
  </w:style>
  <w:style w:type="paragraph" w:styleId="BodyText">
    <w:name w:val="Body Text"/>
    <w:basedOn w:val="Normal"/>
    <w:link w:val="BodyTextChar"/>
    <w:uiPriority w:val="99"/>
    <w:unhideWhenUsed/>
    <w:rsid w:val="00C85901"/>
  </w:style>
  <w:style w:type="character" w:customStyle="1" w:styleId="BodyTextChar">
    <w:name w:val="Body Text Char"/>
    <w:basedOn w:val="DefaultParagraphFont"/>
    <w:link w:val="BodyText"/>
    <w:uiPriority w:val="99"/>
    <w:rsid w:val="00C85901"/>
    <w:rPr>
      <w:rFonts w:ascii="Aptos" w:hAnsi="Aptos"/>
    </w:rPr>
  </w:style>
  <w:style w:type="paragraph" w:customStyle="1" w:styleId="Author">
    <w:name w:val="Author"/>
    <w:basedOn w:val="Normal"/>
    <w:qFormat/>
    <w:rsid w:val="004423DE"/>
    <w:pPr>
      <w:jc w:val="center"/>
    </w:pPr>
  </w:style>
  <w:style w:type="paragraph" w:styleId="Date">
    <w:name w:val="Date"/>
    <w:basedOn w:val="Normal"/>
    <w:next w:val="Normal"/>
    <w:link w:val="DateChar"/>
    <w:uiPriority w:val="99"/>
    <w:unhideWhenUsed/>
    <w:rsid w:val="004423DE"/>
    <w:pPr>
      <w:jc w:val="center"/>
    </w:pPr>
  </w:style>
  <w:style w:type="character" w:customStyle="1" w:styleId="DateChar">
    <w:name w:val="Date Char"/>
    <w:basedOn w:val="DefaultParagraphFont"/>
    <w:link w:val="Date"/>
    <w:uiPriority w:val="99"/>
    <w:rsid w:val="004423DE"/>
    <w:rPr>
      <w:rFonts w:ascii="Times New Roman" w:hAnsi="Times New Roman"/>
      <w:sz w:val="24"/>
    </w:rPr>
  </w:style>
  <w:style w:type="paragraph" w:customStyle="1" w:styleId="Abstract">
    <w:name w:val="Abstract"/>
    <w:qFormat/>
    <w:rsid w:val="00C85901"/>
    <w:rPr>
      <w:rFonts w:ascii="Aptos" w:hAnsi="Aptos"/>
    </w:rPr>
  </w:style>
  <w:style w:type="paragraph" w:customStyle="1" w:styleId="FirstParagraph">
    <w:name w:val="First Paragraph"/>
    <w:basedOn w:val="BodyText"/>
    <w:next w:val="BodyText"/>
    <w:qFormat/>
    <w:rsid w:val="004423DE"/>
  </w:style>
  <w:style w:type="paragraph" w:styleId="BlockText">
    <w:name w:val="Block Text"/>
    <w:basedOn w:val="Normal"/>
    <w:uiPriority w:val="99"/>
    <w:unhideWhenUsed/>
    <w:rsid w:val="00C85901"/>
    <w:pPr>
      <w:ind w:left="288" w:right="1152"/>
    </w:pPr>
    <w:rPr>
      <w:rFonts w:eastAsiaTheme="minorEastAsia"/>
      <w:iCs/>
      <w:color w:val="000000" w:themeColor="text1"/>
    </w:rPr>
  </w:style>
  <w:style w:type="paragraph" w:customStyle="1" w:styleId="Compact">
    <w:name w:val="Compact"/>
    <w:basedOn w:val="BodyText"/>
    <w:qFormat/>
    <w:rsid w:val="0069216D"/>
    <w:pPr>
      <w:spacing w:before="36" w:after="36" w:line="240" w:lineRule="auto"/>
    </w:pPr>
    <w:rPr>
      <w:rFonts w:hAnsi="Times New Roman"/>
      <w:szCs w:val="24"/>
    </w:rPr>
  </w:style>
  <w:style w:type="table" w:customStyle="1" w:styleId="Table">
    <w:name w:val="Table"/>
    <w:semiHidden/>
    <w:unhideWhenUsed/>
    <w:qFormat/>
    <w:rsid w:val="0008599A"/>
    <w:pPr>
      <w:spacing w:after="200" w:line="240" w:lineRule="auto"/>
    </w:pPr>
    <w:rPr>
      <w:rFonts w:asciiTheme="minorHAnsi"/>
      <w:sz w:val="20"/>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rPr>
      <w:tblPr/>
      <w:tcPr>
        <w:shd w:val="clear" w:color="auto" w:fill="D5E0E8"/>
      </w:tcPr>
    </w:tblStylePr>
  </w:style>
  <w:style w:type="paragraph" w:styleId="BodyText2">
    <w:name w:val="Body Text 2"/>
    <w:basedOn w:val="Normal"/>
    <w:link w:val="BodyText2Char"/>
    <w:uiPriority w:val="99"/>
    <w:unhideWhenUsed/>
    <w:rsid w:val="00C85901"/>
    <w:pPr>
      <w:spacing w:line="480" w:lineRule="auto"/>
    </w:pPr>
  </w:style>
  <w:style w:type="character" w:customStyle="1" w:styleId="BodyText2Char">
    <w:name w:val="Body Text 2 Char"/>
    <w:basedOn w:val="DefaultParagraphFont"/>
    <w:link w:val="BodyText2"/>
    <w:uiPriority w:val="99"/>
    <w:rsid w:val="00C85901"/>
    <w:rPr>
      <w:rFonts w:ascii="Aptos" w:hAnsi="Aptos"/>
    </w:rPr>
  </w:style>
  <w:style w:type="character" w:customStyle="1" w:styleId="green-char-style">
    <w:name w:val="green-char-style"/>
    <w:basedOn w:val="DefaultParagraphFont"/>
    <w:uiPriority w:val="1"/>
    <w:qFormat/>
    <w:rsid w:val="002E718C"/>
    <w:rPr>
      <w:b w:val="0"/>
      <w:color w:val="218321"/>
    </w:rPr>
  </w:style>
  <w:style w:type="character" w:customStyle="1" w:styleId="plain-black-char-style">
    <w:name w:val="plain-black-char-style"/>
    <w:uiPriority w:val="1"/>
    <w:qFormat/>
    <w:rsid w:val="00D169FC"/>
    <w:rPr>
      <w:color w:val="000000" w:themeColor="text1"/>
    </w:rPr>
  </w:style>
  <w:style w:type="character" w:styleId="PageNumber">
    <w:name w:val="page number"/>
    <w:basedOn w:val="DefaultParagraphFont"/>
    <w:uiPriority w:val="99"/>
    <w:semiHidden/>
    <w:unhideWhenUsed/>
    <w:rsid w:val="0087487C"/>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cocounsel.thomsonreuters.com/file/view/a45b99f2-ccd7-4233-9679-198c154bb11e?page=1&amp;bounds="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31</Words>
  <Characters>165</Characters>
  <Application>Microsoft Office Word</Application>
  <DocSecurity>0</DocSecurity>
  <Lines>22</Lines>
  <Paragraphs>19</Paragraphs>
  <ScaleCrop>false</ScaleCrop>
  <HeadingPairs>
    <vt:vector size="2" baseType="variant">
      <vt:variant>
        <vt:lpstr>Title</vt:lpstr>
      </vt:variant>
      <vt:variant>
        <vt:i4>1</vt:i4>
      </vt:variant>
    </vt:vector>
  </HeadingPairs>
  <TitlesOfParts>
    <vt:vector size="1" baseType="lpstr">
      <vt:lpstr>Review Documents (Short Answers Only)</vt:lpstr>
    </vt:vector>
  </TitlesOfParts>
  <Company/>
  <LinksUpToDate>false</LinksUpToDate>
  <CharactersWithSpaces>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CoCounsel Skill Results</dc:title>
  <dc:creator>CoCounsel</dc:creator>
  <cp:revision>0</cp:revision>
  <dcterms:created xsi:type="dcterms:W3CDTF">2026-04-24T20:40:20Z</dcterms:created>
  <dcterms:modified xsi:type="dcterms:W3CDTF">2026-04-24T20:40:20Z</dcterms:modified>
</cp:coreProperties>
</file>