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Python via .NET 26.2.0 -->
  <w:body>
    <w:p>
      <w:pPr>
        <w:pStyle w:val="FirstParagraph"/>
      </w:pPr>
      <w:r>
        <w:rPr>
          <w:b/>
          <w:bCs/>
        </w:rPr>
        <w:t>COCOUNSEL</w:t>
      </w:r>
    </w:p>
    <w:p>
      <w:r>
        <w:pict>
          <v:rect id="_x0000_i1025" style="width:0;height:1.5pt" o:hralign="center" o:hrstd="t" o:hr="t"/>
        </w:pict>
      </w:r>
    </w:p>
    <w:p>
      <w:pPr>
        <w:pStyle w:val="FirstParagraph"/>
      </w:pPr>
      <w:r>
        <w:rPr>
          <w:b/>
          <w:bCs/>
        </w:rPr>
        <w:t>Skill:</w:t>
      </w:r>
      <w:r>
        <w:t xml:space="preserve"> </w:t>
      </w:r>
      <w:r>
        <w:t>Summarize</w:t>
      </w:r>
    </w:p>
    <w:p>
      <w:pPr>
        <w:pStyle w:val="BodyText"/>
      </w:pPr>
      <w:r>
        <w:rPr>
          <w:b/>
          <w:bCs/>
        </w:rPr>
        <w:t>Result created:</w:t>
      </w:r>
      <w:r>
        <w:t xml:space="preserve"> </w:t>
      </w:r>
      <w:r>
        <w:t>04/24/2026</w:t>
      </w:r>
    </w:p>
    <w:p>
      <w:pPr>
        <w:pStyle w:val="BodyText"/>
      </w:pPr>
      <w:r>
        <w:rPr>
          <w:b/>
          <w:bCs/>
        </w:rPr>
        <w:t>Prompt:</w:t>
      </w:r>
      <w:r>
        <w:t xml:space="preserve"> </w:t>
      </w:r>
      <w:r>
        <w:t>review and summarize this document.</w:t>
      </w:r>
    </w:p>
    <w:p>
      <w:pPr>
        <w:pStyle w:val="BodyText"/>
      </w:pPr>
      <w:r>
        <w:rPr>
          <w:b/>
          <w:bCs/>
        </w:rPr>
        <w:t>Files:</w:t>
      </w:r>
    </w:p>
    <w:p>
      <w:pPr>
        <w:pStyle w:val="Compact"/>
        <w:numPr>
          <w:ilvl w:val="0"/>
          <w:numId w:val="2"/>
        </w:numPr>
      </w:pPr>
      <w:hyperlink r:id="rId4">
        <w:r>
          <w:rPr>
            <w:rStyle w:val="Hyperlink"/>
          </w:rPr>
          <w:t>Condensed Super Combo Binder1.pdf</w:t>
        </w:r>
      </w:hyperlink>
    </w:p>
    <w:p>
      <w:r>
        <w:pict>
          <v:rect id="_x0000_i1026" style="width:0;height:1.5pt" o:hralign="center" o:hrstd="t" o:hr="t"/>
        </w:pict>
      </w:r>
    </w:p>
    <w:p>
      <w:pPr>
        <w:pStyle w:val="FirstParagraph"/>
      </w:pPr>
      <w:r>
        <w:rPr>
          <w:b/>
          <w:bCs/>
        </w:rPr>
        <w:t>Result:</w:t>
      </w:r>
    </w:p>
    <w:bookmarkStart w:id="0" w:name="condensed-super-combo-binder1.pdf"/>
    <w:p>
      <w:pPr>
        <w:pStyle w:val="Heading2"/>
      </w:pPr>
      <w:r>
        <w:t>Condensed Super Combo Binder1.pdf</w:t>
      </w:r>
    </w:p>
    <w:bookmarkStart w:id="1" w:name="parties-and-property"/>
    <w:p>
      <w:pPr>
        <w:pStyle w:val="Heading3"/>
      </w:pPr>
      <w:r>
        <w:t>Parties and Property</w:t>
      </w:r>
    </w:p>
    <w:p>
      <w:pPr>
        <w:pStyle w:val="Compact"/>
        <w:numPr>
          <w:ilvl w:val="0"/>
          <w:numId w:val="3"/>
        </w:numPr>
      </w:pPr>
      <w:r>
        <w:t>Plaintiff is Marine Bulkheading, Inc., a New York corporation with principal place of business in Seaford, NY.</w:t>
      </w:r>
      <w:r>
        <w:br/>
      </w:r>
    </w:p>
    <w:p>
      <w:pPr>
        <w:pStyle w:val="Compact"/>
        <w:numPr>
          <w:ilvl w:val="0"/>
          <w:numId w:val="3"/>
        </w:numPr>
      </w:pPr>
      <w:r>
        <w:t>Defendants are JAT Construction Group Inc., 402 Avenue T LLC, and fictitious</w:t>
      </w:r>
      <w:r>
        <w:t xml:space="preserve"> </w:t>
      </w:r>
      <w:r>
        <w:t>“</w:t>
      </w:r>
      <w:r>
        <w:t>John Doe</w:t>
      </w:r>
      <w:r>
        <w:t>”</w:t>
      </w:r>
      <w:r>
        <w:t xml:space="preserve"> </w:t>
      </w:r>
      <w:r>
        <w:t>parties claiming interests in 402 Avenue T/2044 East 2nd Street, Brooklyn, Block 7104, Lot 458.</w:t>
      </w:r>
      <w:r>
        <w:br/>
      </w:r>
    </w:p>
    <w:p>
      <w:pPr>
        <w:pStyle w:val="Compact"/>
        <w:numPr>
          <w:ilvl w:val="0"/>
          <w:numId w:val="3"/>
        </w:numPr>
      </w:pPr>
      <w:r>
        <w:t>402 Avenue T LLC is alleged owner in fee of the property at 402 Avenue T a/k/a 2044 East 2nd Street, Brooklyn, NY 11223.</w:t>
      </w:r>
    </w:p>
    <w:bookmarkEnd w:id="1"/>
    <w:bookmarkStart w:id="2" w:name="X22bb22db1d93db5df461750d877ffd854649b99"/>
    <w:p>
      <w:pPr>
        <w:pStyle w:val="Heading3"/>
      </w:pPr>
      <w:r>
        <w:t>Contracting Relationship and Work Performed</w:t>
      </w:r>
    </w:p>
    <w:p>
      <w:pPr>
        <w:pStyle w:val="Compact"/>
        <w:numPr>
          <w:ilvl w:val="0"/>
          <w:numId w:val="4"/>
        </w:numPr>
      </w:pPr>
      <w:r>
        <w:t>Plaintiff alleges an agreement with JAT on or about October 1, 2025, to supply and install timber piles, concrete, perform excavation, labor, and related materials at the property with owner’s knowledge and consent.</w:t>
      </w:r>
    </w:p>
    <w:p>
      <w:pPr>
        <w:pStyle w:val="Compact"/>
        <w:numPr>
          <w:ilvl w:val="0"/>
          <w:numId w:val="4"/>
        </w:numPr>
      </w:pPr>
      <w:r>
        <w:t>Plaintiff alleges performance from October 1, 2025, through December 4, 2025, furnishing labor and materials and performing contract terms.</w:t>
      </w:r>
    </w:p>
    <w:p>
      <w:pPr>
        <w:pStyle w:val="Compact"/>
        <w:numPr>
          <w:ilvl w:val="0"/>
          <w:numId w:val="4"/>
        </w:numPr>
      </w:pPr>
      <w:r>
        <w:t>Plaintiff asserts the agreed price and reasonable value was $854,700, with $361,080 unpaid despite demand.</w:t>
      </w:r>
    </w:p>
    <w:p>
      <w:pPr>
        <w:pStyle w:val="Compact"/>
        <w:numPr>
          <w:ilvl w:val="0"/>
          <w:numId w:val="4"/>
        </w:numPr>
      </w:pPr>
      <w:r>
        <w:t>Plaintiff alleges all labor and materials were delivered to and incorporated into the property.</w:t>
      </w:r>
    </w:p>
    <w:bookmarkEnd w:id="2"/>
    <w:bookmarkStart w:id="3" w:name="mechanics-lien"/>
    <w:p>
      <w:pPr>
        <w:pStyle w:val="Heading3"/>
      </w:pPr>
      <w:r>
        <w:t>Mechanic’s Lien</w:t>
      </w:r>
    </w:p>
    <w:p>
      <w:pPr>
        <w:pStyle w:val="Compact"/>
        <w:numPr>
          <w:ilvl w:val="0"/>
          <w:numId w:val="5"/>
        </w:numPr>
      </w:pPr>
      <w:r>
        <w:t>Plaintiff alleges it filed a Notice of Mechanic’s Lien and Affidavit of Service on December 16, 2025, within Lien Law time limits.</w:t>
      </w:r>
      <w:r>
        <w:br/>
      </w:r>
    </w:p>
    <w:p>
      <w:pPr>
        <w:pStyle w:val="Compact"/>
        <w:numPr>
          <w:ilvl w:val="0"/>
          <w:numId w:val="5"/>
        </w:numPr>
      </w:pPr>
      <w:r>
        <w:t>The lien identifies JAT as the employing and contracting party, lists 402 Avenue T LLC as owner, and claims $361,080 unpaid on an $854,700 contract for foundation, superstructure, and waterproofing.</w:t>
      </w:r>
      <w:r>
        <w:br/>
      </w:r>
    </w:p>
    <w:p>
      <w:pPr>
        <w:pStyle w:val="Compact"/>
        <w:numPr>
          <w:ilvl w:val="0"/>
          <w:numId w:val="5"/>
        </w:numPr>
      </w:pPr>
      <w:r>
        <w:t>Plaintiff seeks judgment foreclosing the mechanic’s lien and sale of the property.</w:t>
      </w:r>
    </w:p>
    <w:bookmarkEnd w:id="3"/>
    <w:bookmarkStart w:id="4" w:name="causes-of-action-and-relief-demanded"/>
    <w:p>
      <w:pPr>
        <w:pStyle w:val="Heading3"/>
      </w:pPr>
      <w:r>
        <w:t>Causes of Action and Relief Demanded</w:t>
      </w:r>
    </w:p>
    <w:p>
      <w:pPr>
        <w:pStyle w:val="Compact"/>
        <w:numPr>
          <w:ilvl w:val="0"/>
          <w:numId w:val="6"/>
        </w:numPr>
      </w:pPr>
      <w:r>
        <w:t>First Cause: Foreclosure of the mechanic’s lien against the property.</w:t>
      </w:r>
      <w:r>
        <w:br/>
      </w:r>
    </w:p>
    <w:p>
      <w:pPr>
        <w:pStyle w:val="Compact"/>
        <w:numPr>
          <w:ilvl w:val="0"/>
          <w:numId w:val="6"/>
        </w:numPr>
      </w:pPr>
      <w:r>
        <w:t>Second Cause: Account stated for $361,080 with interest from December 4, 2025, alleging statements sent and not objected to by defendants.</w:t>
      </w:r>
    </w:p>
    <w:p>
      <w:pPr>
        <w:pStyle w:val="Compact"/>
        <w:numPr>
          <w:ilvl w:val="0"/>
          <w:numId w:val="6"/>
        </w:numPr>
      </w:pPr>
      <w:r>
        <w:t>Third Cause: Breach of contract against JAT for $361,080 with interest from December 4, 2025.</w:t>
      </w:r>
    </w:p>
    <w:p>
      <w:pPr>
        <w:pStyle w:val="Compact"/>
        <w:numPr>
          <w:ilvl w:val="0"/>
          <w:numId w:val="6"/>
        </w:numPr>
      </w:pPr>
      <w:r>
        <w:t>Fourth Cause: Quantum meruit in the alternative against JAT and 402 Avenue T LLC for $361,080 with interest.</w:t>
      </w:r>
    </w:p>
    <w:p>
      <w:pPr>
        <w:pStyle w:val="Compact"/>
        <w:numPr>
          <w:ilvl w:val="0"/>
          <w:numId w:val="6"/>
        </w:numPr>
      </w:pPr>
      <w:r>
        <w:t>Fifth Cause: Unjust enrichment against JAT and 402 Avenue T LLC for $361,080 with interest.</w:t>
      </w:r>
    </w:p>
    <w:p>
      <w:pPr>
        <w:pStyle w:val="Compact"/>
        <w:numPr>
          <w:ilvl w:val="0"/>
          <w:numId w:val="6"/>
        </w:numPr>
      </w:pPr>
      <w:r>
        <w:t>Sixth Cause: Fraud against JAT for issuing a $200,000 check knowing insufficient funds, which was twice dishonored, inducing continued performance and delaying legal action, with damages to be determined.</w:t>
      </w:r>
    </w:p>
    <w:p>
      <w:pPr>
        <w:pStyle w:val="Compact"/>
        <w:numPr>
          <w:ilvl w:val="0"/>
          <w:numId w:val="6"/>
        </w:numPr>
      </w:pPr>
      <w:r>
        <w:t>Plaintiff also seeks costs, disbursements, and other relief.</w:t>
      </w:r>
    </w:p>
    <w:bookmarkEnd w:id="4"/>
    <w:bookmarkStart w:id="5" w:name="payment-and-nsf-check-allegations"/>
    <w:p>
      <w:pPr>
        <w:pStyle w:val="Heading3"/>
      </w:pPr>
      <w:r>
        <w:t>Payment and NSF Check Allegations</w:t>
      </w:r>
    </w:p>
    <w:p>
      <w:pPr>
        <w:pStyle w:val="Compact"/>
        <w:numPr>
          <w:ilvl w:val="0"/>
          <w:numId w:val="7"/>
        </w:numPr>
      </w:pPr>
      <w:r>
        <w:t>Plaintiff alleges JAT delivered check no. 5090 for $200,000 on or about November 23, 2025, which twice returned</w:t>
      </w:r>
      <w:r>
        <w:t xml:space="preserve"> </w:t>
      </w:r>
      <w:r>
        <w:t>“</w:t>
      </w:r>
      <w:r>
        <w:t>NSF</w:t>
      </w:r>
      <w:r>
        <w:t>”</w:t>
      </w:r>
      <w:r>
        <w:t xml:space="preserve"> </w:t>
      </w:r>
      <w:r>
        <w:t>on December 4 and December 10, 2025.</w:t>
      </w:r>
    </w:p>
    <w:p>
      <w:pPr>
        <w:pStyle w:val="Compact"/>
        <w:numPr>
          <w:ilvl w:val="0"/>
          <w:numId w:val="7"/>
        </w:numPr>
      </w:pPr>
      <w:r>
        <w:t>Plaintiff alleges reliance on the check to its detriment and claims separate fraud damages.</w:t>
      </w:r>
    </w:p>
    <w:bookmarkEnd w:id="5"/>
    <w:bookmarkStart w:id="6" w:name="X6333d3c9c1c7a26653dc4a6c4273a373085fff7"/>
    <w:p>
      <w:pPr>
        <w:pStyle w:val="Heading3"/>
      </w:pPr>
      <w:r>
        <w:t>Defendant 402 Avenue T LLC’s Motion to Dismiss</w:t>
      </w:r>
    </w:p>
    <w:p>
      <w:pPr>
        <w:pStyle w:val="Compact"/>
        <w:numPr>
          <w:ilvl w:val="0"/>
          <w:numId w:val="8"/>
        </w:numPr>
      </w:pPr>
      <w:r>
        <w:t>402 Avenue T LLC moves to dismiss under CPLR 3211(a)(1), (a)(7), 3211(c), and CPLR 6514, to cancel the notice of pendency, and to sever and amend the caption.</w:t>
      </w:r>
    </w:p>
    <w:p>
      <w:pPr>
        <w:pStyle w:val="Compact"/>
        <w:numPr>
          <w:ilvl w:val="0"/>
          <w:numId w:val="8"/>
        </w:numPr>
      </w:pPr>
      <w:r>
        <w:t>402 argues the Second (account stated), Fourth (quantum meruit), and Fifth (unjust enrichment) causes fail against owner because plaintiff contracted with JAT, not the owner.</w:t>
      </w:r>
      <w:r>
        <w:br/>
      </w:r>
    </w:p>
    <w:p>
      <w:pPr>
        <w:pStyle w:val="Compact"/>
        <w:numPr>
          <w:ilvl w:val="0"/>
          <w:numId w:val="8"/>
        </w:numPr>
      </w:pPr>
      <w:r>
        <w:t>402 contends no personal money judgment may be entered against it even if the lien remains, as the debt is JAT’s.</w:t>
      </w:r>
    </w:p>
    <w:p>
      <w:pPr>
        <w:pStyle w:val="Compact"/>
        <w:numPr>
          <w:ilvl w:val="0"/>
          <w:numId w:val="8"/>
        </w:numPr>
      </w:pPr>
      <w:r>
        <w:t>402 seeks dismissal of the First Cause to foreclose, asserting no lien fund existed when the lien was filed because JAT had been fully paid or overpaid before December 16, 2025.</w:t>
      </w:r>
      <w:r>
        <w:br/>
      </w:r>
    </w:p>
    <w:p>
      <w:pPr>
        <w:pStyle w:val="Compact"/>
        <w:numPr>
          <w:ilvl w:val="0"/>
          <w:numId w:val="8"/>
        </w:numPr>
      </w:pPr>
      <w:r>
        <w:t>402 requests cancellation of the notice of pendency upon dismissal of the lien claim and amendment of the caption.</w:t>
      </w:r>
    </w:p>
    <w:bookmarkEnd w:id="6"/>
    <w:bookmarkStart w:id="7" w:name="X0cd919a7ec19f590f1c3b662ba0d24672c10d92"/>
    <w:p>
      <w:pPr>
        <w:pStyle w:val="Heading3"/>
      </w:pPr>
      <w:r>
        <w:t>Documentary Evidence Submitted with Motion</w:t>
      </w:r>
    </w:p>
    <w:p>
      <w:pPr>
        <w:pStyle w:val="Compact"/>
        <w:numPr>
          <w:ilvl w:val="0"/>
          <w:numId w:val="9"/>
        </w:numPr>
      </w:pPr>
      <w:r>
        <w:t>JAT’s president, John Longardo, declares JAT’s prime contract with 402 began September 2, 2025, was terminated effective December 5, 2025, and payments received totaled $337,290 ($277,290 by two September 4, 2025 checks and a $60,000 wire on November 3, 2025).</w:t>
      </w:r>
      <w:r>
        <w:br/>
      </w:r>
    </w:p>
    <w:p>
      <w:pPr>
        <w:pStyle w:val="Compact"/>
        <w:numPr>
          <w:ilvl w:val="0"/>
          <w:numId w:val="9"/>
        </w:numPr>
      </w:pPr>
      <w:r>
        <w:t>Longardo avers substantial mobilization advances, that JAT was paid in full and overpaid, that no money was due from 402 to JAT on December 16, 2025, and that JAT waives any present payment claim.</w:t>
      </w:r>
    </w:p>
    <w:p>
      <w:pPr>
        <w:pStyle w:val="Compact"/>
        <w:numPr>
          <w:ilvl w:val="0"/>
          <w:numId w:val="9"/>
        </w:numPr>
      </w:pPr>
      <w:r>
        <w:t>Exhibits include the AIA A101-2017 owner–contractor agreement between 402 Avenue T LLC and JAT for a $3,460,474 stipulated sum.</w:t>
      </w:r>
      <w:r>
        <w:br/>
      </w:r>
    </w:p>
    <w:p>
      <w:pPr>
        <w:pStyle w:val="Compact"/>
        <w:numPr>
          <w:ilvl w:val="0"/>
          <w:numId w:val="9"/>
        </w:numPr>
      </w:pPr>
      <w:r>
        <w:t>Exhibits include the September 4, 2025 checks to JAT for $138,645 each and a November 3, 2025 scheduled wire for $60,000 to JAT.</w:t>
      </w:r>
      <w:r>
        <w:br/>
      </w:r>
    </w:p>
    <w:p>
      <w:pPr>
        <w:pStyle w:val="Compact"/>
        <w:numPr>
          <w:ilvl w:val="0"/>
          <w:numId w:val="9"/>
        </w:numPr>
      </w:pPr>
      <w:r>
        <w:t>An AIA G702/G703 payment application dated September 29–30, 2025 reflects $504,147.40 completed to date, retainage $50,414.74, and prior payment $277,290.</w:t>
      </w:r>
      <w:r>
        <w:br/>
      </w:r>
    </w:p>
    <w:p>
      <w:pPr>
        <w:pStyle w:val="Compact"/>
        <w:numPr>
          <w:ilvl w:val="0"/>
          <w:numId w:val="9"/>
        </w:numPr>
      </w:pPr>
      <w:r>
        <w:t>Plaintiff’s September 25, 2025 invoice is addressed to JAT for $121,500 mobilization and material deposit.</w:t>
      </w:r>
    </w:p>
    <w:p>
      <w:pPr>
        <w:pStyle w:val="Compact"/>
        <w:numPr>
          <w:ilvl w:val="0"/>
          <w:numId w:val="9"/>
        </w:numPr>
      </w:pPr>
      <w:r>
        <w:t>Plaintiff executed a September 25, 2025 unconditional waiver and release on progress payment identifying JAT as maker for $121,500, limited through 9/30/25.</w:t>
      </w:r>
    </w:p>
    <w:p>
      <w:pPr>
        <w:pStyle w:val="Compact"/>
        <w:numPr>
          <w:ilvl w:val="0"/>
          <w:numId w:val="9"/>
        </w:numPr>
      </w:pPr>
      <w:r>
        <w:t>The owner also cites Urban Industrial Group LLC’s separate lien as not indicating sums due to JAT.</w:t>
      </w:r>
    </w:p>
    <w:bookmarkEnd w:id="7"/>
    <w:bookmarkStart w:id="8" w:name="procedural-notes"/>
    <w:p>
      <w:pPr>
        <w:pStyle w:val="Heading3"/>
      </w:pPr>
      <w:r>
        <w:t>Procedural Notes</w:t>
      </w:r>
    </w:p>
    <w:p>
      <w:pPr>
        <w:pStyle w:val="Compact"/>
        <w:numPr>
          <w:ilvl w:val="0"/>
          <w:numId w:val="10"/>
        </w:numPr>
      </w:pPr>
      <w:r>
        <w:t>Summons advises defendants to answer the amended complaint within the CPLR timeframes, with Kings County designated based on property location.</w:t>
      </w:r>
      <w:r>
        <w:br/>
      </w:r>
    </w:p>
    <w:p>
      <w:pPr>
        <w:pStyle w:val="Compact"/>
        <w:numPr>
          <w:ilvl w:val="0"/>
          <w:numId w:val="10"/>
        </w:numPr>
      </w:pPr>
      <w:r>
        <w:t>Attorney verification states counsel verified due to plaintiff lacking an office in counsel’s county.</w:t>
      </w:r>
    </w:p>
    <w:bookmarkEnd w:id="8"/>
    <w:bookmarkStart w:id="9" w:name="requested-relief-summary-in-complaint"/>
    <w:p>
      <w:pPr>
        <w:pStyle w:val="Heading3"/>
      </w:pPr>
      <w:r>
        <w:t>Requested Relief Summary in Complaint</w:t>
      </w:r>
    </w:p>
    <w:p>
      <w:pPr>
        <w:pStyle w:val="Compact"/>
        <w:numPr>
          <w:ilvl w:val="0"/>
          <w:numId w:val="11"/>
        </w:numPr>
      </w:pPr>
      <w:r>
        <w:t>Plaintiff seeks adjudication of a valid mechanic’s lien, foreclosure and sale, $361,080 with interest from December 4, 2025 where appropriate, compensatory damages on the fraud claim, costs, and other relief.</w:t>
      </w:r>
    </w:p>
    <w:bookmarkEnd w:id="9"/>
    <w:bookmarkEnd w:id="0"/>
    <w:sectPr>
      <w:headerReference w:type="even" r:id="rId5"/>
      <w:headerReference w:type="default" r:id="rId6"/>
      <w:footerReference w:type="even" r:id="rId7"/>
      <w:footerReference w:type="default" r:id="rId8"/>
      <w:headerReference w:type="first" r:id="rId9"/>
      <w:footerReference w:type="first" r:id="rId10"/>
      <w:endnotePr>
        <w:numFmt w:val="decimal"/>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Style w:val="PageNumber"/>
      </w:rPr>
      <w:id w:val="-40450920"/>
      <w:docPartObj>
        <w:docPartGallery w:val="Page Numbers (Bottom of Page)"/>
        <w:docPartUnique/>
      </w:docPartObj>
    </w:sdtPr>
    <w:sdtContent>
      <w:p w:rsidR="0087487C" w:rsidP="006D4292" w14:paraId="5B9F6C67" w14:textId="5F2EFA3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87487C" w:rsidP="0087487C" w14:paraId="1FD193F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Style w:val="PageNumber"/>
      </w:rPr>
      <w:id w:val="1144162695"/>
      <w:docPartObj>
        <w:docPartGallery w:val="Page Numbers (Bottom of Page)"/>
        <w:docPartUnique/>
      </w:docPartObj>
    </w:sdtPr>
    <w:sdtContent>
      <w:p w:rsidR="0087487C" w:rsidP="006D4292" w14:paraId="77CB3C9C" w14:textId="56CED7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6F6091" w:rsidP="0087487C" w14:paraId="313C2092" w14:textId="2EC5DD65">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7487C" w14:paraId="10BAB284"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7487C" w14:paraId="24AD60D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7487C" w14:paraId="418B199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7487C" w14:paraId="6507D74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A990"/>
    <w:multiLevelType w:val="multilevel"/>
    <w:tmpl w:val="00000000"/>
    <w:lvl w:ilvl="0">
      <w:start w:val="0"/>
      <w:numFmt w:val="bullet"/>
      <w:lvlText w:val=" "/>
      <w:lvlJc w:val="left"/>
      <w:pPr>
        <w:ind w:left="720" w:hanging="480"/>
      </w:pPr>
    </w:lvl>
    <w:lvl w:ilvl="1">
      <w:start w:val="0"/>
      <w:numFmt w:val="bullet"/>
      <w:lvlText w:val=" "/>
      <w:lvlJc w:val="left"/>
      <w:pPr>
        <w:ind w:left="1440" w:hanging="480"/>
      </w:pPr>
    </w:lvl>
    <w:lvl w:ilvl="2">
      <w:start w:val="0"/>
      <w:numFmt w:val="bullet"/>
      <w:lvlText w:val=" "/>
      <w:lvlJc w:val="left"/>
      <w:pPr>
        <w:ind w:left="2160" w:hanging="480"/>
      </w:pPr>
    </w:lvl>
    <w:lvl w:ilvl="3">
      <w:start w:val="0"/>
      <w:numFmt w:val="bullet"/>
      <w:lvlText w:val=" "/>
      <w:lvlJc w:val="left"/>
      <w:pPr>
        <w:ind w:left="2880" w:hanging="480"/>
      </w:pPr>
    </w:lvl>
    <w:lvl w:ilvl="4">
      <w:start w:val="0"/>
      <w:numFmt w:val="bullet"/>
      <w:lvlText w:val=" "/>
      <w:lvlJc w:val="left"/>
      <w:pPr>
        <w:ind w:left="3600" w:hanging="480"/>
      </w:pPr>
    </w:lvl>
    <w:lvl w:ilvl="5">
      <w:start w:val="0"/>
      <w:numFmt w:val="bullet"/>
      <w:lvlText w:val=" "/>
      <w:lvlJc w:val="left"/>
      <w:pPr>
        <w:ind w:left="4320" w:hanging="480"/>
      </w:pPr>
    </w:lvl>
    <w:lvl w:ilvl="6">
      <w:start w:val="0"/>
      <w:numFmt w:val="bullet"/>
      <w:lvlText w:val=" "/>
      <w:lvlJc w:val="left"/>
      <w:pPr>
        <w:ind w:left="5040" w:hanging="480"/>
      </w:pPr>
    </w:lvl>
    <w:lvl w:ilvl="7">
      <w:start w:val="0"/>
      <w:numFmt w:val="bullet"/>
      <w:lvlText w:val=" "/>
      <w:lvlJc w:val="left"/>
      <w:pPr>
        <w:ind w:left="5760" w:hanging="480"/>
      </w:pPr>
    </w:lvl>
    <w:lvl w:ilvl="8">
      <w:start w:val="0"/>
      <w:numFmt w:val="bullet"/>
      <w:lvlText w:val=" "/>
      <w:lvlJc w:val="left"/>
      <w:pPr>
        <w:ind w:left="6480" w:hanging="480"/>
      </w:pPr>
    </w:lvl>
  </w:abstractNum>
  <w:abstractNum w:abstractNumId="1">
    <w:nsid w:val="0000A991"/>
    <w:multiLevelType w:val="multilevel"/>
    <w:tmpl w:val="00000000"/>
    <w:lvl w:ilvl="0">
      <w:start w:val="0"/>
      <w:numFmt w:val="bullet"/>
      <w:lvlText w:val="•"/>
      <w:lvlJc w:val="left"/>
      <w:pPr>
        <w:ind w:left="720" w:hanging="480"/>
      </w:pPr>
    </w:lvl>
    <w:lvl w:ilvl="1">
      <w:start w:val="0"/>
      <w:numFmt w:val="bullet"/>
      <w:lvlText w:val="–"/>
      <w:lvlJc w:val="left"/>
      <w:pPr>
        <w:ind w:left="1440" w:hanging="480"/>
      </w:pPr>
    </w:lvl>
    <w:lvl w:ilvl="2">
      <w:start w:val="0"/>
      <w:numFmt w:val="bullet"/>
      <w:lvlText w:val="•"/>
      <w:lvlJc w:val="left"/>
      <w:pPr>
        <w:ind w:left="2160" w:hanging="480"/>
      </w:pPr>
    </w:lvl>
    <w:lvl w:ilvl="3">
      <w:start w:val="0"/>
      <w:numFmt w:val="bullet"/>
      <w:lvlText w:val="–"/>
      <w:lvlJc w:val="left"/>
      <w:pPr>
        <w:ind w:left="2880" w:hanging="480"/>
      </w:pPr>
    </w:lvl>
    <w:lvl w:ilvl="4">
      <w:start w:val="0"/>
      <w:numFmt w:val="bullet"/>
      <w:lvlText w:val="•"/>
      <w:lvlJc w:val="left"/>
      <w:pPr>
        <w:ind w:left="3600" w:hanging="480"/>
      </w:pPr>
    </w:lvl>
    <w:lvl w:ilvl="5">
      <w:start w:val="0"/>
      <w:numFmt w:val="bullet"/>
      <w:lvlText w:val="–"/>
      <w:lvlJc w:val="left"/>
      <w:pPr>
        <w:ind w:left="4320" w:hanging="480"/>
      </w:pPr>
    </w:lvl>
    <w:lvl w:ilvl="6">
      <w:start w:val="0"/>
      <w:numFmt w:val="bullet"/>
      <w:lvlText w:val="•"/>
      <w:lvlJc w:val="left"/>
      <w:pPr>
        <w:ind w:left="5040" w:hanging="480"/>
      </w:pPr>
    </w:lvl>
    <w:lvl w:ilvl="7">
      <w:start w:val="0"/>
      <w:numFmt w:val="bullet"/>
      <w:lvlText w:val="–"/>
      <w:lvlJc w:val="left"/>
      <w:pPr>
        <w:ind w:left="5760" w:hanging="480"/>
      </w:pPr>
    </w:lvl>
    <w:lvl w:ilvl="8">
      <w:start w:val="0"/>
      <w:numFmt w:val="bullet"/>
      <w:lvlText w:val="•"/>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21"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isibleStyles="0"/>
  <w:doNotTrackMoves/>
  <w:defaultTabStop w:val="720"/>
  <w:drawingGridHorizontalSpacing w:val="360"/>
  <w:drawingGridVerticalSpacing w:val="360"/>
  <w:displayHorizontalDrawingGridEvery w:val="0"/>
  <w:displayVerticalDrawingGridEvery w:val="0"/>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91"/>
    <w:rsid w:val="0008599A"/>
    <w:rsid w:val="001541CF"/>
    <w:rsid w:val="00164562"/>
    <w:rsid w:val="001733F7"/>
    <w:rsid w:val="00197CA9"/>
    <w:rsid w:val="001A5BED"/>
    <w:rsid w:val="0022569A"/>
    <w:rsid w:val="00260315"/>
    <w:rsid w:val="0027219F"/>
    <w:rsid w:val="002A5FE9"/>
    <w:rsid w:val="002E718C"/>
    <w:rsid w:val="00370358"/>
    <w:rsid w:val="003A2914"/>
    <w:rsid w:val="003A3408"/>
    <w:rsid w:val="004423DE"/>
    <w:rsid w:val="00460A47"/>
    <w:rsid w:val="004D136E"/>
    <w:rsid w:val="004F736A"/>
    <w:rsid w:val="00507F72"/>
    <w:rsid w:val="005F0DC0"/>
    <w:rsid w:val="00606CAE"/>
    <w:rsid w:val="0069216D"/>
    <w:rsid w:val="006D4292"/>
    <w:rsid w:val="006F6091"/>
    <w:rsid w:val="0071445F"/>
    <w:rsid w:val="007A580D"/>
    <w:rsid w:val="00824763"/>
    <w:rsid w:val="0087487C"/>
    <w:rsid w:val="008D6782"/>
    <w:rsid w:val="008F01A3"/>
    <w:rsid w:val="00A10CE7"/>
    <w:rsid w:val="00A203F8"/>
    <w:rsid w:val="00C02429"/>
    <w:rsid w:val="00C42682"/>
    <w:rsid w:val="00C65777"/>
    <w:rsid w:val="00C85901"/>
    <w:rsid w:val="00CE05BB"/>
    <w:rsid w:val="00D169FC"/>
    <w:rsid w:val="00D54555"/>
    <w:rsid w:val="00D709B2"/>
    <w:rsid w:val="00E441C9"/>
    <w:rsid w:val="00F13A3B"/>
    <w:rsid w:val="00F32E7D"/>
    <w:rsid w:val="00F36162"/>
    <w:rsid w:val="00F531DA"/>
    <w:rsid w:val="00F7280F"/>
    <w:rsid w:val="00F733E7"/>
    <w:rsid w:val="00F73A27"/>
  </w:rsids>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heme="minorHAnsi" w:cstheme="minorBidi"/>
        <w:sz w:val="24"/>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5901"/>
    <w:rPr>
      <w:rFonts w:ascii="Aptos" w:hAnsi="Aptos"/>
    </w:rPr>
  </w:style>
  <w:style w:type="paragraph" w:styleId="Heading1">
    <w:name w:val="heading 1"/>
    <w:uiPriority w:val="9"/>
    <w:qFormat/>
    <w:rsid w:val="00C85901"/>
    <w:pPr>
      <w:keepNext/>
      <w:keepLines/>
      <w:spacing w:before="480"/>
      <w:outlineLvl w:val="0"/>
    </w:pPr>
    <w:rPr>
      <w:rFonts w:ascii="Aptos Display" w:hAnsi="Aptos Display"/>
      <w:sz w:val="36"/>
      <w:szCs w:val="48"/>
    </w:rPr>
  </w:style>
  <w:style w:type="paragraph" w:styleId="Heading2">
    <w:name w:val="heading 2"/>
    <w:uiPriority w:val="9"/>
    <w:unhideWhenUsed/>
    <w:qFormat/>
    <w:rsid w:val="00C85901"/>
    <w:pPr>
      <w:keepNext/>
      <w:keepLines/>
      <w:spacing w:before="360" w:after="80"/>
      <w:outlineLvl w:val="1"/>
    </w:pPr>
    <w:rPr>
      <w:rFonts w:ascii="Aptos Display" w:hAnsi="Aptos Display"/>
      <w:sz w:val="28"/>
      <w:szCs w:val="36"/>
    </w:rPr>
  </w:style>
  <w:style w:type="paragraph" w:styleId="Heading3">
    <w:name w:val="heading 3"/>
    <w:uiPriority w:val="9"/>
    <w:unhideWhenUsed/>
    <w:qFormat/>
    <w:rsid w:val="004D136E"/>
    <w:pPr>
      <w:keepNext/>
      <w:keepLines/>
      <w:spacing w:before="280" w:after="80"/>
      <w:outlineLvl w:val="2"/>
    </w:pPr>
    <w:rPr>
      <w:rFonts w:ascii="Aptos Display" w:hAnsi="Aptos Display"/>
      <w:color w:val="757575"/>
      <w:sz w:val="36"/>
      <w:szCs w:val="28"/>
    </w:rPr>
  </w:style>
  <w:style w:type="paragraph" w:styleId="Heading4">
    <w:name w:val="heading 4"/>
    <w:uiPriority w:val="9"/>
    <w:unhideWhenUsed/>
    <w:qFormat/>
    <w:rsid w:val="004D136E"/>
    <w:pPr>
      <w:keepNext/>
      <w:keepLines/>
      <w:spacing w:before="240" w:after="40"/>
      <w:outlineLvl w:val="3"/>
    </w:pPr>
    <w:rPr>
      <w:rFonts w:ascii="Aptos Display" w:hAnsi="Aptos Display"/>
      <w:color w:val="757575"/>
      <w:sz w:val="32"/>
      <w:szCs w:val="24"/>
    </w:rPr>
  </w:style>
  <w:style w:type="paragraph" w:styleId="Heading5">
    <w:name w:val="heading 5"/>
    <w:uiPriority w:val="9"/>
    <w:unhideWhenUsed/>
    <w:qFormat/>
    <w:rsid w:val="00C85901"/>
    <w:pPr>
      <w:keepNext/>
      <w:keepLines/>
      <w:spacing w:before="220" w:after="40"/>
      <w:outlineLvl w:val="4"/>
    </w:pPr>
    <w:rPr>
      <w:rFonts w:ascii="Aptos Display" w:hAnsi="Aptos Display"/>
      <w:b/>
    </w:rPr>
  </w:style>
  <w:style w:type="paragraph" w:styleId="Heading6">
    <w:name w:val="heading 6"/>
    <w:uiPriority w:val="9"/>
    <w:unhideWhenUsed/>
    <w:qFormat/>
    <w:rsid w:val="004D136E"/>
    <w:pPr>
      <w:keepNext/>
      <w:keepLines/>
      <w:spacing w:before="200" w:after="40"/>
      <w:outlineLvl w:val="5"/>
    </w:pPr>
    <w:rPr>
      <w:rFonts w:ascii="Aptos Display" w:hAnsi="Aptos Display"/>
      <w:i/>
      <w:color w:val="757575"/>
      <w:szCs w:val="20"/>
    </w:rPr>
  </w:style>
  <w:style w:type="paragraph" w:styleId="Heading7">
    <w:name w:val="heading 7"/>
    <w:basedOn w:val="Normal"/>
    <w:next w:val="Normal"/>
    <w:link w:val="Heading7Char"/>
    <w:uiPriority w:val="9"/>
    <w:unhideWhenUsed/>
    <w:qFormat/>
    <w:rsid w:val="004D136E"/>
    <w:pPr>
      <w:keepNext/>
      <w:keepLines/>
      <w:spacing w:before="40" w:after="0"/>
      <w:outlineLvl w:val="6"/>
    </w:pPr>
    <w:rPr>
      <w:rFonts w:ascii="Aptos Display" w:hAnsi="Aptos Display" w:eastAsiaTheme="majorEastAsia" w:cstheme="majorBidi"/>
      <w:iCs/>
      <w:color w:val="757575"/>
    </w:rPr>
  </w:style>
  <w:style w:type="paragraph" w:styleId="Heading8">
    <w:name w:val="heading 8"/>
    <w:basedOn w:val="Normal"/>
    <w:next w:val="Normal"/>
    <w:link w:val="Heading8Char"/>
    <w:uiPriority w:val="9"/>
    <w:unhideWhenUsed/>
    <w:qFormat/>
    <w:rsid w:val="00C85901"/>
    <w:pPr>
      <w:keepNext/>
      <w:keepLines/>
      <w:spacing w:before="40" w:after="0"/>
      <w:outlineLvl w:val="7"/>
    </w:pPr>
    <w:rPr>
      <w:rFonts w:ascii="Aptos Display" w:hAnsi="Aptos Display" w:eastAsiaTheme="majorEastAsia" w:cstheme="majorBidi"/>
      <w:i/>
      <w:color w:val="272727" w:themeColor="text1" w:themeTint="D8"/>
      <w:szCs w:val="21"/>
    </w:rPr>
  </w:style>
  <w:style w:type="paragraph" w:styleId="Heading9">
    <w:name w:val="heading 9"/>
    <w:basedOn w:val="Normal"/>
    <w:next w:val="Normal"/>
    <w:link w:val="Heading9Char"/>
    <w:uiPriority w:val="9"/>
    <w:unhideWhenUsed/>
    <w:qFormat/>
    <w:rsid w:val="00C85901"/>
    <w:pPr>
      <w:keepNext/>
      <w:keepLines/>
      <w:spacing w:before="40" w:after="0"/>
      <w:outlineLvl w:val="8"/>
    </w:pPr>
    <w:rPr>
      <w:rFonts w:ascii="Aptos Display" w:hAnsi="Aptos Display"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85901"/>
    <w:rPr>
      <w:b/>
      <w:color w:val="006FC4"/>
      <w:u w:val="single"/>
    </w:rPr>
  </w:style>
  <w:style w:type="table" w:styleId="TableGrid">
    <w:name w:val="Table Grid"/>
    <w:basedOn w:val="TableNormal"/>
    <w:uiPriority w:val="39"/>
    <w:rsid w:val="00F73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3A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A27"/>
    <w:rPr>
      <w:rFonts w:ascii="Times New Roman" w:hAnsi="Times New Roman"/>
      <w:sz w:val="24"/>
    </w:rPr>
  </w:style>
  <w:style w:type="paragraph" w:styleId="Footer">
    <w:name w:val="footer"/>
    <w:basedOn w:val="Normal"/>
    <w:link w:val="FooterChar"/>
    <w:uiPriority w:val="99"/>
    <w:unhideWhenUsed/>
    <w:rsid w:val="00F73A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A27"/>
    <w:rPr>
      <w:rFonts w:ascii="Times New Roman" w:hAnsi="Times New Roman"/>
      <w:sz w:val="24"/>
    </w:rPr>
  </w:style>
  <w:style w:type="paragraph" w:styleId="FootnoteText">
    <w:name w:val="footnote text"/>
    <w:basedOn w:val="Normal"/>
    <w:link w:val="FootnoteTextChar"/>
    <w:uiPriority w:val="99"/>
    <w:semiHidden/>
    <w:unhideWhenUsed/>
    <w:rsid w:val="00F73A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3A27"/>
    <w:rPr>
      <w:rFonts w:ascii="Times New Roman" w:hAnsi="Times New Roman"/>
      <w:sz w:val="20"/>
      <w:szCs w:val="20"/>
    </w:rPr>
  </w:style>
  <w:style w:type="character" w:styleId="FootnoteReference">
    <w:name w:val="footnote reference"/>
    <w:basedOn w:val="DefaultParagraphFont"/>
    <w:uiPriority w:val="99"/>
    <w:semiHidden/>
    <w:unhideWhenUsed/>
    <w:rsid w:val="00F73A27"/>
    <w:rPr>
      <w:rFonts w:ascii="Times New Roman" w:hAnsi="Times New Roman"/>
      <w:sz w:val="24"/>
      <w:vertAlign w:val="superscript"/>
    </w:rPr>
  </w:style>
  <w:style w:type="paragraph" w:styleId="Title">
    <w:name w:val="Title"/>
    <w:basedOn w:val="Normal"/>
    <w:next w:val="Normal"/>
    <w:link w:val="TitleChar"/>
    <w:uiPriority w:val="10"/>
    <w:qFormat/>
    <w:rsid w:val="00C85901"/>
    <w:pPr>
      <w:spacing w:after="0" w:line="240" w:lineRule="auto"/>
      <w:contextualSpacing/>
      <w:jc w:val="center"/>
    </w:pPr>
    <w:rPr>
      <w:rFonts w:ascii="Aptos Display" w:hAnsi="Aptos Display" w:eastAsiaTheme="majorEastAsia" w:cstheme="majorBidi"/>
      <w:spacing w:val="-10"/>
      <w:kern w:val="28"/>
      <w:sz w:val="56"/>
      <w:szCs w:val="56"/>
    </w:rPr>
  </w:style>
  <w:style w:type="character" w:customStyle="1" w:styleId="TitleChar">
    <w:name w:val="Title Char"/>
    <w:basedOn w:val="DefaultParagraphFont"/>
    <w:link w:val="Title"/>
    <w:uiPriority w:val="10"/>
    <w:rsid w:val="00C85901"/>
    <w:rPr>
      <w:rFonts w:ascii="Aptos Display" w:hAnsi="Aptos Display" w:eastAsiaTheme="majorEastAsia" w:cstheme="majorBidi"/>
      <w:spacing w:val="-10"/>
      <w:kern w:val="28"/>
      <w:sz w:val="56"/>
      <w:szCs w:val="56"/>
    </w:rPr>
  </w:style>
  <w:style w:type="paragraph" w:styleId="Subtitle">
    <w:name w:val="Subtitle"/>
    <w:basedOn w:val="Normal"/>
    <w:next w:val="Normal"/>
    <w:link w:val="SubtitleChar"/>
    <w:uiPriority w:val="11"/>
    <w:qFormat/>
    <w:rsid w:val="00C85901"/>
    <w:pPr>
      <w:numPr>
        <w:ilvl w:val="1"/>
      </w:numPr>
      <w:spacing w:after="160"/>
      <w:jc w:val="center"/>
    </w:pPr>
    <w:rPr>
      <w:rFonts w:ascii="Aptos Display" w:hAnsi="Aptos Display"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C85901"/>
    <w:rPr>
      <w:rFonts w:ascii="Aptos Display" w:hAnsi="Aptos Display" w:eastAsiaTheme="minorEastAsia"/>
      <w:color w:val="5A5A5A" w:themeColor="text1" w:themeTint="A5"/>
      <w:spacing w:val="15"/>
      <w:sz w:val="22"/>
    </w:rPr>
  </w:style>
  <w:style w:type="character" w:customStyle="1" w:styleId="Heading7Char">
    <w:name w:val="Heading 7 Char"/>
    <w:basedOn w:val="DefaultParagraphFont"/>
    <w:link w:val="Heading7"/>
    <w:uiPriority w:val="9"/>
    <w:rsid w:val="004D136E"/>
    <w:rPr>
      <w:rFonts w:ascii="Aptos Display" w:hAnsi="Aptos Display" w:eastAsiaTheme="majorEastAsia" w:cstheme="majorBidi"/>
      <w:iCs/>
      <w:color w:val="757575"/>
    </w:rPr>
  </w:style>
  <w:style w:type="character" w:customStyle="1" w:styleId="Heading8Char">
    <w:name w:val="Heading 8 Char"/>
    <w:basedOn w:val="DefaultParagraphFont"/>
    <w:link w:val="Heading8"/>
    <w:uiPriority w:val="9"/>
    <w:rsid w:val="00C85901"/>
    <w:rPr>
      <w:rFonts w:ascii="Aptos Display" w:hAnsi="Aptos Display" w:eastAsiaTheme="majorEastAsia" w:cstheme="majorBidi"/>
      <w:i/>
      <w:color w:val="272727" w:themeColor="text1" w:themeTint="D8"/>
      <w:szCs w:val="21"/>
    </w:rPr>
  </w:style>
  <w:style w:type="character" w:customStyle="1" w:styleId="Heading9Char">
    <w:name w:val="Heading 9 Char"/>
    <w:basedOn w:val="DefaultParagraphFont"/>
    <w:link w:val="Heading9"/>
    <w:uiPriority w:val="9"/>
    <w:rsid w:val="00C85901"/>
    <w:rPr>
      <w:rFonts w:ascii="Aptos Display" w:hAnsi="Aptos Display" w:eastAsiaTheme="majorEastAsia" w:cstheme="majorBidi"/>
      <w:i/>
      <w:iCs/>
      <w:color w:val="272727" w:themeColor="text1" w:themeTint="D8"/>
      <w:sz w:val="21"/>
      <w:szCs w:val="21"/>
    </w:rPr>
  </w:style>
  <w:style w:type="paragraph" w:styleId="BodyText">
    <w:name w:val="Body Text"/>
    <w:basedOn w:val="Normal"/>
    <w:link w:val="BodyTextChar"/>
    <w:uiPriority w:val="99"/>
    <w:unhideWhenUsed/>
    <w:rsid w:val="00C85901"/>
  </w:style>
  <w:style w:type="character" w:customStyle="1" w:styleId="BodyTextChar">
    <w:name w:val="Body Text Char"/>
    <w:basedOn w:val="DefaultParagraphFont"/>
    <w:link w:val="BodyText"/>
    <w:uiPriority w:val="99"/>
    <w:rsid w:val="00C85901"/>
    <w:rPr>
      <w:rFonts w:ascii="Aptos" w:hAnsi="Aptos"/>
    </w:rPr>
  </w:style>
  <w:style w:type="paragraph" w:customStyle="1" w:styleId="Author">
    <w:name w:val="Author"/>
    <w:basedOn w:val="Normal"/>
    <w:qFormat/>
    <w:rsid w:val="004423DE"/>
    <w:pPr>
      <w:jc w:val="center"/>
    </w:pPr>
  </w:style>
  <w:style w:type="paragraph" w:styleId="Date">
    <w:name w:val="Date"/>
    <w:basedOn w:val="Normal"/>
    <w:next w:val="Normal"/>
    <w:link w:val="DateChar"/>
    <w:uiPriority w:val="99"/>
    <w:unhideWhenUsed/>
    <w:rsid w:val="004423DE"/>
    <w:pPr>
      <w:jc w:val="center"/>
    </w:pPr>
  </w:style>
  <w:style w:type="character" w:customStyle="1" w:styleId="DateChar">
    <w:name w:val="Date Char"/>
    <w:basedOn w:val="DefaultParagraphFont"/>
    <w:link w:val="Date"/>
    <w:uiPriority w:val="99"/>
    <w:rsid w:val="004423DE"/>
    <w:rPr>
      <w:rFonts w:ascii="Times New Roman" w:hAnsi="Times New Roman"/>
      <w:sz w:val="24"/>
    </w:rPr>
  </w:style>
  <w:style w:type="paragraph" w:customStyle="1" w:styleId="Abstract">
    <w:name w:val="Abstract"/>
    <w:qFormat/>
    <w:rsid w:val="00C85901"/>
    <w:rPr>
      <w:rFonts w:ascii="Aptos" w:hAnsi="Aptos"/>
    </w:rPr>
  </w:style>
  <w:style w:type="paragraph" w:customStyle="1" w:styleId="FirstParagraph">
    <w:name w:val="First Paragraph"/>
    <w:basedOn w:val="BodyText"/>
    <w:next w:val="BodyText"/>
    <w:qFormat/>
    <w:rsid w:val="004423DE"/>
  </w:style>
  <w:style w:type="paragraph" w:styleId="BlockText">
    <w:name w:val="Block Text"/>
    <w:basedOn w:val="Normal"/>
    <w:uiPriority w:val="99"/>
    <w:unhideWhenUsed/>
    <w:rsid w:val="00C85901"/>
    <w:pPr>
      <w:ind w:left="288" w:right="1152"/>
    </w:pPr>
    <w:rPr>
      <w:rFonts w:eastAsiaTheme="minorEastAsia"/>
      <w:iCs/>
      <w:color w:val="000000" w:themeColor="text1"/>
    </w:rPr>
  </w:style>
  <w:style w:type="paragraph" w:customStyle="1" w:styleId="Compact">
    <w:name w:val="Compact"/>
    <w:basedOn w:val="BodyText"/>
    <w:qFormat/>
    <w:rsid w:val="0069216D"/>
    <w:pPr>
      <w:spacing w:before="36" w:after="36" w:line="240" w:lineRule="auto"/>
    </w:pPr>
    <w:rPr>
      <w:rFonts w:hAnsi="Times New Roman"/>
      <w:szCs w:val="24"/>
    </w:rPr>
  </w:style>
  <w:style w:type="table" w:customStyle="1" w:styleId="Table">
    <w:name w:val="Table"/>
    <w:semiHidden/>
    <w:unhideWhenUsed/>
    <w:qFormat/>
    <w:rsid w:val="0008599A"/>
    <w:pPr>
      <w:spacing w:after="200" w:line="240" w:lineRule="auto"/>
    </w:pPr>
    <w:rPr>
      <w:rFonts w:asciiTheme="minorHAnsi"/>
      <w:sz w:val="20"/>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rPr>
      <w:tblPr/>
      <w:tcPr>
        <w:shd w:val="clear" w:color="auto" w:fill="D5E0E8"/>
      </w:tcPr>
    </w:tblStylePr>
  </w:style>
  <w:style w:type="paragraph" w:styleId="BodyText2">
    <w:name w:val="Body Text 2"/>
    <w:basedOn w:val="Normal"/>
    <w:link w:val="BodyText2Char"/>
    <w:uiPriority w:val="99"/>
    <w:unhideWhenUsed/>
    <w:rsid w:val="00C85901"/>
    <w:pPr>
      <w:spacing w:line="480" w:lineRule="auto"/>
    </w:pPr>
  </w:style>
  <w:style w:type="character" w:customStyle="1" w:styleId="BodyText2Char">
    <w:name w:val="Body Text 2 Char"/>
    <w:basedOn w:val="DefaultParagraphFont"/>
    <w:link w:val="BodyText2"/>
    <w:uiPriority w:val="99"/>
    <w:rsid w:val="00C85901"/>
    <w:rPr>
      <w:rFonts w:ascii="Aptos" w:hAnsi="Aptos"/>
    </w:rPr>
  </w:style>
  <w:style w:type="character" w:customStyle="1" w:styleId="green-char-style">
    <w:name w:val="green-char-style"/>
    <w:basedOn w:val="DefaultParagraphFont"/>
    <w:uiPriority w:val="1"/>
    <w:qFormat/>
    <w:rsid w:val="002E718C"/>
    <w:rPr>
      <w:b w:val="0"/>
      <w:color w:val="218321"/>
    </w:rPr>
  </w:style>
  <w:style w:type="character" w:customStyle="1" w:styleId="plain-black-char-style">
    <w:name w:val="plain-black-char-style"/>
    <w:uiPriority w:val="1"/>
    <w:qFormat/>
    <w:rsid w:val="00D169FC"/>
    <w:rPr>
      <w:color w:val="000000" w:themeColor="text1"/>
    </w:rPr>
  </w:style>
  <w:style w:type="character" w:styleId="PageNumber">
    <w:name w:val="page number"/>
    <w:basedOn w:val="DefaultParagraphFont"/>
    <w:uiPriority w:val="99"/>
    <w:semiHidden/>
    <w:unhideWhenUsed/>
    <w:rsid w:val="0087487C"/>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cocounsel.thomsonreuters.com/file/view/a45b99f2-ccd7-4233-9679-198c154bb11e?page=1&amp;bounds="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31</Words>
  <Characters>165</Characters>
  <Application>Microsoft Office Word</Application>
  <DocSecurity>0</DocSecurity>
  <Lines>22</Lines>
  <Paragraphs>19</Paragraphs>
  <ScaleCrop>false</ScaleCrop>
  <HeadingPairs>
    <vt:vector size="2" baseType="variant">
      <vt:variant>
        <vt:lpstr>Title</vt:lpstr>
      </vt:variant>
      <vt:variant>
        <vt:i4>1</vt:i4>
      </vt:variant>
    </vt:vector>
  </HeadingPairs>
  <TitlesOfParts>
    <vt:vector size="1" baseType="lpstr">
      <vt:lpstr>Review Documents (Short Answers Only)</vt:lpstr>
    </vt:vector>
  </TitlesOfParts>
  <Company/>
  <LinksUpToDate>false</LinksUpToDate>
  <CharactersWithSpaces>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CoCounsel Skill Results</dc:title>
  <dc:creator>CoCounsel</dc:creator>
  <cp:revision>0</cp:revision>
  <dcterms:created xsi:type="dcterms:W3CDTF">2026-04-24T20:34:39Z</dcterms:created>
  <dcterms:modified xsi:type="dcterms:W3CDTF">2026-04-24T20:34:39Z</dcterms:modified>
</cp:coreProperties>
</file>